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B9" w:rsidRPr="00293707" w:rsidRDefault="001354B9" w:rsidP="001354B9">
      <w:pPr>
        <w:jc w:val="center"/>
        <w:rPr>
          <w:rFonts w:ascii="Times New Roman" w:eastAsia="Times New Roman" w:hAnsi="Times New Roman" w:cs="Times New Roman"/>
          <w:b/>
          <w:bCs/>
          <w:sz w:val="24"/>
          <w:szCs w:val="24"/>
        </w:rPr>
      </w:pPr>
    </w:p>
    <w:p w:rsidR="001354B9" w:rsidRPr="00293707" w:rsidRDefault="00640CDF" w:rsidP="001354B9">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r w:rsidR="001354B9" w:rsidRPr="00293707">
        <w:rPr>
          <w:rFonts w:ascii="Times New Roman" w:eastAsia="Times New Roman" w:hAnsi="Times New Roman" w:cs="Times New Roman"/>
          <w:b/>
          <w:bCs/>
          <w:sz w:val="24"/>
          <w:szCs w:val="24"/>
        </w:rPr>
        <w:t xml:space="preserve">urname: </w:t>
      </w:r>
      <w:proofErr w:type="spellStart"/>
      <w:r w:rsidR="001354B9" w:rsidRPr="00293707">
        <w:rPr>
          <w:rFonts w:ascii="Times New Roman" w:eastAsia="Times New Roman" w:hAnsi="Times New Roman" w:cs="Times New Roman"/>
          <w:b/>
          <w:bCs/>
          <w:sz w:val="24"/>
          <w:szCs w:val="24"/>
        </w:rPr>
        <w:t>Oyeranmi</w:t>
      </w:r>
      <w:proofErr w:type="spellEnd"/>
      <w:r w:rsidR="001354B9" w:rsidRPr="00293707">
        <w:rPr>
          <w:rFonts w:ascii="Times New Roman" w:eastAsia="Times New Roman" w:hAnsi="Times New Roman" w:cs="Times New Roman"/>
          <w:b/>
          <w:bCs/>
          <w:sz w:val="24"/>
          <w:szCs w:val="24"/>
        </w:rPr>
        <w:t xml:space="preserve"> </w:t>
      </w:r>
    </w:p>
    <w:p w:rsidR="001354B9" w:rsidRPr="00293707" w:rsidRDefault="001354B9" w:rsidP="001354B9">
      <w:pPr>
        <w:jc w:val="center"/>
        <w:rPr>
          <w:rFonts w:ascii="Times New Roman" w:eastAsia="Times New Roman" w:hAnsi="Times New Roman" w:cs="Times New Roman"/>
          <w:b/>
          <w:bCs/>
          <w:sz w:val="24"/>
          <w:szCs w:val="24"/>
        </w:rPr>
      </w:pPr>
    </w:p>
    <w:p w:rsidR="001354B9" w:rsidRPr="00293707" w:rsidRDefault="00640CDF" w:rsidP="001354B9">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1354B9" w:rsidRPr="00293707">
        <w:rPr>
          <w:rFonts w:ascii="Times New Roman" w:eastAsia="Times New Roman" w:hAnsi="Times New Roman" w:cs="Times New Roman"/>
          <w:b/>
          <w:bCs/>
          <w:sz w:val="24"/>
          <w:szCs w:val="24"/>
        </w:rPr>
        <w:t xml:space="preserve">ame: Samson </w:t>
      </w:r>
      <w:proofErr w:type="spellStart"/>
      <w:r w:rsidR="001354B9" w:rsidRPr="00293707">
        <w:rPr>
          <w:rFonts w:ascii="Times New Roman" w:eastAsia="Times New Roman" w:hAnsi="Times New Roman" w:cs="Times New Roman"/>
          <w:b/>
          <w:bCs/>
          <w:sz w:val="24"/>
          <w:szCs w:val="24"/>
        </w:rPr>
        <w:t>Gbolahan</w:t>
      </w:r>
      <w:proofErr w:type="spellEnd"/>
    </w:p>
    <w:p w:rsidR="001354B9" w:rsidRPr="00293707" w:rsidRDefault="001354B9" w:rsidP="00293707">
      <w:pPr>
        <w:rPr>
          <w:rFonts w:ascii="Times New Roman" w:eastAsia="Times New Roman" w:hAnsi="Times New Roman" w:cs="Times New Roman"/>
          <w:b/>
          <w:bCs/>
          <w:sz w:val="24"/>
          <w:szCs w:val="24"/>
        </w:rPr>
      </w:pPr>
    </w:p>
    <w:p w:rsidR="001354B9" w:rsidRPr="00293707" w:rsidRDefault="00640CDF" w:rsidP="001354B9">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w:t>
      </w:r>
      <w:r w:rsidR="001354B9" w:rsidRPr="00293707">
        <w:rPr>
          <w:rFonts w:ascii="Times New Roman" w:eastAsia="Times New Roman" w:hAnsi="Times New Roman" w:cs="Times New Roman"/>
          <w:b/>
          <w:bCs/>
          <w:sz w:val="24"/>
          <w:szCs w:val="24"/>
        </w:rPr>
        <w:t>mail address: oyeranmitimi@gmail.com</w:t>
      </w:r>
    </w:p>
    <w:p w:rsidR="001354B9" w:rsidRPr="00293707" w:rsidRDefault="001354B9" w:rsidP="00293707">
      <w:pPr>
        <w:rPr>
          <w:rFonts w:ascii="Times New Roman" w:eastAsia="Times New Roman" w:hAnsi="Times New Roman" w:cs="Times New Roman"/>
          <w:b/>
          <w:bCs/>
          <w:sz w:val="24"/>
          <w:szCs w:val="24"/>
        </w:rPr>
      </w:pPr>
      <w:bookmarkStart w:id="0" w:name="_GoBack"/>
      <w:bookmarkEnd w:id="0"/>
    </w:p>
    <w:p w:rsidR="001354B9" w:rsidRPr="00640CDF" w:rsidRDefault="00640CDF" w:rsidP="001354B9">
      <w:pPr>
        <w:jc w:val="center"/>
        <w:rPr>
          <w:rFonts w:ascii="Times New Roman" w:eastAsia="Times New Roman" w:hAnsi="Times New Roman" w:cs="Times New Roman"/>
          <w:b/>
          <w:bCs/>
          <w:sz w:val="24"/>
          <w:szCs w:val="24"/>
        </w:rPr>
      </w:pPr>
      <w:r w:rsidRPr="00640CDF">
        <w:rPr>
          <w:rFonts w:ascii="Times New Roman" w:eastAsia="Times New Roman" w:hAnsi="Times New Roman" w:cs="Times New Roman"/>
          <w:b/>
          <w:bCs/>
          <w:sz w:val="24"/>
          <w:szCs w:val="24"/>
        </w:rPr>
        <w:t xml:space="preserve">Address: </w:t>
      </w:r>
      <w:proofErr w:type="spellStart"/>
      <w:r w:rsidRPr="00640CDF">
        <w:rPr>
          <w:rStyle w:val="Emphasis"/>
          <w:rFonts w:ascii="Times New Roman" w:hAnsi="Times New Roman" w:cs="Times New Roman"/>
          <w:b/>
          <w:i w:val="0"/>
          <w:sz w:val="24"/>
          <w:szCs w:val="24"/>
        </w:rPr>
        <w:t>Aušros</w:t>
      </w:r>
      <w:proofErr w:type="spellEnd"/>
      <w:r w:rsidRPr="00640CDF">
        <w:rPr>
          <w:rFonts w:ascii="Times New Roman" w:hAnsi="Times New Roman" w:cs="Times New Roman"/>
          <w:b/>
          <w:i/>
          <w:sz w:val="24"/>
          <w:szCs w:val="24"/>
        </w:rPr>
        <w:t xml:space="preserve"> g. </w:t>
      </w:r>
      <w:r w:rsidRPr="00640CDF">
        <w:rPr>
          <w:rStyle w:val="Emphasis"/>
          <w:rFonts w:ascii="Times New Roman" w:hAnsi="Times New Roman" w:cs="Times New Roman"/>
          <w:b/>
          <w:i w:val="0"/>
          <w:sz w:val="24"/>
          <w:szCs w:val="24"/>
        </w:rPr>
        <w:t>42A</w:t>
      </w:r>
      <w:r w:rsidRPr="00640CDF">
        <w:rPr>
          <w:rStyle w:val="Emphasis"/>
          <w:rFonts w:ascii="Times New Roman" w:hAnsi="Times New Roman" w:cs="Times New Roman"/>
          <w:b/>
          <w:i w:val="0"/>
          <w:sz w:val="24"/>
          <w:szCs w:val="24"/>
        </w:rPr>
        <w:t>, Kaunas, Lithuania</w:t>
      </w:r>
    </w:p>
    <w:p w:rsidR="001354B9" w:rsidRPr="00293707" w:rsidRDefault="001354B9" w:rsidP="001354B9">
      <w:pPr>
        <w:jc w:val="center"/>
        <w:rPr>
          <w:rFonts w:ascii="Times New Roman" w:eastAsia="Times New Roman" w:hAnsi="Times New Roman" w:cs="Times New Roman"/>
          <w:b/>
          <w:bCs/>
          <w:sz w:val="24"/>
          <w:szCs w:val="24"/>
        </w:rPr>
      </w:pPr>
    </w:p>
    <w:p w:rsidR="001354B9" w:rsidRPr="00293707" w:rsidRDefault="00293707" w:rsidP="001354B9">
      <w:pPr>
        <w:jc w:val="center"/>
        <w:rPr>
          <w:rFonts w:ascii="Times New Roman" w:eastAsia="Times New Roman" w:hAnsi="Times New Roman" w:cs="Times New Roman"/>
          <w:b/>
          <w:bCs/>
          <w:sz w:val="24"/>
          <w:szCs w:val="24"/>
        </w:rPr>
      </w:pPr>
      <w:r w:rsidRPr="00293707">
        <w:rPr>
          <w:rFonts w:ascii="Times New Roman" w:eastAsia="Times New Roman" w:hAnsi="Times New Roman" w:cs="Times New Roman"/>
          <w:b/>
          <w:bCs/>
          <w:sz w:val="24"/>
          <w:szCs w:val="24"/>
        </w:rPr>
        <w:t xml:space="preserve">Topic: </w:t>
      </w:r>
      <w:r w:rsidRPr="00293707">
        <w:rPr>
          <w:rStyle w:val="markedcontent"/>
          <w:rFonts w:ascii="Times New Roman" w:hAnsi="Times New Roman" w:cs="Times New Roman"/>
          <w:b/>
          <w:sz w:val="24"/>
          <w:szCs w:val="24"/>
        </w:rPr>
        <w:t>Interaction between waste management and</w:t>
      </w:r>
      <w:r w:rsidRPr="00293707">
        <w:rPr>
          <w:rFonts w:ascii="Times New Roman" w:hAnsi="Times New Roman" w:cs="Times New Roman"/>
          <w:b/>
          <w:sz w:val="24"/>
          <w:szCs w:val="24"/>
        </w:rPr>
        <w:br/>
      </w:r>
      <w:r w:rsidRPr="00293707">
        <w:rPr>
          <w:rStyle w:val="markedcontent"/>
          <w:rFonts w:ascii="Times New Roman" w:hAnsi="Times New Roman" w:cs="Times New Roman"/>
          <w:b/>
          <w:sz w:val="24"/>
          <w:szCs w:val="24"/>
        </w:rPr>
        <w:t>energy generation systems in terms of material</w:t>
      </w:r>
      <w:r w:rsidRPr="00293707">
        <w:rPr>
          <w:rFonts w:ascii="Times New Roman" w:hAnsi="Times New Roman" w:cs="Times New Roman"/>
          <w:b/>
          <w:sz w:val="24"/>
          <w:szCs w:val="24"/>
        </w:rPr>
        <w:br/>
      </w:r>
      <w:r w:rsidRPr="00293707">
        <w:rPr>
          <w:rStyle w:val="markedcontent"/>
          <w:rFonts w:ascii="Times New Roman" w:hAnsi="Times New Roman" w:cs="Times New Roman"/>
          <w:b/>
          <w:sz w:val="24"/>
          <w:szCs w:val="24"/>
        </w:rPr>
        <w:t>properties and environmental impact</w:t>
      </w:r>
      <w:r w:rsidR="00F65C67">
        <w:rPr>
          <w:rStyle w:val="markedcontent"/>
          <w:rFonts w:ascii="Times New Roman" w:hAnsi="Times New Roman" w:cs="Times New Roman"/>
          <w:b/>
          <w:sz w:val="24"/>
          <w:szCs w:val="24"/>
        </w:rPr>
        <w:t xml:space="preserve"> in the European Union</w:t>
      </w:r>
    </w:p>
    <w:p w:rsidR="001354B9" w:rsidRPr="00293707" w:rsidRDefault="001354B9" w:rsidP="001354B9">
      <w:pPr>
        <w:jc w:val="center"/>
        <w:rPr>
          <w:rFonts w:ascii="Times New Roman" w:eastAsia="Times New Roman" w:hAnsi="Times New Roman" w:cs="Times New Roman"/>
          <w:b/>
          <w:bCs/>
          <w:sz w:val="24"/>
          <w:szCs w:val="24"/>
        </w:rPr>
      </w:pPr>
    </w:p>
    <w:p w:rsidR="001354B9" w:rsidRPr="00293707" w:rsidRDefault="001354B9" w:rsidP="001354B9">
      <w:pPr>
        <w:jc w:val="center"/>
        <w:rPr>
          <w:rFonts w:ascii="Times New Roman" w:eastAsia="Times New Roman" w:hAnsi="Times New Roman" w:cs="Times New Roman"/>
          <w:b/>
          <w:bCs/>
          <w:sz w:val="24"/>
          <w:szCs w:val="24"/>
        </w:rPr>
      </w:pPr>
    </w:p>
    <w:p w:rsidR="001354B9" w:rsidRPr="00293707" w:rsidRDefault="001354B9" w:rsidP="001354B9">
      <w:pPr>
        <w:jc w:val="center"/>
        <w:rPr>
          <w:rFonts w:ascii="Times New Roman" w:eastAsia="Times New Roman" w:hAnsi="Times New Roman" w:cs="Times New Roman"/>
          <w:b/>
          <w:bCs/>
          <w:sz w:val="24"/>
          <w:szCs w:val="24"/>
        </w:rPr>
      </w:pPr>
    </w:p>
    <w:p w:rsidR="006F23C5" w:rsidRPr="00293707" w:rsidRDefault="006F23C5" w:rsidP="001354B9">
      <w:pPr>
        <w:jc w:val="center"/>
        <w:rPr>
          <w:rFonts w:ascii="Times New Roman" w:eastAsia="Times New Roman" w:hAnsi="Times New Roman" w:cs="Times New Roman"/>
          <w:b/>
          <w:bCs/>
          <w:sz w:val="24"/>
          <w:szCs w:val="24"/>
        </w:rPr>
      </w:pPr>
    </w:p>
    <w:p w:rsidR="00293707" w:rsidRDefault="00293707" w:rsidP="008413E3">
      <w:pPr>
        <w:spacing w:after="0" w:line="240" w:lineRule="auto"/>
        <w:jc w:val="both"/>
        <w:rPr>
          <w:rFonts w:ascii="Times New Roman" w:eastAsia="Times New Roman" w:hAnsi="Times New Roman" w:cs="Times New Roman"/>
          <w:b/>
          <w:bCs/>
          <w:color w:val="0E101A"/>
          <w:sz w:val="20"/>
          <w:szCs w:val="20"/>
        </w:rPr>
      </w:pPr>
    </w:p>
    <w:p w:rsidR="00293707" w:rsidRDefault="00293707">
      <w:pPr>
        <w:rPr>
          <w:rFonts w:ascii="Times New Roman" w:eastAsia="Times New Roman" w:hAnsi="Times New Roman" w:cs="Times New Roman"/>
          <w:b/>
          <w:bCs/>
          <w:color w:val="0E101A"/>
          <w:sz w:val="20"/>
          <w:szCs w:val="20"/>
        </w:rPr>
      </w:pPr>
      <w:r>
        <w:rPr>
          <w:rFonts w:ascii="Times New Roman" w:eastAsia="Times New Roman" w:hAnsi="Times New Roman" w:cs="Times New Roman"/>
          <w:b/>
          <w:bCs/>
          <w:color w:val="0E101A"/>
          <w:sz w:val="20"/>
          <w:szCs w:val="20"/>
        </w:rPr>
        <w:br w:type="page"/>
      </w:r>
    </w:p>
    <w:p w:rsidR="008413E3" w:rsidRPr="00AF4903" w:rsidRDefault="008413E3" w:rsidP="002D7A1F">
      <w:pPr>
        <w:spacing w:after="0" w:line="240" w:lineRule="auto"/>
        <w:jc w:val="both"/>
        <w:rPr>
          <w:rFonts w:ascii="Times New Roman" w:eastAsia="Times New Roman" w:hAnsi="Times New Roman" w:cs="Times New Roman"/>
          <w:b/>
          <w:bCs/>
          <w:color w:val="0E101A"/>
          <w:sz w:val="24"/>
          <w:szCs w:val="24"/>
          <w:u w:val="single"/>
        </w:rPr>
      </w:pPr>
      <w:r w:rsidRPr="00AF4903">
        <w:rPr>
          <w:rFonts w:ascii="Times New Roman" w:eastAsia="Times New Roman" w:hAnsi="Times New Roman" w:cs="Times New Roman"/>
          <w:b/>
          <w:bCs/>
          <w:color w:val="0E101A"/>
          <w:sz w:val="24"/>
          <w:szCs w:val="24"/>
          <w:u w:val="single"/>
        </w:rPr>
        <w:lastRenderedPageBreak/>
        <w:t>Highlights</w:t>
      </w:r>
    </w:p>
    <w:p w:rsidR="008413E3" w:rsidRPr="002D7A1F" w:rsidRDefault="008413E3" w:rsidP="002D7A1F">
      <w:pPr>
        <w:spacing w:after="0" w:line="240" w:lineRule="auto"/>
        <w:jc w:val="both"/>
        <w:rPr>
          <w:rFonts w:ascii="Times New Roman" w:eastAsia="Times New Roman" w:hAnsi="Times New Roman" w:cs="Times New Roman"/>
          <w:b/>
          <w:bCs/>
          <w:color w:val="0E101A"/>
          <w:sz w:val="24"/>
          <w:szCs w:val="24"/>
        </w:rPr>
      </w:pPr>
    </w:p>
    <w:p w:rsidR="00680EBB" w:rsidRPr="00680EBB" w:rsidRDefault="00680EBB" w:rsidP="002D7A1F">
      <w:pPr>
        <w:numPr>
          <w:ilvl w:val="0"/>
          <w:numId w:val="15"/>
        </w:numPr>
        <w:spacing w:after="0" w:line="240" w:lineRule="auto"/>
        <w:jc w:val="both"/>
        <w:rPr>
          <w:rFonts w:ascii="Times New Roman" w:eastAsia="Times New Roman" w:hAnsi="Times New Roman" w:cs="Times New Roman"/>
          <w:color w:val="0E101A"/>
          <w:sz w:val="24"/>
          <w:szCs w:val="24"/>
        </w:rPr>
      </w:pPr>
      <w:r w:rsidRPr="00680EBB">
        <w:rPr>
          <w:rFonts w:ascii="Times New Roman" w:eastAsia="Times New Roman" w:hAnsi="Times New Roman" w:cs="Times New Roman"/>
          <w:color w:val="0E101A"/>
          <w:sz w:val="24"/>
          <w:szCs w:val="24"/>
        </w:rPr>
        <w:t>To investigate and examine the energy production and waste management structures environmental impact in the European Union, focusing on the Baltic countries precisely.</w:t>
      </w:r>
    </w:p>
    <w:p w:rsidR="00680EBB" w:rsidRPr="00680EBB" w:rsidRDefault="00680EBB" w:rsidP="002D7A1F">
      <w:pPr>
        <w:numPr>
          <w:ilvl w:val="0"/>
          <w:numId w:val="15"/>
        </w:numPr>
        <w:spacing w:after="0" w:line="240" w:lineRule="auto"/>
        <w:jc w:val="both"/>
        <w:rPr>
          <w:rFonts w:ascii="Times New Roman" w:eastAsia="Times New Roman" w:hAnsi="Times New Roman" w:cs="Times New Roman"/>
          <w:color w:val="0E101A"/>
          <w:sz w:val="24"/>
          <w:szCs w:val="24"/>
        </w:rPr>
      </w:pPr>
      <w:r w:rsidRPr="00680EBB">
        <w:rPr>
          <w:rFonts w:ascii="Times New Roman" w:eastAsia="Times New Roman" w:hAnsi="Times New Roman" w:cs="Times New Roman"/>
          <w:color w:val="0E101A"/>
          <w:sz w:val="24"/>
          <w:szCs w:val="24"/>
        </w:rPr>
        <w:t>To review the procedure of the reuse of waste for energy production, likewise their contribution to the energy production system in the European Union.</w:t>
      </w:r>
    </w:p>
    <w:p w:rsidR="00680EBB" w:rsidRPr="00680EBB" w:rsidRDefault="00680EBB" w:rsidP="002D7A1F">
      <w:pPr>
        <w:numPr>
          <w:ilvl w:val="0"/>
          <w:numId w:val="15"/>
        </w:numPr>
        <w:spacing w:after="0" w:line="240" w:lineRule="auto"/>
        <w:jc w:val="both"/>
        <w:rPr>
          <w:rFonts w:ascii="Times New Roman" w:eastAsia="Times New Roman" w:hAnsi="Times New Roman" w:cs="Times New Roman"/>
          <w:color w:val="0E101A"/>
          <w:sz w:val="24"/>
          <w:szCs w:val="24"/>
        </w:rPr>
      </w:pPr>
      <w:r w:rsidRPr="00680EBB">
        <w:rPr>
          <w:rFonts w:ascii="Times New Roman" w:eastAsia="Times New Roman" w:hAnsi="Times New Roman" w:cs="Times New Roman"/>
          <w:color w:val="0E101A"/>
          <w:sz w:val="24"/>
          <w:szCs w:val="24"/>
        </w:rPr>
        <w:t>To evaluate the possibilities by which landfilled waste can be constantly used to generate energy and its environmental impact. </w:t>
      </w:r>
    </w:p>
    <w:p w:rsidR="00680EBB" w:rsidRPr="00680EBB" w:rsidRDefault="00680EBB" w:rsidP="002D7A1F">
      <w:pPr>
        <w:numPr>
          <w:ilvl w:val="0"/>
          <w:numId w:val="15"/>
        </w:numPr>
        <w:spacing w:after="0" w:line="240" w:lineRule="auto"/>
        <w:jc w:val="both"/>
        <w:rPr>
          <w:rFonts w:ascii="Times New Roman" w:eastAsia="Times New Roman" w:hAnsi="Times New Roman" w:cs="Times New Roman"/>
          <w:color w:val="0E101A"/>
          <w:sz w:val="24"/>
          <w:szCs w:val="24"/>
        </w:rPr>
      </w:pPr>
      <w:r w:rsidRPr="00680EBB">
        <w:rPr>
          <w:rFonts w:ascii="Times New Roman" w:eastAsia="Times New Roman" w:hAnsi="Times New Roman" w:cs="Times New Roman"/>
          <w:color w:val="0E101A"/>
          <w:sz w:val="24"/>
          <w:szCs w:val="24"/>
        </w:rPr>
        <w:t>To study the technological perspective of converting waste into valuable raw materials for energy production and its environmental impact.</w:t>
      </w:r>
    </w:p>
    <w:p w:rsidR="00680EBB" w:rsidRPr="00680EBB" w:rsidRDefault="00680EBB" w:rsidP="002D7A1F">
      <w:pPr>
        <w:numPr>
          <w:ilvl w:val="0"/>
          <w:numId w:val="15"/>
        </w:numPr>
        <w:spacing w:after="0" w:line="240" w:lineRule="auto"/>
        <w:jc w:val="both"/>
        <w:rPr>
          <w:rFonts w:ascii="Times New Roman" w:eastAsia="Times New Roman" w:hAnsi="Times New Roman" w:cs="Times New Roman"/>
          <w:color w:val="0E101A"/>
          <w:sz w:val="24"/>
          <w:szCs w:val="24"/>
        </w:rPr>
      </w:pPr>
      <w:r w:rsidRPr="00680EBB">
        <w:rPr>
          <w:rFonts w:ascii="Times New Roman" w:eastAsia="Times New Roman" w:hAnsi="Times New Roman" w:cs="Times New Roman"/>
          <w:color w:val="0E101A"/>
          <w:sz w:val="24"/>
          <w:szCs w:val="24"/>
        </w:rPr>
        <w:t>In reference to the listed tasks above, develop a technique that can provide an efficient waste management and energy production system. </w:t>
      </w:r>
    </w:p>
    <w:p w:rsidR="008413E3" w:rsidRPr="002D7A1F" w:rsidRDefault="008413E3" w:rsidP="002D7A1F">
      <w:pPr>
        <w:spacing w:after="0" w:line="240" w:lineRule="auto"/>
        <w:jc w:val="both"/>
        <w:rPr>
          <w:rFonts w:ascii="Times New Roman" w:eastAsia="Times New Roman" w:hAnsi="Times New Roman" w:cs="Times New Roman"/>
          <w:b/>
          <w:bCs/>
          <w:color w:val="0E101A"/>
          <w:sz w:val="24"/>
          <w:szCs w:val="24"/>
        </w:rPr>
      </w:pPr>
    </w:p>
    <w:p w:rsidR="008413E3" w:rsidRPr="00AF4903" w:rsidRDefault="008413E3" w:rsidP="002D7A1F">
      <w:pPr>
        <w:spacing w:after="0" w:line="240" w:lineRule="auto"/>
        <w:jc w:val="both"/>
        <w:rPr>
          <w:rFonts w:ascii="Times New Roman" w:eastAsia="Times New Roman" w:hAnsi="Times New Roman" w:cs="Times New Roman"/>
          <w:b/>
          <w:bCs/>
          <w:color w:val="0E101A"/>
          <w:sz w:val="24"/>
          <w:szCs w:val="24"/>
          <w:u w:val="single"/>
        </w:rPr>
      </w:pPr>
      <w:r w:rsidRPr="00AF4903">
        <w:rPr>
          <w:rFonts w:ascii="Times New Roman" w:eastAsia="Times New Roman" w:hAnsi="Times New Roman" w:cs="Times New Roman"/>
          <w:b/>
          <w:bCs/>
          <w:color w:val="0E101A"/>
          <w:sz w:val="24"/>
          <w:szCs w:val="24"/>
          <w:u w:val="single"/>
        </w:rPr>
        <w:t>Abstract</w:t>
      </w:r>
    </w:p>
    <w:p w:rsidR="008413E3" w:rsidRPr="002D7A1F" w:rsidRDefault="008413E3" w:rsidP="002D7A1F">
      <w:pPr>
        <w:spacing w:after="0" w:line="240" w:lineRule="auto"/>
        <w:jc w:val="both"/>
        <w:rPr>
          <w:rFonts w:ascii="Times New Roman" w:eastAsia="Times New Roman" w:hAnsi="Times New Roman" w:cs="Times New Roman"/>
          <w:b/>
          <w:bCs/>
          <w:color w:val="0E101A"/>
          <w:sz w:val="24"/>
          <w:szCs w:val="24"/>
        </w:rPr>
      </w:pPr>
    </w:p>
    <w:p w:rsidR="003B27BC" w:rsidRPr="002D7A1F" w:rsidRDefault="003B27BC" w:rsidP="002D7A1F">
      <w:pPr>
        <w:pStyle w:val="NormalWeb"/>
        <w:spacing w:before="0" w:beforeAutospacing="0" w:after="0" w:afterAutospacing="0"/>
        <w:ind w:firstLine="720"/>
        <w:jc w:val="both"/>
        <w:rPr>
          <w:color w:val="0E101A"/>
        </w:rPr>
      </w:pPr>
      <w:r w:rsidRPr="002D7A1F">
        <w:rPr>
          <w:color w:val="0E101A"/>
        </w:rPr>
        <w:t>This document is a product of my research on waste management structure in the European Union, focusing on Baltic countrie</w:t>
      </w:r>
      <w:r w:rsidR="000E4BB8">
        <w:rPr>
          <w:color w:val="0E101A"/>
        </w:rPr>
        <w:t>s precisely (Lithuania, Estonia</w:t>
      </w:r>
      <w:r w:rsidRPr="002D7A1F">
        <w:rPr>
          <w:color w:val="0E101A"/>
        </w:rPr>
        <w:t xml:space="preserve"> and Latvia) [1]. Europe has experienced constant population growth from 1960 to 2020 (see Figure.1) [4, 5]. This continuous population growth and good lifestyle are significant factors for an increase in the energy consumption rate in Europe [6, 7]. High energy de</w:t>
      </w:r>
      <w:r w:rsidR="000E4BB8">
        <w:rPr>
          <w:color w:val="0E101A"/>
        </w:rPr>
        <w:t>mands increase generated waste,</w:t>
      </w:r>
      <w:r w:rsidRPr="002D7A1F">
        <w:rPr>
          <w:color w:val="0E101A"/>
        </w:rPr>
        <w:t xml:space="preserve"> which is why European countries need to develop a standard waste management structure to tackle this problem [10, 11].</w:t>
      </w:r>
    </w:p>
    <w:p w:rsidR="003B27BC" w:rsidRPr="002D7A1F" w:rsidRDefault="003B27BC" w:rsidP="002D7A1F">
      <w:pPr>
        <w:pStyle w:val="NormalWeb"/>
        <w:spacing w:before="0" w:beforeAutospacing="0" w:after="0" w:afterAutospacing="0"/>
        <w:ind w:firstLine="720"/>
        <w:jc w:val="both"/>
        <w:rPr>
          <w:color w:val="0E101A"/>
        </w:rPr>
      </w:pPr>
      <w:r w:rsidRPr="002D7A1F">
        <w:rPr>
          <w:color w:val="0E101A"/>
        </w:rPr>
        <w:t>According to my research, one of the most efficient ways of managing waste is to recycle and convert it into energy, such as electricity and fuel [12, 13]. This can be achieved by various waste treatment processes leading to energy generation. Moreover, recycling and refining waste are economically beneficial; this helps reduce waste by holding on to raw materials and resources reserved for an extended period before usage in production [14, 15].</w:t>
      </w:r>
    </w:p>
    <w:p w:rsidR="003B27BC" w:rsidRPr="002D7A1F" w:rsidRDefault="003B27BC" w:rsidP="002D7A1F">
      <w:pPr>
        <w:pStyle w:val="NormalWeb"/>
        <w:spacing w:before="0" w:beforeAutospacing="0" w:after="0" w:afterAutospacing="0"/>
        <w:ind w:firstLine="720"/>
        <w:jc w:val="both"/>
        <w:rPr>
          <w:color w:val="0E101A"/>
        </w:rPr>
      </w:pPr>
      <w:r w:rsidRPr="002D7A1F">
        <w:rPr>
          <w:color w:val="0E101A"/>
        </w:rPr>
        <w:t>This research paper reviews the correlation of energy-from-waste with the structural management of domestic solid waste. This study highlights divergent domestic waste management methods exercised in the Baltic countries and their economic impact [8, 9]. </w:t>
      </w:r>
    </w:p>
    <w:p w:rsidR="003B27BC" w:rsidRPr="002D7A1F" w:rsidRDefault="003B27BC" w:rsidP="002D7A1F">
      <w:pPr>
        <w:pStyle w:val="NormalWeb"/>
        <w:spacing w:before="0" w:beforeAutospacing="0" w:after="0" w:afterAutospacing="0"/>
        <w:jc w:val="both"/>
        <w:rPr>
          <w:color w:val="0E101A"/>
        </w:rPr>
      </w:pPr>
      <w:r w:rsidRPr="002D7A1F">
        <w:rPr>
          <w:rStyle w:val="Strong"/>
          <w:color w:val="0E101A"/>
        </w:rPr>
        <w:t>Keywords: </w:t>
      </w:r>
      <w:r w:rsidRPr="002D7A1F">
        <w:rPr>
          <w:color w:val="0E101A"/>
        </w:rPr>
        <w:t>Energy-from-waste, Anaerobic metabolism, Domestic Solid Waste, Waste Framework Directives, European Union, Waste Management, Landfilling waste, Packaging and Packaging Waste Directive.</w:t>
      </w:r>
    </w:p>
    <w:p w:rsidR="003B27BC" w:rsidRPr="002D7A1F" w:rsidRDefault="003B27BC" w:rsidP="002D7A1F">
      <w:pPr>
        <w:pStyle w:val="NormalWeb"/>
        <w:spacing w:before="0" w:beforeAutospacing="0" w:after="0" w:afterAutospacing="0"/>
        <w:jc w:val="both"/>
        <w:rPr>
          <w:color w:val="0E101A"/>
        </w:rPr>
      </w:pPr>
    </w:p>
    <w:p w:rsidR="003B27BC" w:rsidRPr="00AF4903" w:rsidRDefault="003B27BC" w:rsidP="002D7A1F">
      <w:pPr>
        <w:pStyle w:val="NormalWeb"/>
        <w:spacing w:before="0" w:beforeAutospacing="0" w:after="0" w:afterAutospacing="0"/>
        <w:jc w:val="both"/>
        <w:rPr>
          <w:color w:val="0E101A"/>
          <w:u w:val="single"/>
        </w:rPr>
      </w:pPr>
      <w:r w:rsidRPr="00AF4903">
        <w:rPr>
          <w:rStyle w:val="Strong"/>
          <w:color w:val="0E101A"/>
          <w:u w:val="single"/>
        </w:rPr>
        <w:t>Introduction</w:t>
      </w:r>
    </w:p>
    <w:p w:rsidR="003B27BC" w:rsidRPr="002D7A1F" w:rsidRDefault="003B27BC" w:rsidP="002D7A1F">
      <w:pPr>
        <w:pStyle w:val="NormalWeb"/>
        <w:spacing w:before="0" w:beforeAutospacing="0" w:after="0" w:afterAutospacing="0"/>
        <w:jc w:val="both"/>
        <w:rPr>
          <w:color w:val="0E101A"/>
        </w:rPr>
      </w:pPr>
    </w:p>
    <w:p w:rsidR="003B27BC" w:rsidRPr="002D7A1F" w:rsidRDefault="003B27BC" w:rsidP="002D7A1F">
      <w:pPr>
        <w:pStyle w:val="NormalWeb"/>
        <w:spacing w:before="0" w:beforeAutospacing="0" w:after="0" w:afterAutospacing="0"/>
        <w:ind w:firstLine="720"/>
        <w:jc w:val="both"/>
        <w:rPr>
          <w:color w:val="0E101A"/>
        </w:rPr>
      </w:pPr>
      <w:r w:rsidRPr="002D7A1F">
        <w:rPr>
          <w:color w:val="0E101A"/>
        </w:rPr>
        <w:t>The waste management structure is crucial to our society and economy today. Many scientific pieces of research have shown that landfilled waste can be processed into biogas through an “anaerobic metabolism” [16]. Furthermore, incendiary destruction can be used in producing solid recuperate fuels, and organic materials derived from waste “biomass” can serve as an excellent renewable energy source [17]. </w:t>
      </w:r>
    </w:p>
    <w:p w:rsidR="003B27BC" w:rsidRPr="002D7A1F" w:rsidRDefault="003B27BC" w:rsidP="002D7A1F">
      <w:pPr>
        <w:pStyle w:val="NormalWeb"/>
        <w:spacing w:before="0" w:beforeAutospacing="0" w:after="0" w:afterAutospacing="0"/>
        <w:ind w:firstLine="720"/>
        <w:jc w:val="both"/>
        <w:rPr>
          <w:color w:val="0E101A"/>
        </w:rPr>
      </w:pPr>
      <w:r w:rsidRPr="002D7A1F">
        <w:rPr>
          <w:color w:val="0E101A"/>
        </w:rPr>
        <w:t>Environmental-friendly raw material derived from landfilled waste benefits the economy and society [18]. These materials are more profitable because they lower energy and material costs in contrast to the derivation and production of such material in real nature [19].</w:t>
      </w:r>
    </w:p>
    <w:p w:rsidR="003B27BC" w:rsidRPr="002D7A1F" w:rsidRDefault="003B27BC" w:rsidP="002D7A1F">
      <w:pPr>
        <w:pStyle w:val="NormalWeb"/>
        <w:spacing w:before="0" w:beforeAutospacing="0" w:after="0" w:afterAutospacing="0"/>
        <w:ind w:firstLine="720"/>
        <w:jc w:val="both"/>
        <w:rPr>
          <w:color w:val="0E101A"/>
        </w:rPr>
      </w:pPr>
      <w:r w:rsidRPr="002D7A1F">
        <w:rPr>
          <w:color w:val="0E101A"/>
        </w:rPr>
        <w:t xml:space="preserve">European Union members have experienced constant population growth from 1960 to 2020, as outlined in </w:t>
      </w:r>
      <w:r w:rsidRPr="00D04F86">
        <w:rPr>
          <w:color w:val="0E101A"/>
          <w:u w:val="single"/>
        </w:rPr>
        <w:t>Figure 1</w:t>
      </w:r>
      <w:r w:rsidRPr="002D7A1F">
        <w:rPr>
          <w:color w:val="0E101A"/>
        </w:rPr>
        <w:t xml:space="preserve"> [20]. This continuous population growth and good lifestyle are </w:t>
      </w:r>
      <w:r w:rsidRPr="002D7A1F">
        <w:rPr>
          <w:color w:val="0E101A"/>
        </w:rPr>
        <w:lastRenderedPageBreak/>
        <w:t>significant factors for an increase in the rate of energy consumption in the European Union. [1]. A</w:t>
      </w:r>
      <w:r w:rsidR="000E4BB8">
        <w:rPr>
          <w:color w:val="0E101A"/>
        </w:rPr>
        <w:t>ccording to my research, in 2020</w:t>
      </w:r>
      <w:r w:rsidRPr="002D7A1F">
        <w:rPr>
          <w:color w:val="0E101A"/>
        </w:rPr>
        <w:t>, the sum of waste generated in the European Union by commercial and household activities will be approximately 4812 kg per capita [2]. The fractional presentation of divergent commercial and household activities of generated waste in the European Union 2020 is outlined in</w:t>
      </w:r>
      <w:r w:rsidR="00042B37">
        <w:rPr>
          <w:color w:val="0E101A"/>
        </w:rPr>
        <w:t xml:space="preserve"> </w:t>
      </w:r>
      <w:r w:rsidR="00042B37" w:rsidRPr="00042B37">
        <w:rPr>
          <w:color w:val="0E101A"/>
          <w:u w:val="single"/>
        </w:rPr>
        <w:t>Figure 2</w:t>
      </w:r>
      <w:r w:rsidRPr="002D7A1F">
        <w:rPr>
          <w:color w:val="0E101A"/>
        </w:rPr>
        <w:t>.</w:t>
      </w:r>
    </w:p>
    <w:p w:rsidR="003B27BC" w:rsidRPr="002D7A1F" w:rsidRDefault="003B27BC" w:rsidP="002D7A1F">
      <w:pPr>
        <w:pStyle w:val="NormalWeb"/>
        <w:spacing w:before="0" w:beforeAutospacing="0" w:after="0" w:afterAutospacing="0"/>
        <w:ind w:firstLine="720"/>
        <w:jc w:val="both"/>
        <w:rPr>
          <w:color w:val="0E101A"/>
        </w:rPr>
      </w:pPr>
      <w:r w:rsidRPr="002D7A1F">
        <w:rPr>
          <w:color w:val="0E101A"/>
        </w:rPr>
        <w:t>Finland is one of the European Union countries with the highest recorded value of generated wa</w:t>
      </w:r>
      <w:r w:rsidR="000E4BB8">
        <w:rPr>
          <w:color w:val="0E101A"/>
        </w:rPr>
        <w:t>ste, estimated at over 20.5 ton</w:t>
      </w:r>
      <w:r w:rsidRPr="002D7A1F">
        <w:rPr>
          <w:color w:val="0E101A"/>
        </w:rPr>
        <w:t xml:space="preserve">s on average, this </w:t>
      </w:r>
      <w:r w:rsidR="000E4BB8">
        <w:rPr>
          <w:color w:val="0E101A"/>
        </w:rPr>
        <w:t>over four-time average (4.9 ton</w:t>
      </w:r>
      <w:r w:rsidRPr="002D7A1F">
        <w:rPr>
          <w:color w:val="0E101A"/>
        </w:rPr>
        <w:t xml:space="preserve">s) waste generated per inhabitant of the European </w:t>
      </w:r>
      <w:r w:rsidRPr="000E4BB8">
        <w:rPr>
          <w:color w:val="0E101A"/>
        </w:rPr>
        <w:t>Union</w:t>
      </w:r>
      <w:r w:rsidR="000E4BB8" w:rsidRPr="000E4BB8">
        <w:rPr>
          <w:color w:val="0E101A"/>
        </w:rPr>
        <w:t>.</w:t>
      </w:r>
      <w:r w:rsidRPr="000E4BB8">
        <w:rPr>
          <w:color w:val="0E101A"/>
        </w:rPr>
        <w:t> Mineral</w:t>
      </w:r>
      <w:r w:rsidRPr="002D7A1F">
        <w:rPr>
          <w:color w:val="0E101A"/>
        </w:rPr>
        <w:t xml:space="preserve"> wastes are composed of demolition [21], drilling, and mining and construction waste. Research has shown that in 2020, mineral waste was nearly 65% of waste generated in the European Union [1]. The amount of generated mineral waste varies across the European Union States [22], which may result from divergent commercial activities across the States. European Union States with a more significant fraction of mineral waste are considered to have carried out a lot of drilling and mining projects [23], evaluation and analyses of the generated wast</w:t>
      </w:r>
      <w:r w:rsidR="00D04F86">
        <w:rPr>
          <w:color w:val="0E101A"/>
        </w:rPr>
        <w:t xml:space="preserve">e are outlined in </w:t>
      </w:r>
      <w:r w:rsidR="00D04F86" w:rsidRPr="00D04F86">
        <w:rPr>
          <w:color w:val="0E101A"/>
          <w:u w:val="single"/>
        </w:rPr>
        <w:t>Figure</w:t>
      </w:r>
      <w:r w:rsidRPr="00D04F86">
        <w:rPr>
          <w:color w:val="0E101A"/>
          <w:u w:val="single"/>
        </w:rPr>
        <w:t xml:space="preserve"> 3</w:t>
      </w:r>
      <w:r w:rsidRPr="002D7A1F">
        <w:rPr>
          <w:color w:val="0E101A"/>
        </w:rPr>
        <w:t>.</w:t>
      </w:r>
    </w:p>
    <w:p w:rsidR="003B27BC" w:rsidRPr="002D7A1F" w:rsidRDefault="003B27BC" w:rsidP="000E4BB8">
      <w:pPr>
        <w:pStyle w:val="NormalWeb"/>
        <w:spacing w:after="0"/>
        <w:ind w:firstLine="720"/>
        <w:jc w:val="both"/>
        <w:rPr>
          <w:rStyle w:val="Strong"/>
          <w:b w:val="0"/>
          <w:color w:val="0E101A"/>
        </w:rPr>
      </w:pPr>
      <w:r w:rsidRPr="002D7A1F">
        <w:rPr>
          <w:rStyle w:val="Strong"/>
          <w:b w:val="0"/>
          <w:color w:val="0E101A"/>
        </w:rPr>
        <w:t>Keeping to the European Union solid waste management report, energy-from-waste, a form of renewable energy, will be one of the most suitable options to solve waste management challenges [24].</w:t>
      </w:r>
      <w:r w:rsidR="000E4BB8">
        <w:rPr>
          <w:rStyle w:val="Strong"/>
          <w:b w:val="0"/>
          <w:color w:val="0E101A"/>
        </w:rPr>
        <w:t xml:space="preserve"> </w:t>
      </w:r>
      <w:r w:rsidRPr="002D7A1F">
        <w:rPr>
          <w:rStyle w:val="Strong"/>
          <w:b w:val="0"/>
          <w:color w:val="0E101A"/>
        </w:rPr>
        <w:t>Education, gender, and pollution awareness are different criteria influencing waste management efficiency [2]. Citizens should be well educated about waste management procedures to actively participate in the process [25]. Introducing new policies and technology can sometimes be challenging for our society. Therefore, the government is responsible for educating its citizens with widespread information and mentorships. Waste management plays an urge role in human health and the environment, resulting in climate change, disease outbreaks, soil pollution, and air and water [2].</w:t>
      </w:r>
    </w:p>
    <w:p w:rsidR="00CC1786" w:rsidRPr="002D7A1F" w:rsidRDefault="00275A7D" w:rsidP="000E4BB8">
      <w:pPr>
        <w:pStyle w:val="NormalWeb"/>
        <w:spacing w:before="0" w:beforeAutospacing="0" w:after="0" w:afterAutospacing="0"/>
        <w:ind w:firstLine="720"/>
        <w:jc w:val="both"/>
        <w:rPr>
          <w:rStyle w:val="Strong"/>
          <w:b w:val="0"/>
          <w:color w:val="0E101A"/>
        </w:rPr>
      </w:pPr>
      <w:r>
        <w:rPr>
          <w:rStyle w:val="Strong"/>
          <w:b w:val="0"/>
          <w:color w:val="0E101A"/>
        </w:rPr>
        <w:t>In</w:t>
      </w:r>
      <w:r w:rsidR="003B27BC" w:rsidRPr="002D7A1F">
        <w:rPr>
          <w:rStyle w:val="Strong"/>
          <w:b w:val="0"/>
          <w:color w:val="0E101A"/>
        </w:rPr>
        <w:t xml:space="preserve"> the European Union waste management </w:t>
      </w:r>
      <w:r>
        <w:rPr>
          <w:rStyle w:val="Strong"/>
          <w:b w:val="0"/>
          <w:color w:val="0E101A"/>
        </w:rPr>
        <w:t xml:space="preserve">research </w:t>
      </w:r>
      <w:r w:rsidR="003B27BC" w:rsidRPr="002D7A1F">
        <w:rPr>
          <w:rStyle w:val="Strong"/>
          <w:b w:val="0"/>
          <w:color w:val="0E101A"/>
        </w:rPr>
        <w:t>report</w:t>
      </w:r>
      <w:r>
        <w:rPr>
          <w:rStyle w:val="Strong"/>
          <w:b w:val="0"/>
          <w:color w:val="0E101A"/>
        </w:rPr>
        <w:t>s</w:t>
      </w:r>
      <w:r w:rsidR="003B27BC" w:rsidRPr="002D7A1F">
        <w:rPr>
          <w:rStyle w:val="Strong"/>
          <w:b w:val="0"/>
          <w:color w:val="0E101A"/>
        </w:rPr>
        <w:t>, energy-from-waste, a form of renewable energy, will be one of the most suitable options to solve waste management challenges [26]. Education, gender, and pollution awareness are different criteria influencing waste management efficiency [2]. Citizens should be well educated about waste management procedures to participate actively. Introducing new policies and technology can sometimes be challenging for our society; therefore, the government is responsible for educating its citizens with widespread information and mentorships [27]. Waste management plays an urge role in human health and the environment, resulting in climate change, disease outbreaks, soil pollution, and air and water [2].</w:t>
      </w:r>
    </w:p>
    <w:p w:rsidR="003B27BC" w:rsidRPr="002D7A1F" w:rsidRDefault="003B27BC" w:rsidP="000E4BB8">
      <w:pPr>
        <w:pStyle w:val="NormalWeb"/>
        <w:spacing w:before="0" w:beforeAutospacing="0" w:after="0" w:afterAutospacing="0"/>
        <w:ind w:firstLine="720"/>
        <w:jc w:val="both"/>
        <w:rPr>
          <w:rStyle w:val="Strong"/>
          <w:color w:val="0E101A"/>
        </w:rPr>
      </w:pPr>
    </w:p>
    <w:p w:rsidR="003B27BC" w:rsidRPr="00AF4903" w:rsidRDefault="003B27BC" w:rsidP="002D7A1F">
      <w:pPr>
        <w:pStyle w:val="NormalWeb"/>
        <w:spacing w:before="0" w:beforeAutospacing="0" w:after="0" w:afterAutospacing="0"/>
        <w:jc w:val="both"/>
        <w:rPr>
          <w:color w:val="0E101A"/>
          <w:u w:val="single"/>
        </w:rPr>
      </w:pPr>
      <w:r w:rsidRPr="00AF4903">
        <w:rPr>
          <w:rStyle w:val="Strong"/>
          <w:color w:val="0E101A"/>
          <w:u w:val="single"/>
        </w:rPr>
        <w:t>Methodology</w:t>
      </w:r>
    </w:p>
    <w:p w:rsidR="003B27BC" w:rsidRPr="002D7A1F" w:rsidRDefault="003B27BC" w:rsidP="002D7A1F">
      <w:pPr>
        <w:pStyle w:val="NormalWeb"/>
        <w:spacing w:before="0" w:beforeAutospacing="0" w:after="0" w:afterAutospacing="0"/>
        <w:jc w:val="both"/>
        <w:rPr>
          <w:color w:val="0E101A"/>
        </w:rPr>
      </w:pPr>
      <w:r w:rsidRPr="002D7A1F">
        <w:rPr>
          <w:color w:val="0E101A"/>
        </w:rPr>
        <w:t> </w:t>
      </w:r>
    </w:p>
    <w:p w:rsidR="003B27BC" w:rsidRPr="002D7A1F" w:rsidRDefault="003B27BC" w:rsidP="002D7A1F">
      <w:pPr>
        <w:pStyle w:val="NormalWeb"/>
        <w:spacing w:before="0" w:beforeAutospacing="0" w:after="0" w:afterAutospacing="0"/>
        <w:ind w:firstLine="720"/>
        <w:jc w:val="both"/>
        <w:rPr>
          <w:color w:val="0E101A"/>
        </w:rPr>
      </w:pPr>
      <w:r w:rsidRPr="002D7A1F">
        <w:rPr>
          <w:color w:val="0E101A"/>
        </w:rPr>
        <w:t>Generated wastes in the European Union have appreciated over the last decades in contempt of the existing waste management policies. An ineffectual waste-collection structure is a key factor influencing the recycling rate and its by-products [28]. According to reports, the illegal disposal of industrial and chemical pollutants that can cause environmental pollution needs to be better examined and considered [3]. </w:t>
      </w:r>
    </w:p>
    <w:p w:rsidR="003B27BC" w:rsidRPr="002D7A1F" w:rsidRDefault="003B27BC" w:rsidP="002D7A1F">
      <w:pPr>
        <w:pStyle w:val="NormalWeb"/>
        <w:spacing w:before="0" w:beforeAutospacing="0" w:after="0" w:afterAutospacing="0"/>
        <w:ind w:firstLine="720"/>
        <w:jc w:val="both"/>
        <w:rPr>
          <w:color w:val="0E101A"/>
        </w:rPr>
      </w:pPr>
      <w:r w:rsidRPr="002D7A1F">
        <w:rPr>
          <w:color w:val="0E101A"/>
        </w:rPr>
        <w:t xml:space="preserve">The European Union Commission has evaluated precursory analysis of the implication of waste management, like reviewing the Waste Framework Directives [29]. Regarding these analyses in 2018, the European Union Commission implemented a systematic review of Industrial Emissions, Packaging Directives, Batteries Regulations and viable Eco-design product </w:t>
      </w:r>
      <w:r w:rsidRPr="002D7A1F">
        <w:rPr>
          <w:color w:val="0E101A"/>
        </w:rPr>
        <w:lastRenderedPageBreak/>
        <w:t>regulations. The European Union Commission is working towards the amendment of the Waste Frame Work Directives policy in 2023 [3]. This policy aims to ensure the general and viable management of industrial waste.</w:t>
      </w:r>
    </w:p>
    <w:p w:rsidR="003B27BC" w:rsidRDefault="003B27BC" w:rsidP="002D7A1F">
      <w:pPr>
        <w:pStyle w:val="NormalWeb"/>
        <w:spacing w:before="0" w:beforeAutospacing="0" w:after="0" w:afterAutospacing="0"/>
        <w:ind w:firstLine="720"/>
        <w:jc w:val="both"/>
        <w:rPr>
          <w:color w:val="0E101A"/>
        </w:rPr>
      </w:pPr>
      <w:proofErr w:type="gramStart"/>
      <w:r w:rsidRPr="002D7A1F">
        <w:rPr>
          <w:color w:val="0E101A"/>
        </w:rPr>
        <w:t>The European Union Commission aim to increase recycling and re-use of domestic waste by 65% in 2035.</w:t>
      </w:r>
      <w:proofErr w:type="gramEnd"/>
      <w:r w:rsidRPr="002D7A1F">
        <w:rPr>
          <w:color w:val="0E101A"/>
        </w:rPr>
        <w:t xml:space="preserve"> Concentrating on industrial waste, the Commission organized a workshop in 2020 to analyze obtainable principles of dealing with industrial waste. Moreover, the objectives of the Commission are to discuss and evaluate the most suitable methods for viable management of oil waste, collection of bio-waste, and waste prevention observation [30]. The outcome of the discussion and evaluation was finalized by the European Union Commission and European Economic Area [3].</w:t>
      </w:r>
    </w:p>
    <w:p w:rsidR="002D7A1F" w:rsidRPr="002D7A1F" w:rsidRDefault="002D7A1F" w:rsidP="002D7A1F">
      <w:pPr>
        <w:pStyle w:val="NormalWeb"/>
        <w:spacing w:before="0" w:beforeAutospacing="0" w:after="0" w:afterAutospacing="0"/>
        <w:ind w:firstLine="720"/>
        <w:jc w:val="both"/>
        <w:rPr>
          <w:color w:val="0E101A"/>
        </w:rPr>
      </w:pPr>
    </w:p>
    <w:p w:rsidR="00FB0EDD" w:rsidRPr="00AF4903" w:rsidRDefault="00FB0EDD" w:rsidP="002D7A1F">
      <w:pPr>
        <w:spacing w:after="0" w:line="240" w:lineRule="auto"/>
        <w:jc w:val="both"/>
        <w:rPr>
          <w:rFonts w:ascii="Times New Roman" w:eastAsia="Times New Roman" w:hAnsi="Times New Roman" w:cs="Times New Roman"/>
          <w:b/>
          <w:bCs/>
          <w:color w:val="0E101A"/>
          <w:sz w:val="24"/>
          <w:szCs w:val="24"/>
          <w:u w:val="single"/>
        </w:rPr>
      </w:pPr>
      <w:r w:rsidRPr="00AF4903">
        <w:rPr>
          <w:rFonts w:ascii="Times New Roman" w:eastAsia="Times New Roman" w:hAnsi="Times New Roman" w:cs="Times New Roman"/>
          <w:b/>
          <w:bCs/>
          <w:color w:val="0E101A"/>
          <w:sz w:val="24"/>
          <w:szCs w:val="24"/>
          <w:u w:val="single"/>
        </w:rPr>
        <w:t>The concept of waste management in the European Union and its environmental impact</w:t>
      </w:r>
    </w:p>
    <w:p w:rsidR="002D7A1F" w:rsidRPr="00FB0EDD" w:rsidRDefault="002D7A1F" w:rsidP="002D7A1F">
      <w:pPr>
        <w:spacing w:after="0" w:line="240" w:lineRule="auto"/>
        <w:jc w:val="both"/>
        <w:rPr>
          <w:rFonts w:ascii="Times New Roman" w:eastAsia="Times New Roman" w:hAnsi="Times New Roman" w:cs="Times New Roman"/>
          <w:color w:val="0E101A"/>
          <w:sz w:val="24"/>
          <w:szCs w:val="24"/>
        </w:rPr>
      </w:pPr>
    </w:p>
    <w:p w:rsidR="00FB0EDD" w:rsidRPr="00FB0EDD" w:rsidRDefault="00FB0EDD" w:rsidP="002D7A1F">
      <w:pPr>
        <w:spacing w:after="0" w:line="240" w:lineRule="auto"/>
        <w:ind w:firstLine="720"/>
        <w:jc w:val="both"/>
        <w:rPr>
          <w:rFonts w:ascii="Times New Roman" w:eastAsia="Times New Roman" w:hAnsi="Times New Roman" w:cs="Times New Roman"/>
          <w:color w:val="0E101A"/>
          <w:sz w:val="24"/>
          <w:szCs w:val="24"/>
        </w:rPr>
      </w:pPr>
      <w:r w:rsidRPr="00FB0EDD">
        <w:rPr>
          <w:rFonts w:ascii="Times New Roman" w:eastAsia="Times New Roman" w:hAnsi="Times New Roman" w:cs="Times New Roman"/>
          <w:color w:val="0E101A"/>
          <w:sz w:val="24"/>
          <w:szCs w:val="24"/>
        </w:rPr>
        <w:t xml:space="preserve">The European Union 2020 treated about 2030 million tons of waste, including imported wastes, but excludes the wastes exported from the European Union. The amount of waste transformed into energy [50], used for landfilling and recycled, grew to about 20% from 1110 million </w:t>
      </w:r>
      <w:r w:rsidRPr="002D7A1F">
        <w:rPr>
          <w:rFonts w:ascii="Times New Roman" w:eastAsia="Times New Roman" w:hAnsi="Times New Roman" w:cs="Times New Roman"/>
          <w:color w:val="0E101A"/>
          <w:sz w:val="24"/>
          <w:szCs w:val="24"/>
        </w:rPr>
        <w:t>tons</w:t>
      </w:r>
      <w:r w:rsidRPr="00FB0EDD">
        <w:rPr>
          <w:rFonts w:ascii="Times New Roman" w:eastAsia="Times New Roman" w:hAnsi="Times New Roman" w:cs="Times New Roman"/>
          <w:color w:val="0E101A"/>
          <w:sz w:val="24"/>
          <w:szCs w:val="24"/>
        </w:rPr>
        <w:t xml:space="preserve"> in 2010 to 1230 million </w:t>
      </w:r>
      <w:r w:rsidRPr="002D7A1F">
        <w:rPr>
          <w:rFonts w:ascii="Times New Roman" w:eastAsia="Times New Roman" w:hAnsi="Times New Roman" w:cs="Times New Roman"/>
          <w:color w:val="0E101A"/>
          <w:sz w:val="24"/>
          <w:szCs w:val="24"/>
        </w:rPr>
        <w:t>tons</w:t>
      </w:r>
      <w:r w:rsidRPr="00FB0EDD">
        <w:rPr>
          <w:rFonts w:ascii="Times New Roman" w:eastAsia="Times New Roman" w:hAnsi="Times New Roman" w:cs="Times New Roman"/>
          <w:color w:val="0E101A"/>
          <w:sz w:val="24"/>
          <w:szCs w:val="24"/>
        </w:rPr>
        <w:t xml:space="preserve"> in 2020, while the sum of waste disposal decreased over the years [1].</w:t>
      </w:r>
    </w:p>
    <w:p w:rsidR="00FB0EDD" w:rsidRPr="00FB0EDD" w:rsidRDefault="00FB0EDD" w:rsidP="002D7A1F">
      <w:pPr>
        <w:spacing w:after="0" w:line="240" w:lineRule="auto"/>
        <w:ind w:firstLine="720"/>
        <w:jc w:val="both"/>
        <w:rPr>
          <w:rFonts w:ascii="Times New Roman" w:eastAsia="Times New Roman" w:hAnsi="Times New Roman" w:cs="Times New Roman"/>
          <w:color w:val="0E101A"/>
          <w:sz w:val="24"/>
          <w:szCs w:val="24"/>
        </w:rPr>
      </w:pPr>
      <w:r w:rsidRPr="00FB0EDD">
        <w:rPr>
          <w:rFonts w:ascii="Times New Roman" w:eastAsia="Times New Roman" w:hAnsi="Times New Roman" w:cs="Times New Roman"/>
          <w:color w:val="0E101A"/>
          <w:sz w:val="24"/>
          <w:szCs w:val="24"/>
        </w:rPr>
        <w:t>According to my research, domestic solid waste comprises different components, and some of these components can transform into a secondary raw material or a product. Waste Framework Directive Articles 6 (1) and (2) ruled out specific standards that should be considered during a waste recovery operation, and the idea of introducing waste recovery operation standards is to protect the environment and boost the economy [32].</w:t>
      </w:r>
    </w:p>
    <w:p w:rsidR="00FB0EDD" w:rsidRPr="00FB0EDD" w:rsidRDefault="00FB0EDD" w:rsidP="002D7A1F">
      <w:pPr>
        <w:spacing w:after="0" w:line="240" w:lineRule="auto"/>
        <w:jc w:val="both"/>
        <w:rPr>
          <w:rFonts w:ascii="Times New Roman" w:eastAsia="Times New Roman" w:hAnsi="Times New Roman" w:cs="Times New Roman"/>
          <w:color w:val="0E101A"/>
          <w:sz w:val="24"/>
          <w:szCs w:val="24"/>
        </w:rPr>
      </w:pPr>
      <w:r w:rsidRPr="00FB0EDD">
        <w:rPr>
          <w:rFonts w:ascii="Times New Roman" w:eastAsia="Times New Roman" w:hAnsi="Times New Roman" w:cs="Times New Roman"/>
          <w:color w:val="0E101A"/>
          <w:sz w:val="24"/>
          <w:szCs w:val="24"/>
        </w:rPr>
        <w:t>Waste management strategies highlighted by the Waste Framework Directives are:</w:t>
      </w:r>
    </w:p>
    <w:p w:rsidR="00FB0EDD" w:rsidRPr="00FB0EDD" w:rsidRDefault="00FB0EDD" w:rsidP="002D7A1F">
      <w:pPr>
        <w:numPr>
          <w:ilvl w:val="0"/>
          <w:numId w:val="16"/>
        </w:numPr>
        <w:spacing w:after="0" w:line="240" w:lineRule="auto"/>
        <w:jc w:val="both"/>
        <w:rPr>
          <w:rFonts w:ascii="Times New Roman" w:eastAsia="Times New Roman" w:hAnsi="Times New Roman" w:cs="Times New Roman"/>
          <w:color w:val="0E101A"/>
          <w:sz w:val="24"/>
          <w:szCs w:val="24"/>
        </w:rPr>
      </w:pPr>
      <w:r w:rsidRPr="00FB0EDD">
        <w:rPr>
          <w:rFonts w:ascii="Times New Roman" w:eastAsia="Times New Roman" w:hAnsi="Times New Roman" w:cs="Times New Roman"/>
          <w:color w:val="0E101A"/>
          <w:sz w:val="24"/>
          <w:szCs w:val="24"/>
        </w:rPr>
        <w:t xml:space="preserve">waste is required to be managed without causing environmental noise or </w:t>
      </w:r>
      <w:r w:rsidRPr="002D7A1F">
        <w:rPr>
          <w:rFonts w:ascii="Times New Roman" w:eastAsia="Times New Roman" w:hAnsi="Times New Roman" w:cs="Times New Roman"/>
          <w:color w:val="0E101A"/>
          <w:sz w:val="24"/>
          <w:szCs w:val="24"/>
        </w:rPr>
        <w:t>odors</w:t>
      </w:r>
      <w:r w:rsidRPr="00FB0EDD">
        <w:rPr>
          <w:rFonts w:ascii="Times New Roman" w:eastAsia="Times New Roman" w:hAnsi="Times New Roman" w:cs="Times New Roman"/>
          <w:color w:val="0E101A"/>
          <w:sz w:val="24"/>
          <w:szCs w:val="24"/>
        </w:rPr>
        <w:t>;</w:t>
      </w:r>
    </w:p>
    <w:p w:rsidR="00FB0EDD" w:rsidRPr="00FB0EDD" w:rsidRDefault="00FB0EDD" w:rsidP="002D7A1F">
      <w:pPr>
        <w:numPr>
          <w:ilvl w:val="0"/>
          <w:numId w:val="16"/>
        </w:numPr>
        <w:spacing w:after="0" w:line="240" w:lineRule="auto"/>
        <w:jc w:val="both"/>
        <w:rPr>
          <w:rFonts w:ascii="Times New Roman" w:eastAsia="Times New Roman" w:hAnsi="Times New Roman" w:cs="Times New Roman"/>
          <w:color w:val="0E101A"/>
          <w:sz w:val="24"/>
          <w:szCs w:val="24"/>
        </w:rPr>
      </w:pPr>
      <w:r w:rsidRPr="00FB0EDD">
        <w:rPr>
          <w:rFonts w:ascii="Times New Roman" w:eastAsia="Times New Roman" w:hAnsi="Times New Roman" w:cs="Times New Roman"/>
          <w:color w:val="0E101A"/>
          <w:sz w:val="24"/>
          <w:szCs w:val="24"/>
        </w:rPr>
        <w:t>waste is needed to be managed without endangering plants, soil, animals, air and water;</w:t>
      </w:r>
    </w:p>
    <w:p w:rsidR="00FB0EDD" w:rsidRPr="00FB0EDD" w:rsidRDefault="00FB0EDD" w:rsidP="002D7A1F">
      <w:pPr>
        <w:numPr>
          <w:ilvl w:val="0"/>
          <w:numId w:val="16"/>
        </w:numPr>
        <w:spacing w:after="0" w:line="240" w:lineRule="auto"/>
        <w:jc w:val="both"/>
        <w:rPr>
          <w:rFonts w:ascii="Times New Roman" w:eastAsia="Times New Roman" w:hAnsi="Times New Roman" w:cs="Times New Roman"/>
          <w:color w:val="0E101A"/>
          <w:sz w:val="24"/>
          <w:szCs w:val="24"/>
        </w:rPr>
      </w:pPr>
      <w:r w:rsidRPr="00FB0EDD">
        <w:rPr>
          <w:rFonts w:ascii="Times New Roman" w:eastAsia="Times New Roman" w:hAnsi="Times New Roman" w:cs="Times New Roman"/>
          <w:color w:val="0E101A"/>
          <w:sz w:val="24"/>
          <w:szCs w:val="24"/>
        </w:rPr>
        <w:t xml:space="preserve">waste is needed to be managed without causing an environmental hazard or </w:t>
      </w:r>
      <w:r w:rsidRPr="002D7A1F">
        <w:rPr>
          <w:rFonts w:ascii="Times New Roman" w:eastAsia="Times New Roman" w:hAnsi="Times New Roman" w:cs="Times New Roman"/>
          <w:color w:val="0E101A"/>
          <w:sz w:val="24"/>
          <w:szCs w:val="24"/>
        </w:rPr>
        <w:t>imperiling</w:t>
      </w:r>
      <w:r w:rsidRPr="00FB0EDD">
        <w:rPr>
          <w:rFonts w:ascii="Times New Roman" w:eastAsia="Times New Roman" w:hAnsi="Times New Roman" w:cs="Times New Roman"/>
          <w:color w:val="0E101A"/>
          <w:sz w:val="24"/>
          <w:szCs w:val="24"/>
        </w:rPr>
        <w:t xml:space="preserve"> human health;</w:t>
      </w:r>
    </w:p>
    <w:p w:rsidR="00FB0EDD" w:rsidRPr="00FB0EDD" w:rsidRDefault="00FB0EDD" w:rsidP="002D7A1F">
      <w:pPr>
        <w:numPr>
          <w:ilvl w:val="0"/>
          <w:numId w:val="16"/>
        </w:numPr>
        <w:spacing w:after="0" w:line="240" w:lineRule="auto"/>
        <w:jc w:val="both"/>
        <w:rPr>
          <w:rFonts w:ascii="Times New Roman" w:eastAsia="Times New Roman" w:hAnsi="Times New Roman" w:cs="Times New Roman"/>
          <w:color w:val="0E101A"/>
          <w:sz w:val="24"/>
          <w:szCs w:val="24"/>
        </w:rPr>
      </w:pPr>
      <w:proofErr w:type="gramStart"/>
      <w:r w:rsidRPr="00FB0EDD">
        <w:rPr>
          <w:rFonts w:ascii="Times New Roman" w:eastAsia="Times New Roman" w:hAnsi="Times New Roman" w:cs="Times New Roman"/>
          <w:color w:val="0E101A"/>
          <w:sz w:val="24"/>
          <w:szCs w:val="24"/>
        </w:rPr>
        <w:t>waste</w:t>
      </w:r>
      <w:proofErr w:type="gramEnd"/>
      <w:r w:rsidRPr="00FB0EDD">
        <w:rPr>
          <w:rFonts w:ascii="Times New Roman" w:eastAsia="Times New Roman" w:hAnsi="Times New Roman" w:cs="Times New Roman"/>
          <w:color w:val="0E101A"/>
          <w:sz w:val="24"/>
          <w:szCs w:val="24"/>
        </w:rPr>
        <w:t xml:space="preserve"> is required to be managed without affecting the public social lifestyle.</w:t>
      </w:r>
    </w:p>
    <w:p w:rsidR="00FB0EDD" w:rsidRDefault="00FB0EDD" w:rsidP="002D7A1F">
      <w:pPr>
        <w:spacing w:after="0" w:line="240" w:lineRule="auto"/>
        <w:jc w:val="both"/>
        <w:rPr>
          <w:rFonts w:ascii="Times New Roman" w:eastAsia="Times New Roman" w:hAnsi="Times New Roman" w:cs="Times New Roman"/>
          <w:color w:val="0E101A"/>
          <w:sz w:val="24"/>
          <w:szCs w:val="24"/>
        </w:rPr>
      </w:pPr>
      <w:r w:rsidRPr="00FB0EDD">
        <w:rPr>
          <w:rFonts w:ascii="Times New Roman" w:eastAsia="Times New Roman" w:hAnsi="Times New Roman" w:cs="Times New Roman"/>
          <w:color w:val="0E101A"/>
          <w:sz w:val="24"/>
          <w:szCs w:val="24"/>
        </w:rPr>
        <w:t>Hazardous waste is one of the most challenging risk factors to human health and its environment, thus, requires severe evaluation and control [33]. The Waste Framework Directives has established a strategy that investigates and keep account of waste generation to its disposal and recovery [3]. </w:t>
      </w:r>
    </w:p>
    <w:p w:rsidR="002D7A1F" w:rsidRPr="00FB0EDD" w:rsidRDefault="002D7A1F" w:rsidP="002D7A1F">
      <w:pPr>
        <w:spacing w:after="0" w:line="240" w:lineRule="auto"/>
        <w:jc w:val="both"/>
        <w:rPr>
          <w:rFonts w:ascii="Times New Roman" w:eastAsia="Times New Roman" w:hAnsi="Times New Roman" w:cs="Times New Roman"/>
          <w:color w:val="0E101A"/>
          <w:sz w:val="24"/>
          <w:szCs w:val="24"/>
        </w:rPr>
      </w:pPr>
    </w:p>
    <w:p w:rsidR="00CC1786" w:rsidRPr="00AF4903" w:rsidRDefault="00CC1786" w:rsidP="002D7A1F">
      <w:pPr>
        <w:spacing w:after="0" w:line="240" w:lineRule="auto"/>
        <w:jc w:val="both"/>
        <w:rPr>
          <w:rFonts w:ascii="Times New Roman" w:eastAsia="Times New Roman" w:hAnsi="Times New Roman" w:cs="Times New Roman"/>
          <w:b/>
          <w:bCs/>
          <w:color w:val="0E101A"/>
          <w:sz w:val="24"/>
          <w:szCs w:val="24"/>
          <w:u w:val="single"/>
        </w:rPr>
      </w:pPr>
      <w:r w:rsidRPr="00AF4903">
        <w:rPr>
          <w:rFonts w:ascii="Times New Roman" w:eastAsia="Times New Roman" w:hAnsi="Times New Roman" w:cs="Times New Roman"/>
          <w:b/>
          <w:bCs/>
          <w:color w:val="0E101A"/>
          <w:sz w:val="24"/>
          <w:szCs w:val="24"/>
          <w:u w:val="single"/>
        </w:rPr>
        <w:t>European Union standards regarding domestic solid waste management</w:t>
      </w:r>
    </w:p>
    <w:p w:rsidR="00CC1786" w:rsidRPr="002D7A1F" w:rsidRDefault="002D7A1F" w:rsidP="002D7A1F">
      <w:pPr>
        <w:tabs>
          <w:tab w:val="left" w:pos="3614"/>
        </w:tabs>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p>
    <w:p w:rsidR="00CC1786" w:rsidRPr="002D7A1F" w:rsidRDefault="00AD7DAB" w:rsidP="002D7A1F">
      <w:pPr>
        <w:spacing w:after="0" w:line="240" w:lineRule="auto"/>
        <w:ind w:firstLine="720"/>
        <w:jc w:val="both"/>
        <w:rPr>
          <w:rFonts w:ascii="Times New Roman" w:eastAsia="Times New Roman" w:hAnsi="Times New Roman" w:cs="Times New Roman"/>
          <w:color w:val="0E101A"/>
          <w:sz w:val="24"/>
          <w:szCs w:val="24"/>
        </w:rPr>
      </w:pPr>
      <w:r w:rsidRPr="002D7A1F">
        <w:rPr>
          <w:rFonts w:ascii="Times New Roman" w:eastAsia="Times New Roman" w:hAnsi="Times New Roman" w:cs="Times New Roman"/>
          <w:color w:val="0E101A"/>
          <w:sz w:val="24"/>
          <w:szCs w:val="24"/>
        </w:rPr>
        <w:t>According</w:t>
      </w:r>
      <w:r w:rsidR="00CC1786" w:rsidRPr="002D7A1F">
        <w:rPr>
          <w:rFonts w:ascii="Times New Roman" w:eastAsia="Times New Roman" w:hAnsi="Times New Roman" w:cs="Times New Roman"/>
          <w:color w:val="0E101A"/>
          <w:sz w:val="24"/>
          <w:szCs w:val="24"/>
        </w:rPr>
        <w:t xml:space="preserve"> my research through published articles and papers, domestic solid waste management is regarded as waste from households and other channels like accommodation</w:t>
      </w:r>
      <w:r w:rsidR="00D24E92" w:rsidRPr="002D7A1F">
        <w:rPr>
          <w:rFonts w:ascii="Times New Roman" w:eastAsia="Times New Roman" w:hAnsi="Times New Roman" w:cs="Times New Roman"/>
          <w:color w:val="0E101A"/>
          <w:sz w:val="24"/>
          <w:szCs w:val="24"/>
        </w:rPr>
        <w:t xml:space="preserve"> [26]</w:t>
      </w:r>
      <w:r w:rsidR="00CC1786" w:rsidRPr="002D7A1F">
        <w:rPr>
          <w:rFonts w:ascii="Times New Roman" w:eastAsia="Times New Roman" w:hAnsi="Times New Roman" w:cs="Times New Roman"/>
          <w:color w:val="0E101A"/>
          <w:sz w:val="24"/>
          <w:szCs w:val="24"/>
        </w:rPr>
        <w:t>, food services, administration, health services, education and various activities which are related to nature</w:t>
      </w:r>
      <w:r w:rsidR="00D24E92" w:rsidRPr="002D7A1F">
        <w:rPr>
          <w:rFonts w:ascii="Times New Roman" w:eastAsia="Times New Roman" w:hAnsi="Times New Roman" w:cs="Times New Roman"/>
          <w:color w:val="0E101A"/>
          <w:sz w:val="24"/>
          <w:szCs w:val="24"/>
        </w:rPr>
        <w:t xml:space="preserve"> [</w:t>
      </w:r>
      <w:r w:rsidR="009972B0" w:rsidRPr="002D7A1F">
        <w:rPr>
          <w:rFonts w:ascii="Times New Roman" w:eastAsia="Times New Roman" w:hAnsi="Times New Roman" w:cs="Times New Roman"/>
          <w:color w:val="0E101A"/>
          <w:sz w:val="24"/>
          <w:szCs w:val="24"/>
        </w:rPr>
        <w:t>34</w:t>
      </w:r>
      <w:r w:rsidR="00546B61" w:rsidRPr="002D7A1F">
        <w:rPr>
          <w:rFonts w:ascii="Times New Roman" w:eastAsia="Times New Roman" w:hAnsi="Times New Roman" w:cs="Times New Roman"/>
          <w:color w:val="0E101A"/>
          <w:sz w:val="24"/>
          <w:szCs w:val="24"/>
        </w:rPr>
        <w:t>]</w:t>
      </w:r>
      <w:r w:rsidR="00CC1786" w:rsidRPr="002D7A1F">
        <w:rPr>
          <w:rFonts w:ascii="Times New Roman" w:eastAsia="Times New Roman" w:hAnsi="Times New Roman" w:cs="Times New Roman"/>
          <w:color w:val="0E101A"/>
          <w:sz w:val="24"/>
          <w:szCs w:val="24"/>
        </w:rPr>
        <w:t>. In 2016 the European Union recorded, domestic solid waste only covers 10.5% of total waste generated. Notwithstanding, the local government needs to address this topic by empowering waste collection personnel and creating public awareness of the importance of domestic solid waste management</w:t>
      </w:r>
      <w:r w:rsidR="009972B0" w:rsidRPr="002D7A1F">
        <w:rPr>
          <w:rFonts w:ascii="Times New Roman" w:eastAsia="Times New Roman" w:hAnsi="Times New Roman" w:cs="Times New Roman"/>
          <w:color w:val="0E101A"/>
          <w:sz w:val="24"/>
          <w:szCs w:val="24"/>
        </w:rPr>
        <w:t xml:space="preserve"> [35]</w:t>
      </w:r>
      <w:r w:rsidR="00CC1786" w:rsidRPr="002D7A1F">
        <w:rPr>
          <w:rFonts w:ascii="Times New Roman" w:eastAsia="Times New Roman" w:hAnsi="Times New Roman" w:cs="Times New Roman"/>
          <w:color w:val="0E101A"/>
          <w:sz w:val="24"/>
          <w:szCs w:val="24"/>
        </w:rPr>
        <w:t>. 55% to 85% of domestic solid waste comes from households and the rest from commercial activities. Domestic solid wastes are complicated to recycle because they comprise plastic, wood, glass, ba</w:t>
      </w:r>
      <w:r w:rsidR="00F45401" w:rsidRPr="002D7A1F">
        <w:rPr>
          <w:rFonts w:ascii="Times New Roman" w:eastAsia="Times New Roman" w:hAnsi="Times New Roman" w:cs="Times New Roman"/>
          <w:color w:val="0E101A"/>
          <w:sz w:val="24"/>
          <w:szCs w:val="24"/>
        </w:rPr>
        <w:t>tteries, oil wastes, paper, etc. [36].</w:t>
      </w:r>
    </w:p>
    <w:p w:rsidR="00CC1786" w:rsidRPr="002D7A1F" w:rsidRDefault="00CC1786" w:rsidP="002D7A1F">
      <w:pPr>
        <w:spacing w:after="0" w:line="240" w:lineRule="auto"/>
        <w:ind w:firstLine="720"/>
        <w:jc w:val="both"/>
        <w:rPr>
          <w:rFonts w:ascii="Times New Roman" w:eastAsia="Times New Roman" w:hAnsi="Times New Roman" w:cs="Times New Roman"/>
          <w:color w:val="0E101A"/>
          <w:sz w:val="24"/>
          <w:szCs w:val="24"/>
        </w:rPr>
      </w:pPr>
      <w:r w:rsidRPr="002D7A1F">
        <w:rPr>
          <w:rFonts w:ascii="Times New Roman" w:eastAsia="Times New Roman" w:hAnsi="Times New Roman" w:cs="Times New Roman"/>
          <w:color w:val="0E101A"/>
          <w:sz w:val="24"/>
          <w:szCs w:val="24"/>
        </w:rPr>
        <w:lastRenderedPageBreak/>
        <w:t>Since domestic solid waste management is an important aspect of our society, the European Union has adopted peculiar legislation that ensures the recycling and re-use of domestic solid waste</w:t>
      </w:r>
      <w:r w:rsidR="00F45401" w:rsidRPr="002D7A1F">
        <w:rPr>
          <w:rFonts w:ascii="Times New Roman" w:eastAsia="Times New Roman" w:hAnsi="Times New Roman" w:cs="Times New Roman"/>
          <w:color w:val="0E101A"/>
          <w:sz w:val="24"/>
          <w:szCs w:val="24"/>
        </w:rPr>
        <w:t xml:space="preserve"> [37]</w:t>
      </w:r>
      <w:r w:rsidRPr="002D7A1F">
        <w:rPr>
          <w:rFonts w:ascii="Times New Roman" w:eastAsia="Times New Roman" w:hAnsi="Times New Roman" w:cs="Times New Roman"/>
          <w:color w:val="0E101A"/>
          <w:sz w:val="24"/>
          <w:szCs w:val="24"/>
        </w:rPr>
        <w:t>. The domestic solid waste h</w:t>
      </w:r>
      <w:r w:rsidR="00F00A8B" w:rsidRPr="002D7A1F">
        <w:rPr>
          <w:rFonts w:ascii="Times New Roman" w:eastAsia="Times New Roman" w:hAnsi="Times New Roman" w:cs="Times New Roman"/>
          <w:color w:val="0E101A"/>
          <w:sz w:val="24"/>
          <w:szCs w:val="24"/>
        </w:rPr>
        <w:t xml:space="preserve">ierarchy is outlined in </w:t>
      </w:r>
      <w:r w:rsidR="00F00A8B" w:rsidRPr="00D04F86">
        <w:rPr>
          <w:rFonts w:ascii="Times New Roman" w:eastAsia="Times New Roman" w:hAnsi="Times New Roman" w:cs="Times New Roman"/>
          <w:color w:val="0E101A"/>
          <w:sz w:val="24"/>
          <w:szCs w:val="24"/>
          <w:u w:val="single"/>
        </w:rPr>
        <w:t>Figure 4</w:t>
      </w:r>
      <w:r w:rsidRPr="002D7A1F">
        <w:rPr>
          <w:rFonts w:ascii="Times New Roman" w:eastAsia="Times New Roman" w:hAnsi="Times New Roman" w:cs="Times New Roman"/>
          <w:color w:val="0E101A"/>
          <w:sz w:val="24"/>
          <w:szCs w:val="24"/>
        </w:rPr>
        <w:t>.</w:t>
      </w:r>
    </w:p>
    <w:p w:rsidR="00CC1786" w:rsidRPr="002D7A1F" w:rsidRDefault="00D1604D" w:rsidP="002D7A1F">
      <w:pPr>
        <w:spacing w:line="240" w:lineRule="auto"/>
        <w:ind w:firstLine="720"/>
        <w:jc w:val="both"/>
        <w:rPr>
          <w:rFonts w:ascii="Times New Roman" w:hAnsi="Times New Roman" w:cs="Times New Roman"/>
          <w:sz w:val="24"/>
          <w:szCs w:val="24"/>
        </w:rPr>
      </w:pPr>
      <w:r w:rsidRPr="002D7A1F">
        <w:rPr>
          <w:rFonts w:ascii="Times New Roman" w:hAnsi="Times New Roman" w:cs="Times New Roman"/>
          <w:sz w:val="24"/>
          <w:szCs w:val="24"/>
        </w:rPr>
        <w:t>Waste Framework Directives 2008 revised version outlined protective measures for human health and it environment by ensuring the reduction of waste generated in the European Union States</w:t>
      </w:r>
      <w:r w:rsidR="00885826" w:rsidRPr="002D7A1F">
        <w:rPr>
          <w:rFonts w:ascii="Times New Roman" w:hAnsi="Times New Roman" w:cs="Times New Roman"/>
          <w:sz w:val="24"/>
          <w:szCs w:val="24"/>
        </w:rPr>
        <w:t xml:space="preserve"> [38]</w:t>
      </w:r>
      <w:r w:rsidRPr="002D7A1F">
        <w:rPr>
          <w:rFonts w:ascii="Times New Roman" w:hAnsi="Times New Roman" w:cs="Times New Roman"/>
          <w:sz w:val="24"/>
          <w:szCs w:val="24"/>
        </w:rPr>
        <w:t>.</w:t>
      </w:r>
    </w:p>
    <w:p w:rsidR="00CC1786" w:rsidRPr="002D7A1F" w:rsidRDefault="00CC1786" w:rsidP="002D7A1F">
      <w:pPr>
        <w:spacing w:line="240" w:lineRule="auto"/>
        <w:ind w:firstLine="720"/>
        <w:jc w:val="both"/>
        <w:rPr>
          <w:rFonts w:ascii="Times New Roman" w:hAnsi="Times New Roman" w:cs="Times New Roman"/>
          <w:sz w:val="24"/>
          <w:szCs w:val="24"/>
        </w:rPr>
      </w:pPr>
      <w:r w:rsidRPr="002D7A1F">
        <w:rPr>
          <w:rFonts w:ascii="Times New Roman" w:hAnsi="Times New Roman" w:cs="Times New Roman"/>
          <w:sz w:val="24"/>
          <w:szCs w:val="24"/>
        </w:rPr>
        <w:t>One of the laid down plans is to encourage separate collection of definite materials, thus simplifying the recycling process which will eventually improve the European Union economy.</w:t>
      </w:r>
    </w:p>
    <w:p w:rsidR="00D33660" w:rsidRPr="002D7A1F" w:rsidRDefault="00CC1786" w:rsidP="002D7A1F">
      <w:pPr>
        <w:spacing w:line="240" w:lineRule="auto"/>
        <w:ind w:firstLine="720"/>
        <w:jc w:val="both"/>
        <w:rPr>
          <w:rFonts w:ascii="Times New Roman" w:hAnsi="Times New Roman" w:cs="Times New Roman"/>
          <w:sz w:val="24"/>
          <w:szCs w:val="24"/>
        </w:rPr>
      </w:pPr>
      <w:r w:rsidRPr="002D7A1F">
        <w:rPr>
          <w:rFonts w:ascii="Times New Roman" w:hAnsi="Times New Roman" w:cs="Times New Roman"/>
          <w:sz w:val="24"/>
          <w:szCs w:val="24"/>
        </w:rPr>
        <w:t>In 2018 there is a revision to Packaging and Packaging Waste Directives which objectives to avoid the generation of packaging waste and its environmental influence</w:t>
      </w:r>
      <w:r w:rsidR="00885826" w:rsidRPr="002D7A1F">
        <w:rPr>
          <w:rFonts w:ascii="Times New Roman" w:hAnsi="Times New Roman" w:cs="Times New Roman"/>
          <w:sz w:val="24"/>
          <w:szCs w:val="24"/>
        </w:rPr>
        <w:t xml:space="preserve"> [39</w:t>
      </w:r>
      <w:r w:rsidR="001B5CB8">
        <w:rPr>
          <w:rFonts w:ascii="Times New Roman" w:hAnsi="Times New Roman" w:cs="Times New Roman"/>
          <w:sz w:val="24"/>
          <w:szCs w:val="24"/>
        </w:rPr>
        <w:t>, 59</w:t>
      </w:r>
      <w:r w:rsidR="00885826" w:rsidRPr="002D7A1F">
        <w:rPr>
          <w:rFonts w:ascii="Times New Roman" w:hAnsi="Times New Roman" w:cs="Times New Roman"/>
          <w:sz w:val="24"/>
          <w:szCs w:val="24"/>
        </w:rPr>
        <w:t>]</w:t>
      </w:r>
      <w:r w:rsidRPr="002D7A1F">
        <w:rPr>
          <w:rFonts w:ascii="Times New Roman" w:hAnsi="Times New Roman" w:cs="Times New Roman"/>
          <w:sz w:val="24"/>
          <w:szCs w:val="24"/>
        </w:rPr>
        <w:t>. Furthermore, the European Commission endorsed the Circular Economy Package whose objective is to speed up the circular economy transaction by minimizing raw materials consumption and avoiding waste generation</w:t>
      </w:r>
      <w:r w:rsidR="00885826" w:rsidRPr="002D7A1F">
        <w:rPr>
          <w:rFonts w:ascii="Times New Roman" w:hAnsi="Times New Roman" w:cs="Times New Roman"/>
          <w:sz w:val="24"/>
          <w:szCs w:val="24"/>
        </w:rPr>
        <w:t xml:space="preserve"> [40</w:t>
      </w:r>
      <w:r w:rsidR="001B5CB8">
        <w:rPr>
          <w:rFonts w:ascii="Times New Roman" w:hAnsi="Times New Roman" w:cs="Times New Roman"/>
          <w:sz w:val="24"/>
          <w:szCs w:val="24"/>
        </w:rPr>
        <w:t>, 60</w:t>
      </w:r>
      <w:r w:rsidR="00885826" w:rsidRPr="002D7A1F">
        <w:rPr>
          <w:rFonts w:ascii="Times New Roman" w:hAnsi="Times New Roman" w:cs="Times New Roman"/>
          <w:sz w:val="24"/>
          <w:szCs w:val="24"/>
        </w:rPr>
        <w:t>]</w:t>
      </w:r>
      <w:r w:rsidRPr="002D7A1F">
        <w:rPr>
          <w:rFonts w:ascii="Times New Roman" w:hAnsi="Times New Roman" w:cs="Times New Roman"/>
          <w:sz w:val="24"/>
          <w:szCs w:val="24"/>
        </w:rPr>
        <w:t xml:space="preserve">.  The European Union legislative scheme for domestic solid waste management is </w:t>
      </w:r>
      <w:r w:rsidR="008857B3">
        <w:rPr>
          <w:rFonts w:ascii="Times New Roman" w:hAnsi="Times New Roman" w:cs="Times New Roman"/>
          <w:sz w:val="24"/>
          <w:szCs w:val="24"/>
        </w:rPr>
        <w:t xml:space="preserve">outlined in </w:t>
      </w:r>
      <w:r w:rsidR="008857B3" w:rsidRPr="00D04F86">
        <w:rPr>
          <w:rFonts w:ascii="Times New Roman" w:hAnsi="Times New Roman" w:cs="Times New Roman"/>
          <w:sz w:val="24"/>
          <w:szCs w:val="24"/>
          <w:u w:val="single"/>
        </w:rPr>
        <w:t>Table 1</w:t>
      </w:r>
      <w:r w:rsidRPr="002D7A1F">
        <w:rPr>
          <w:rFonts w:ascii="Times New Roman" w:hAnsi="Times New Roman" w:cs="Times New Roman"/>
          <w:sz w:val="24"/>
          <w:szCs w:val="24"/>
        </w:rPr>
        <w:t>.</w:t>
      </w:r>
    </w:p>
    <w:p w:rsidR="00CC1786" w:rsidRPr="002D7A1F" w:rsidRDefault="00CC1786" w:rsidP="002D7A1F">
      <w:pPr>
        <w:pStyle w:val="NormalWeb"/>
        <w:spacing w:before="0" w:beforeAutospacing="0" w:after="0" w:afterAutospacing="0"/>
        <w:ind w:firstLine="720"/>
        <w:jc w:val="both"/>
        <w:rPr>
          <w:color w:val="0E101A"/>
        </w:rPr>
      </w:pPr>
      <w:r w:rsidRPr="002D7A1F">
        <w:rPr>
          <w:color w:val="0E101A"/>
        </w:rPr>
        <w:t>Over the years, the European Union has established Strategies and Directives which oversee the legal interest of the State Members. European Member of States receives funding for domestic solid waste projects from European financial institutions like European project investment and reconstruction banks</w:t>
      </w:r>
      <w:r w:rsidR="00B312AB" w:rsidRPr="002D7A1F">
        <w:rPr>
          <w:color w:val="0E101A"/>
        </w:rPr>
        <w:t xml:space="preserve"> [41]</w:t>
      </w:r>
      <w:r w:rsidRPr="002D7A1F">
        <w:rPr>
          <w:color w:val="0E101A"/>
        </w:rPr>
        <w:t>. Waste management planning and regulation enforcement are mandates in ministries, regional administrative level and regional agencies across all the European States</w:t>
      </w:r>
      <w:r w:rsidR="00B312AB" w:rsidRPr="002D7A1F">
        <w:rPr>
          <w:color w:val="0E101A"/>
        </w:rPr>
        <w:t xml:space="preserve"> [42]</w:t>
      </w:r>
      <w:r w:rsidRPr="002D7A1F">
        <w:rPr>
          <w:color w:val="0E101A"/>
        </w:rPr>
        <w:t>. Municipalities and inter-municipality bodies are also responsible to ensure quality service for citizens through municipalities-owned waste management companies or by private companies through procurement. Across the European Union, different waste management bodies have been established to ensure quality domestic solid waste management services.</w:t>
      </w:r>
    </w:p>
    <w:p w:rsidR="00B312AB" w:rsidRPr="002D7A1F" w:rsidRDefault="00B312AB" w:rsidP="002D7A1F">
      <w:pPr>
        <w:pStyle w:val="NormalWeb"/>
        <w:spacing w:before="0" w:beforeAutospacing="0" w:after="0" w:afterAutospacing="0"/>
        <w:ind w:firstLine="720"/>
        <w:jc w:val="both"/>
        <w:rPr>
          <w:color w:val="0E101A"/>
        </w:rPr>
      </w:pPr>
    </w:p>
    <w:p w:rsidR="00FB0EDD" w:rsidRPr="00AF4903" w:rsidRDefault="00FB0EDD" w:rsidP="002D7A1F">
      <w:pPr>
        <w:pStyle w:val="NormalWeb"/>
        <w:spacing w:before="0" w:beforeAutospacing="0" w:after="0" w:afterAutospacing="0"/>
        <w:jc w:val="both"/>
        <w:rPr>
          <w:color w:val="0E101A"/>
          <w:u w:val="single"/>
        </w:rPr>
      </w:pPr>
      <w:r w:rsidRPr="00AF4903">
        <w:rPr>
          <w:rStyle w:val="Strong"/>
          <w:color w:val="0E101A"/>
          <w:u w:val="single"/>
        </w:rPr>
        <w:t>Structure of energy-from-waste processing technics</w:t>
      </w:r>
    </w:p>
    <w:p w:rsidR="00FB0EDD" w:rsidRPr="002D7A1F" w:rsidRDefault="00FB0EDD" w:rsidP="002D7A1F">
      <w:pPr>
        <w:pStyle w:val="NormalWeb"/>
        <w:spacing w:before="0" w:beforeAutospacing="0" w:after="0" w:afterAutospacing="0"/>
        <w:ind w:firstLine="720"/>
        <w:jc w:val="both"/>
        <w:rPr>
          <w:color w:val="0E101A"/>
        </w:rPr>
      </w:pPr>
      <w:r w:rsidRPr="002D7A1F">
        <w:rPr>
          <w:color w:val="0E101A"/>
        </w:rPr>
        <w:t> </w:t>
      </w:r>
    </w:p>
    <w:p w:rsidR="00FB0EDD" w:rsidRPr="002D7A1F" w:rsidRDefault="00FB0EDD" w:rsidP="002D7A1F">
      <w:pPr>
        <w:pStyle w:val="NormalWeb"/>
        <w:spacing w:before="0" w:beforeAutospacing="0" w:after="0" w:afterAutospacing="0"/>
        <w:ind w:firstLine="720"/>
        <w:jc w:val="both"/>
        <w:rPr>
          <w:color w:val="0E101A"/>
        </w:rPr>
      </w:pPr>
      <w:r w:rsidRPr="002D7A1F">
        <w:rPr>
          <w:color w:val="0E101A"/>
        </w:rPr>
        <w:t>Multiple pieces of research have proven that poor domestic waste treatment can cause water, air and soil pollution. Therefore, the European Union has established legislation that will ensure the amount of biodegradable waste going into landfill is reduced by 55% in 2025 compared to 2000 [44]. </w:t>
      </w:r>
    </w:p>
    <w:p w:rsidR="00FB0EDD" w:rsidRPr="002D7A1F" w:rsidRDefault="00FB0EDD" w:rsidP="002D7A1F">
      <w:pPr>
        <w:pStyle w:val="NormalWeb"/>
        <w:spacing w:before="0" w:beforeAutospacing="0" w:after="0" w:afterAutospacing="0"/>
        <w:ind w:firstLine="720"/>
        <w:jc w:val="both"/>
        <w:rPr>
          <w:color w:val="0E101A"/>
        </w:rPr>
      </w:pPr>
      <w:r w:rsidRPr="002D7A1F">
        <w:rPr>
          <w:color w:val="0E101A"/>
        </w:rPr>
        <w:t>Energy-from-waste is one of the factors that will boost waste reduction by transforming waste into renewable energy [43].</w:t>
      </w:r>
    </w:p>
    <w:p w:rsidR="00FB0EDD" w:rsidRPr="002D7A1F" w:rsidRDefault="00FB0EDD" w:rsidP="002D7A1F">
      <w:pPr>
        <w:pStyle w:val="NormalWeb"/>
        <w:spacing w:before="0" w:beforeAutospacing="0" w:after="0" w:afterAutospacing="0"/>
        <w:ind w:firstLine="720"/>
        <w:jc w:val="both"/>
        <w:rPr>
          <w:color w:val="0E101A"/>
        </w:rPr>
      </w:pPr>
      <w:r w:rsidRPr="002D7A1F">
        <w:rPr>
          <w:color w:val="0E101A"/>
        </w:rPr>
        <w:t>Energy-from-waste is a complex term that can describe different technologies and procedures. Transforming waste into energy benefits human health, the environment and our economy [45]. The scheme of energy-from-waste technologies regarding conversion processes is outlined in (</w:t>
      </w:r>
      <w:r w:rsidRPr="00D04F86">
        <w:rPr>
          <w:color w:val="0E101A"/>
          <w:u w:val="single"/>
        </w:rPr>
        <w:t>Figure 5</w:t>
      </w:r>
      <w:r w:rsidRPr="002D7A1F">
        <w:rPr>
          <w:color w:val="0E101A"/>
        </w:rPr>
        <w:t>).</w:t>
      </w:r>
    </w:p>
    <w:p w:rsidR="00FB0EDD" w:rsidRPr="002D7A1F" w:rsidRDefault="00FB0EDD" w:rsidP="002D7A1F">
      <w:pPr>
        <w:pStyle w:val="NormalWeb"/>
        <w:spacing w:before="0" w:beforeAutospacing="0" w:after="0" w:afterAutospacing="0"/>
        <w:ind w:firstLine="720"/>
        <w:jc w:val="both"/>
        <w:rPr>
          <w:color w:val="0E101A"/>
        </w:rPr>
      </w:pPr>
      <w:r w:rsidRPr="002D7A1F">
        <w:rPr>
          <w:color w:val="0E101A"/>
        </w:rPr>
        <w:t>The suitable well-known technology to derive energy-from-waste is “Incineration”. It is the absolute oxidation inside a waste stream of incendiary materials at a temperature over 850 °C (</w:t>
      </w:r>
      <w:r w:rsidRPr="00D04F86">
        <w:rPr>
          <w:color w:val="0E101A"/>
          <w:u w:val="single"/>
        </w:rPr>
        <w:t>Figure 6</w:t>
      </w:r>
      <w:r w:rsidRPr="002D7A1F">
        <w:rPr>
          <w:color w:val="0E101A"/>
        </w:rPr>
        <w:t>) [46]. At temperatures between 500 to 1800 °C fragmental oxidation occurs, which decreases access to oxygen. During this process, syngas can congregate and be processed for various uses. One of the benefits of incineration is that it can be used to address different wastes.</w:t>
      </w:r>
    </w:p>
    <w:p w:rsidR="00FB0EDD" w:rsidRPr="002D7A1F" w:rsidRDefault="00FB0EDD" w:rsidP="002D7A1F">
      <w:pPr>
        <w:pStyle w:val="NormalWeb"/>
        <w:spacing w:before="0" w:beforeAutospacing="0" w:after="0" w:afterAutospacing="0"/>
        <w:ind w:firstLine="720"/>
        <w:jc w:val="both"/>
        <w:rPr>
          <w:color w:val="0E101A"/>
        </w:rPr>
      </w:pPr>
      <w:r w:rsidRPr="002D7A1F">
        <w:rPr>
          <w:color w:val="0E101A"/>
        </w:rPr>
        <w:t xml:space="preserve">Anaerobic metabolism is a unique process for attaining a circular economy, increasing bioenergy production and resource sustainability. The thermochemical conversion process by </w:t>
      </w:r>
      <w:r w:rsidRPr="002D7A1F">
        <w:rPr>
          <w:color w:val="0E101A"/>
        </w:rPr>
        <w:lastRenderedPageBreak/>
        <w:t>which bio-crude oil is obtained from biomass is called hydrothermal liquefaction [48]. Obtained bio-crude oil can be transformed into petroleum under the 4 to22 MPa pressure and at a temperature of 250 to 370 °C</w:t>
      </w:r>
    </w:p>
    <w:p w:rsidR="00D1604D" w:rsidRPr="002D7A1F" w:rsidRDefault="00D1604D" w:rsidP="002D7A1F">
      <w:pPr>
        <w:pStyle w:val="NormalWeb"/>
        <w:spacing w:before="0" w:beforeAutospacing="0" w:after="0" w:afterAutospacing="0"/>
        <w:ind w:firstLine="720"/>
        <w:jc w:val="both"/>
        <w:rPr>
          <w:color w:val="0E101A"/>
        </w:rPr>
      </w:pPr>
    </w:p>
    <w:p w:rsidR="002D7A1F" w:rsidRPr="00AF4903" w:rsidRDefault="002B00DE" w:rsidP="002D7A1F">
      <w:pPr>
        <w:pStyle w:val="NormalWeb"/>
        <w:spacing w:before="0" w:beforeAutospacing="0" w:after="0" w:afterAutospacing="0"/>
        <w:jc w:val="both"/>
        <w:rPr>
          <w:rStyle w:val="Strong"/>
          <w:color w:val="0E101A"/>
          <w:u w:val="single"/>
        </w:rPr>
      </w:pPr>
      <w:r w:rsidRPr="00AF4903">
        <w:rPr>
          <w:rStyle w:val="Strong"/>
          <w:color w:val="0E101A"/>
          <w:u w:val="single"/>
        </w:rPr>
        <w:t>Results</w:t>
      </w:r>
    </w:p>
    <w:p w:rsidR="008857B3" w:rsidRPr="002D7A1F" w:rsidRDefault="008857B3" w:rsidP="008857B3">
      <w:pPr>
        <w:pStyle w:val="NormalWeb"/>
        <w:spacing w:after="0"/>
        <w:ind w:firstLine="720"/>
        <w:jc w:val="both"/>
        <w:rPr>
          <w:rStyle w:val="Strong"/>
          <w:b w:val="0"/>
          <w:color w:val="0E101A"/>
        </w:rPr>
      </w:pPr>
      <w:r w:rsidRPr="002D7A1F">
        <w:rPr>
          <w:rStyle w:val="Strong"/>
          <w:b w:val="0"/>
          <w:color w:val="0E101A"/>
        </w:rPr>
        <w:t>European Union's waste generation record was at its peak in 2020; approximately 170 million tons of manufacturing, 210 million tons of water service, and 195 million tons of household waste was recorded. Analyzing the dat</w:t>
      </w:r>
      <w:r>
        <w:rPr>
          <w:rStyle w:val="Strong"/>
          <w:b w:val="0"/>
          <w:color w:val="0E101A"/>
        </w:rPr>
        <w:t>a in (</w:t>
      </w:r>
      <w:r w:rsidRPr="00D04F86">
        <w:rPr>
          <w:rStyle w:val="Strong"/>
          <w:b w:val="0"/>
          <w:color w:val="0E101A"/>
          <w:u w:val="single"/>
        </w:rPr>
        <w:t>Table 2</w:t>
      </w:r>
      <w:r>
        <w:rPr>
          <w:rStyle w:val="Strong"/>
          <w:b w:val="0"/>
          <w:color w:val="0E101A"/>
        </w:rPr>
        <w:t>)</w:t>
      </w:r>
      <w:r w:rsidRPr="002D7A1F">
        <w:rPr>
          <w:rStyle w:val="Strong"/>
          <w:b w:val="0"/>
          <w:color w:val="0E101A"/>
        </w:rPr>
        <w:t>, in the gap between 2004-2020, the European Union households and water service waste appreciated by 180% and 12%, while manufacturing waste depreciated by 29%.</w:t>
      </w:r>
    </w:p>
    <w:p w:rsidR="002D7A1F" w:rsidRPr="002D7A1F" w:rsidRDefault="002D7A1F" w:rsidP="002D7A1F">
      <w:pPr>
        <w:pStyle w:val="NormalWeb"/>
        <w:spacing w:before="0" w:beforeAutospacing="0" w:after="0" w:afterAutospacing="0"/>
        <w:ind w:firstLine="720"/>
        <w:jc w:val="both"/>
        <w:rPr>
          <w:color w:val="0E101A"/>
        </w:rPr>
      </w:pPr>
      <w:r w:rsidRPr="002D7A1F">
        <w:rPr>
          <w:color w:val="0E101A"/>
        </w:rPr>
        <w:t>Based on research analysis, the Baltic States (Lithuania, Estonia, and Latvia) in the space of 2005 to 2015 have overwhelming track records of waste recovery compared to other members of the European Union. Yearly, the significant amount of waste generated in the Baltic States has decreased [35, 49]. The waste statistics result shows that in 2014 amount of landfilled waste in Lithuania was nearly 80%, in Latvia 60% and in Estonia 8%. In 2014 Lithuania managed to reduce its waste disposal by 35% compared to the 2010 waste statistic result. After the Baltic States formally joined the European Union in 2004, a waste management system was established, which enabled the collection of waste separately for easy waste recovery [37, 49]. The Baltic States are among the nations that adopt waste incineration treatment methods</w:t>
      </w:r>
      <w:r w:rsidR="001B5CB8">
        <w:rPr>
          <w:color w:val="0E101A"/>
        </w:rPr>
        <w:t xml:space="preserve"> [58]</w:t>
      </w:r>
      <w:r w:rsidRPr="002D7A1F">
        <w:rPr>
          <w:color w:val="0E101A"/>
        </w:rPr>
        <w:t>. The European Union, over the years, established two strategies for dealing with domestic solid waste; material recovery through incineration and material recovery through [8]. According to the 2015 European Union waste management report, Estonia generates a list of household waste compared to Lithuania and Latvia. Baltic State's domestic solid waste is below the European Union average of 476 kg/per capita [49].</w:t>
      </w:r>
    </w:p>
    <w:p w:rsidR="002D7A1F" w:rsidRPr="002D7A1F" w:rsidRDefault="002D7A1F" w:rsidP="002D7A1F">
      <w:pPr>
        <w:pStyle w:val="NormalWeb"/>
        <w:spacing w:before="0" w:beforeAutospacing="0" w:after="0" w:afterAutospacing="0"/>
        <w:ind w:firstLine="720"/>
        <w:jc w:val="both"/>
        <w:rPr>
          <w:color w:val="0E101A"/>
        </w:rPr>
      </w:pPr>
      <w:r w:rsidRPr="002D7A1F">
        <w:rPr>
          <w:color w:val="0E101A"/>
        </w:rPr>
        <w:t>Comparing the 2010 European Union waste statistic report to the recent 2020, Latvia takes the lead among the Baltic States in reducing generated waste, followed by Lithuania, while Estonia is the list (</w:t>
      </w:r>
      <w:r w:rsidRPr="00D04F86">
        <w:rPr>
          <w:color w:val="0E101A"/>
          <w:u w:val="single"/>
        </w:rPr>
        <w:t>Figure 7</w:t>
      </w:r>
      <w:r w:rsidRPr="002D7A1F">
        <w:rPr>
          <w:color w:val="0E101A"/>
        </w:rPr>
        <w:t>). Despite all these waste management achievements in the Baltic States [49], there are plans to increase the efficiency of waste management sy</w:t>
      </w:r>
      <w:r w:rsidR="008857B3">
        <w:rPr>
          <w:color w:val="0E101A"/>
        </w:rPr>
        <w:t>stems across the States (</w:t>
      </w:r>
      <w:r w:rsidR="008857B3" w:rsidRPr="00D04F86">
        <w:rPr>
          <w:color w:val="0E101A"/>
          <w:u w:val="single"/>
        </w:rPr>
        <w:t>Table 3</w:t>
      </w:r>
      <w:r w:rsidRPr="002D7A1F">
        <w:rPr>
          <w:color w:val="0E101A"/>
        </w:rPr>
        <w:t>).</w:t>
      </w:r>
    </w:p>
    <w:p w:rsidR="002D7A1F" w:rsidRPr="002D7A1F" w:rsidRDefault="002D7A1F" w:rsidP="002D7A1F">
      <w:pPr>
        <w:pStyle w:val="NormalWeb"/>
        <w:spacing w:before="0" w:beforeAutospacing="0" w:after="0" w:afterAutospacing="0"/>
        <w:ind w:firstLine="720"/>
        <w:jc w:val="both"/>
        <w:rPr>
          <w:color w:val="0E101A"/>
        </w:rPr>
      </w:pPr>
      <w:r w:rsidRPr="002D7A1F">
        <w:rPr>
          <w:color w:val="0E101A"/>
        </w:rPr>
        <w:t>The Lithuanian government has amended its legislation on waste management taxes to make changes on recyclable and non-recyclable packaging tax and educate and encourage citizens to invest in waste management activities [8, 49]. Latvian and Estonian government have advanced their waste management system by preventing landfill waste and diverting European Union structural funds to eco-innovation and domestic waste management [9].</w:t>
      </w:r>
    </w:p>
    <w:p w:rsidR="00525C5E" w:rsidRPr="002D7A1F" w:rsidRDefault="00525C5E" w:rsidP="002D7A1F">
      <w:pPr>
        <w:spacing w:line="240" w:lineRule="auto"/>
        <w:ind w:firstLine="720"/>
        <w:jc w:val="both"/>
        <w:rPr>
          <w:rFonts w:ascii="Times New Roman" w:hAnsi="Times New Roman" w:cs="Times New Roman"/>
          <w:sz w:val="24"/>
          <w:szCs w:val="24"/>
        </w:rPr>
      </w:pPr>
    </w:p>
    <w:p w:rsidR="002D7A1F" w:rsidRDefault="002D7A1F" w:rsidP="002D7A1F">
      <w:pPr>
        <w:pStyle w:val="NormalWeb"/>
        <w:spacing w:before="0" w:beforeAutospacing="0" w:after="0" w:afterAutospacing="0"/>
        <w:jc w:val="both"/>
        <w:rPr>
          <w:rStyle w:val="Strong"/>
          <w:color w:val="0E101A"/>
        </w:rPr>
      </w:pPr>
      <w:r w:rsidRPr="002D7A1F">
        <w:rPr>
          <w:rStyle w:val="Strong"/>
          <w:color w:val="0E101A"/>
        </w:rPr>
        <w:t>Conclusion</w:t>
      </w:r>
    </w:p>
    <w:p w:rsidR="002D7A1F" w:rsidRPr="002D7A1F" w:rsidRDefault="002D7A1F" w:rsidP="002B00DE">
      <w:pPr>
        <w:pStyle w:val="NormalWeb"/>
        <w:spacing w:before="0" w:beforeAutospacing="0" w:after="0" w:afterAutospacing="0"/>
        <w:ind w:firstLine="720"/>
        <w:jc w:val="both"/>
        <w:rPr>
          <w:color w:val="0E101A"/>
        </w:rPr>
      </w:pPr>
    </w:p>
    <w:p w:rsidR="002D7A1F" w:rsidRPr="002D7A1F" w:rsidRDefault="002D7A1F" w:rsidP="002B00DE">
      <w:pPr>
        <w:pStyle w:val="NormalWeb"/>
        <w:spacing w:before="0" w:beforeAutospacing="0" w:after="0" w:afterAutospacing="0"/>
        <w:ind w:firstLine="720"/>
        <w:jc w:val="both"/>
        <w:rPr>
          <w:color w:val="0E101A"/>
        </w:rPr>
      </w:pPr>
      <w:r w:rsidRPr="002D7A1F">
        <w:rPr>
          <w:color w:val="0E101A"/>
        </w:rPr>
        <w:t>The European Union 2020 treated about 2030 million tons of waste, including imported wastes, but excludes the wastes exported from the European Union. The amount of waste transformed into energy, used for landfilling and recycled grew to about 20% from 1110 million tones 2010 to 1230 million tones 2020, while the sum of waste disposal decreased over the years [1, 50].</w:t>
      </w:r>
    </w:p>
    <w:p w:rsidR="002D7A1F" w:rsidRPr="002D7A1F" w:rsidRDefault="002D7A1F" w:rsidP="002B00DE">
      <w:pPr>
        <w:pStyle w:val="NormalWeb"/>
        <w:spacing w:before="0" w:beforeAutospacing="0" w:after="0" w:afterAutospacing="0"/>
        <w:ind w:firstLine="720"/>
        <w:jc w:val="both"/>
        <w:rPr>
          <w:color w:val="0E101A"/>
        </w:rPr>
      </w:pPr>
      <w:r w:rsidRPr="002D7A1F">
        <w:rPr>
          <w:color w:val="0E101A"/>
        </w:rPr>
        <w:t xml:space="preserve">Considering waste management challenges in the European Union and the Baltic States, proper waste management regulation is one of the key factors that needs proper examination and </w:t>
      </w:r>
      <w:r w:rsidRPr="002D7A1F">
        <w:rPr>
          <w:color w:val="0E101A"/>
        </w:rPr>
        <w:lastRenderedPageBreak/>
        <w:t>consideration to run a waste-free economy [35</w:t>
      </w:r>
      <w:r w:rsidR="001B5CB8">
        <w:rPr>
          <w:color w:val="0E101A"/>
        </w:rPr>
        <w:t>, 57</w:t>
      </w:r>
      <w:r w:rsidRPr="002D7A1F">
        <w:rPr>
          <w:color w:val="0E101A"/>
        </w:rPr>
        <w:t>]. There is a need for urgent investment support for infrastructures and technologies that can enhance waste management. Municipalities across the European Union and the Baltic States need to create a monitoring establishment that can coordinate, standardize, regulate, and update databases on waste generation and management [49]. Provision of separate waste collection procedures and ensuring standard treatment technologies for each collected material sample is necessary.  </w:t>
      </w:r>
    </w:p>
    <w:p w:rsidR="002D7A1F" w:rsidRPr="002D7A1F" w:rsidRDefault="002D7A1F" w:rsidP="002B00DE">
      <w:pPr>
        <w:pStyle w:val="NormalWeb"/>
        <w:spacing w:before="0" w:beforeAutospacing="0" w:after="0" w:afterAutospacing="0"/>
        <w:ind w:firstLine="720"/>
        <w:jc w:val="both"/>
        <w:rPr>
          <w:color w:val="0E101A"/>
        </w:rPr>
      </w:pPr>
      <w:r w:rsidRPr="002D7A1F">
        <w:rPr>
          <w:color w:val="0E101A"/>
        </w:rPr>
        <w:t>Energy-from-waste has an urge role to play in the European Union waste management system</w:t>
      </w:r>
      <w:r w:rsidR="00887D24">
        <w:rPr>
          <w:color w:val="0E101A"/>
        </w:rPr>
        <w:t xml:space="preserve"> [53, 54]</w:t>
      </w:r>
      <w:r w:rsidRPr="002D7A1F">
        <w:rPr>
          <w:color w:val="0E101A"/>
        </w:rPr>
        <w:t>; this means waste that cannot be recycled or prevented can be incinerated to produce heat and electricity, which can eventually be distributed to homes and industries [9, 46]. Energy-from-waste is one of the economically and environmentally safe methods of treating domestic waste. </w:t>
      </w:r>
    </w:p>
    <w:p w:rsidR="00016A05" w:rsidRPr="00016A05" w:rsidRDefault="00016A05" w:rsidP="00016A05">
      <w:pPr>
        <w:pStyle w:val="NormalWeb"/>
        <w:spacing w:after="0"/>
        <w:ind w:firstLine="720"/>
        <w:jc w:val="both"/>
        <w:rPr>
          <w:color w:val="0E101A"/>
        </w:rPr>
      </w:pPr>
      <w:r w:rsidRPr="00016A05">
        <w:rPr>
          <w:color w:val="0E101A"/>
        </w:rPr>
        <w:t>Energy-from-waste plants can reduce landfilled waste by 85%, waste residue like metals can be refined, and sands residue can be used for road construction [8, 9].</w:t>
      </w:r>
    </w:p>
    <w:p w:rsidR="002B00DE" w:rsidRDefault="00016A05" w:rsidP="00D04F86">
      <w:pPr>
        <w:pStyle w:val="NormalWeb"/>
        <w:spacing w:before="0" w:beforeAutospacing="0" w:after="0" w:afterAutospacing="0"/>
        <w:ind w:firstLine="720"/>
        <w:jc w:val="both"/>
        <w:rPr>
          <w:color w:val="0E101A"/>
        </w:rPr>
      </w:pPr>
      <w:r w:rsidRPr="00016A05">
        <w:rPr>
          <w:color w:val="0E101A"/>
        </w:rPr>
        <w:t>The Baltic States have adopted the incinerated waste treatment method</w:t>
      </w:r>
      <w:r w:rsidR="00887D24">
        <w:rPr>
          <w:color w:val="0E101A"/>
        </w:rPr>
        <w:t xml:space="preserve"> [55, 56]</w:t>
      </w:r>
      <w:r w:rsidRPr="00016A05">
        <w:rPr>
          <w:color w:val="0E101A"/>
        </w:rPr>
        <w:t>, and many plans have been put in place to transform non-recyclable waste into energy. Latvia, Estonia and Lithuania are among the top countries in the European Union 2020 waste management report that successfully tackle waste management problems through the Energy-from-waste process [1].</w:t>
      </w:r>
    </w:p>
    <w:p w:rsidR="00D04F86" w:rsidRDefault="00D04F86" w:rsidP="00E560AB">
      <w:pPr>
        <w:spacing w:line="240" w:lineRule="auto"/>
        <w:jc w:val="both"/>
        <w:rPr>
          <w:rFonts w:ascii="Times New Roman" w:hAnsi="Times New Roman" w:cs="Times New Roman"/>
          <w:b/>
          <w:sz w:val="24"/>
          <w:szCs w:val="24"/>
          <w:u w:val="single"/>
        </w:rPr>
      </w:pPr>
    </w:p>
    <w:p w:rsidR="00724B61" w:rsidRPr="00AF4903" w:rsidRDefault="00364397" w:rsidP="00E560AB">
      <w:pPr>
        <w:spacing w:line="240" w:lineRule="auto"/>
        <w:jc w:val="both"/>
        <w:rPr>
          <w:rFonts w:ascii="Times New Roman" w:hAnsi="Times New Roman" w:cs="Times New Roman"/>
          <w:b/>
          <w:sz w:val="24"/>
          <w:szCs w:val="24"/>
          <w:u w:val="single"/>
        </w:rPr>
      </w:pPr>
      <w:r w:rsidRPr="00AF4903">
        <w:rPr>
          <w:rFonts w:ascii="Times New Roman" w:hAnsi="Times New Roman" w:cs="Times New Roman"/>
          <w:b/>
          <w:sz w:val="24"/>
          <w:szCs w:val="24"/>
          <w:u w:val="single"/>
        </w:rPr>
        <w:t>References</w:t>
      </w:r>
    </w:p>
    <w:p w:rsidR="006B6C2D" w:rsidRPr="00963A01" w:rsidRDefault="006B6C2D" w:rsidP="006B6C2D">
      <w:pPr>
        <w:pStyle w:val="NormalWeb"/>
        <w:numPr>
          <w:ilvl w:val="0"/>
          <w:numId w:val="14"/>
        </w:numPr>
      </w:pPr>
      <w:r w:rsidRPr="00963A01">
        <w:t xml:space="preserve">EU Statistics explained. (2020). Retrieved December 7, 2020, from </w:t>
      </w:r>
      <w:hyperlink r:id="rId6" w:history="1">
        <w:r w:rsidRPr="00963A01">
          <w:rPr>
            <w:rStyle w:val="Hyperlink"/>
          </w:rPr>
          <w:t>https://ec.europa.eu/eurostat/statistics-explained/index.php?title=Waste_statistics</w:t>
        </w:r>
      </w:hyperlink>
    </w:p>
    <w:p w:rsidR="006B6C2D" w:rsidRPr="00963A01" w:rsidRDefault="006B6C2D" w:rsidP="006B6C2D">
      <w:pPr>
        <w:pStyle w:val="NormalWeb"/>
        <w:numPr>
          <w:ilvl w:val="0"/>
          <w:numId w:val="14"/>
        </w:numPr>
      </w:pPr>
      <w:r w:rsidRPr="00963A01">
        <w:t xml:space="preserve">EU Statistics explained. (2020). Retrieved December 7, 2020, from </w:t>
      </w:r>
      <w:hyperlink r:id="rId7" w:history="1">
        <w:r w:rsidRPr="00963A01">
          <w:rPr>
            <w:rStyle w:val="Hyperlink"/>
          </w:rPr>
          <w:t>https://ec.europa.eu/eurostat/statistics-explained/index.php?title=Municipal_waste_statistics</w:t>
        </w:r>
      </w:hyperlink>
    </w:p>
    <w:p w:rsidR="006B6C2D" w:rsidRPr="00963A01" w:rsidRDefault="006B6C2D" w:rsidP="006B6C2D">
      <w:pPr>
        <w:pStyle w:val="NormalWeb"/>
        <w:numPr>
          <w:ilvl w:val="0"/>
          <w:numId w:val="14"/>
        </w:numPr>
      </w:pPr>
      <w:r w:rsidRPr="00963A01">
        <w:t>Wa</w:t>
      </w:r>
      <w:r w:rsidR="00D04F86">
        <w:t xml:space="preserve">ste framework directive. </w:t>
      </w:r>
      <w:r w:rsidRPr="00963A01">
        <w:t xml:space="preserve">Retrieved December 7, 2020, from </w:t>
      </w:r>
      <w:hyperlink r:id="rId8" w:history="1">
        <w:r w:rsidRPr="00963A01">
          <w:rPr>
            <w:rStyle w:val="Hyperlink"/>
          </w:rPr>
          <w:t>https://environment.ec.europa.eu/topics/waste-and-recycling/waste-framework-directive_en</w:t>
        </w:r>
      </w:hyperlink>
    </w:p>
    <w:p w:rsidR="006B6C2D" w:rsidRPr="00963A01" w:rsidRDefault="006B6C2D" w:rsidP="006B6C2D">
      <w:pPr>
        <w:pStyle w:val="NormalWeb"/>
        <w:numPr>
          <w:ilvl w:val="0"/>
          <w:numId w:val="14"/>
        </w:numPr>
      </w:pPr>
      <w:proofErr w:type="spellStart"/>
      <w:r w:rsidRPr="00963A01">
        <w:t>Dossi</w:t>
      </w:r>
      <w:proofErr w:type="spellEnd"/>
      <w:r w:rsidRPr="00963A01">
        <w:t xml:space="preserve">, S. (2017) </w:t>
      </w:r>
      <w:r w:rsidRPr="00963A01">
        <w:rPr>
          <w:i/>
          <w:iCs/>
        </w:rPr>
        <w:t xml:space="preserve">Cities and the European Union: Mechanisms and modes of </w:t>
      </w:r>
      <w:proofErr w:type="spellStart"/>
      <w:r w:rsidRPr="00963A01">
        <w:rPr>
          <w:i/>
          <w:iCs/>
        </w:rPr>
        <w:t>europeanisation</w:t>
      </w:r>
      <w:proofErr w:type="spellEnd"/>
      <w:r w:rsidRPr="00963A01">
        <w:t xml:space="preserve">. Colchester, United Kingdom: ECPR Press. </w:t>
      </w:r>
    </w:p>
    <w:p w:rsidR="00D04F86" w:rsidRPr="00963A01" w:rsidRDefault="006B6C2D" w:rsidP="00EF54A0">
      <w:pPr>
        <w:pStyle w:val="NormalWeb"/>
        <w:numPr>
          <w:ilvl w:val="0"/>
          <w:numId w:val="14"/>
        </w:numPr>
      </w:pPr>
      <w:r w:rsidRPr="00963A01">
        <w:t>Castillo-</w:t>
      </w:r>
      <w:proofErr w:type="spellStart"/>
      <w:r w:rsidRPr="00963A01">
        <w:t>Giménez</w:t>
      </w:r>
      <w:proofErr w:type="spellEnd"/>
      <w:r w:rsidRPr="00963A01">
        <w:t xml:space="preserve">, J., </w:t>
      </w:r>
      <w:proofErr w:type="spellStart"/>
      <w:r w:rsidRPr="00963A01">
        <w:t>Montañés</w:t>
      </w:r>
      <w:proofErr w:type="spellEnd"/>
      <w:r w:rsidRPr="00963A01">
        <w:t xml:space="preserve">, A., &amp; </w:t>
      </w:r>
      <w:proofErr w:type="spellStart"/>
      <w:r w:rsidRPr="00963A01">
        <w:t>Picazo-Tadeo</w:t>
      </w:r>
      <w:proofErr w:type="spellEnd"/>
      <w:r w:rsidRPr="00963A01">
        <w:t xml:space="preserve">, A. J. (2019). Performance and convergence in municipal waste treatment in the European Union. </w:t>
      </w:r>
      <w:r w:rsidRPr="00D04F86">
        <w:rPr>
          <w:i/>
          <w:iCs/>
        </w:rPr>
        <w:t>Waste Management,</w:t>
      </w:r>
      <w:r w:rsidRPr="00963A01">
        <w:t xml:space="preserve"> </w:t>
      </w:r>
      <w:r w:rsidRPr="00D04F86">
        <w:rPr>
          <w:i/>
          <w:iCs/>
        </w:rPr>
        <w:t>85</w:t>
      </w:r>
      <w:r w:rsidRPr="00963A01">
        <w:t xml:space="preserve">, 222-231. </w:t>
      </w:r>
      <w:hyperlink r:id="rId9" w:history="1">
        <w:r w:rsidR="00D04F86" w:rsidRPr="006E0E14">
          <w:rPr>
            <w:rStyle w:val="Hyperlink"/>
          </w:rPr>
          <w:t>https://doi:10.1016/j.wasman.2018.12.025</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hAnsi="Times New Roman" w:cs="Times New Roman"/>
          <w:sz w:val="24"/>
          <w:szCs w:val="24"/>
        </w:rPr>
      </w:pPr>
      <w:r w:rsidRPr="00963A01">
        <w:rPr>
          <w:rFonts w:ascii="Times New Roman" w:eastAsia="Times New Roman" w:hAnsi="Times New Roman" w:cs="Times New Roman"/>
          <w:sz w:val="24"/>
          <w:szCs w:val="24"/>
        </w:rPr>
        <w:t xml:space="preserve">Thomas, S., &amp; </w:t>
      </w:r>
      <w:proofErr w:type="spellStart"/>
      <w:r w:rsidRPr="00963A01">
        <w:rPr>
          <w:rFonts w:ascii="Times New Roman" w:eastAsia="Times New Roman" w:hAnsi="Times New Roman" w:cs="Times New Roman"/>
          <w:sz w:val="24"/>
          <w:szCs w:val="24"/>
        </w:rPr>
        <w:t>Rosenow</w:t>
      </w:r>
      <w:proofErr w:type="spellEnd"/>
      <w:r w:rsidRPr="00963A01">
        <w:rPr>
          <w:rFonts w:ascii="Times New Roman" w:eastAsia="Times New Roman" w:hAnsi="Times New Roman" w:cs="Times New Roman"/>
          <w:sz w:val="24"/>
          <w:szCs w:val="24"/>
        </w:rPr>
        <w:t xml:space="preserve">, J. (2020). Drivers of increasing energy consumption in Europe and policy implications. </w:t>
      </w:r>
      <w:r w:rsidRPr="00963A01">
        <w:rPr>
          <w:rFonts w:ascii="Times New Roman" w:eastAsia="Times New Roman" w:hAnsi="Times New Roman" w:cs="Times New Roman"/>
          <w:i/>
          <w:iCs/>
          <w:sz w:val="24"/>
          <w:szCs w:val="24"/>
        </w:rPr>
        <w:t>Energy Policy</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137</w:t>
      </w:r>
      <w:r w:rsidRPr="00963A01">
        <w:rPr>
          <w:rFonts w:ascii="Times New Roman" w:eastAsia="Times New Roman" w:hAnsi="Times New Roman" w:cs="Times New Roman"/>
          <w:sz w:val="24"/>
          <w:szCs w:val="24"/>
        </w:rPr>
        <w:t xml:space="preserve">, 111108. </w:t>
      </w:r>
      <w:hyperlink r:id="rId10" w:history="1">
        <w:r w:rsidRPr="00963A01">
          <w:rPr>
            <w:rStyle w:val="Hyperlink"/>
            <w:rFonts w:ascii="Times New Roman" w:eastAsia="Times New Roman" w:hAnsi="Times New Roman" w:cs="Times New Roman"/>
            <w:sz w:val="24"/>
            <w:szCs w:val="24"/>
          </w:rPr>
          <w:t>https://doi.org/10.1016/j.enpol.2019.111108</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Residential energy use and conservation--United States and Western Europe: Summary. (2016). </w:t>
      </w:r>
      <w:r w:rsidRPr="00963A01">
        <w:rPr>
          <w:rFonts w:ascii="Times New Roman" w:eastAsia="Times New Roman" w:hAnsi="Times New Roman" w:cs="Times New Roman"/>
          <w:i/>
          <w:iCs/>
          <w:sz w:val="24"/>
          <w:szCs w:val="24"/>
        </w:rPr>
        <w:t>International Comparisons of Energy Consumption</w:t>
      </w:r>
      <w:r w:rsidRPr="00963A01">
        <w:rPr>
          <w:rFonts w:ascii="Times New Roman" w:eastAsia="Times New Roman" w:hAnsi="Times New Roman" w:cs="Times New Roman"/>
          <w:sz w:val="24"/>
          <w:szCs w:val="24"/>
        </w:rPr>
        <w:t xml:space="preserve">, 192–194. </w:t>
      </w:r>
      <w:hyperlink r:id="rId11" w:history="1">
        <w:r w:rsidRPr="00963A01">
          <w:rPr>
            <w:rStyle w:val="Hyperlink"/>
            <w:rFonts w:ascii="Times New Roman" w:eastAsia="Times New Roman" w:hAnsi="Times New Roman" w:cs="Times New Roman"/>
            <w:sz w:val="24"/>
            <w:szCs w:val="24"/>
          </w:rPr>
          <w:t>https://doi.org/10.4324/9781315659602-30</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Huang, Y., &amp; </w:t>
      </w:r>
      <w:proofErr w:type="spellStart"/>
      <w:r w:rsidRPr="00963A01">
        <w:rPr>
          <w:rFonts w:ascii="Times New Roman" w:eastAsia="Times New Roman" w:hAnsi="Times New Roman" w:cs="Times New Roman"/>
          <w:sz w:val="24"/>
          <w:szCs w:val="24"/>
        </w:rPr>
        <w:t>Warnier</w:t>
      </w:r>
      <w:proofErr w:type="spellEnd"/>
      <w:r w:rsidRPr="00963A01">
        <w:rPr>
          <w:rFonts w:ascii="Times New Roman" w:eastAsia="Times New Roman" w:hAnsi="Times New Roman" w:cs="Times New Roman"/>
          <w:sz w:val="24"/>
          <w:szCs w:val="24"/>
        </w:rPr>
        <w:t>, M. (2019). Bridging the attitude-</w:t>
      </w:r>
      <w:proofErr w:type="spellStart"/>
      <w:r w:rsidRPr="00963A01">
        <w:rPr>
          <w:rFonts w:ascii="Times New Roman" w:eastAsia="Times New Roman" w:hAnsi="Times New Roman" w:cs="Times New Roman"/>
          <w:sz w:val="24"/>
          <w:szCs w:val="24"/>
        </w:rPr>
        <w:t>behaviour</w:t>
      </w:r>
      <w:proofErr w:type="spellEnd"/>
      <w:r w:rsidRPr="00963A01">
        <w:rPr>
          <w:rFonts w:ascii="Times New Roman" w:eastAsia="Times New Roman" w:hAnsi="Times New Roman" w:cs="Times New Roman"/>
          <w:sz w:val="24"/>
          <w:szCs w:val="24"/>
        </w:rPr>
        <w:t xml:space="preserve"> gap in household energy consumption. </w:t>
      </w:r>
      <w:r w:rsidRPr="00963A01">
        <w:rPr>
          <w:rFonts w:ascii="Times New Roman" w:eastAsia="Times New Roman" w:hAnsi="Times New Roman" w:cs="Times New Roman"/>
          <w:i/>
          <w:iCs/>
          <w:sz w:val="24"/>
          <w:szCs w:val="24"/>
        </w:rPr>
        <w:t>2019 IEEE PES Innovative Smart Grid Technologies Europe (ISGT-Europe)</w:t>
      </w:r>
      <w:r w:rsidRPr="00963A01">
        <w:rPr>
          <w:rFonts w:ascii="Times New Roman" w:eastAsia="Times New Roman" w:hAnsi="Times New Roman" w:cs="Times New Roman"/>
          <w:sz w:val="24"/>
          <w:szCs w:val="24"/>
        </w:rPr>
        <w:t xml:space="preserve">. </w:t>
      </w:r>
      <w:hyperlink r:id="rId12" w:history="1">
        <w:r w:rsidRPr="00963A01">
          <w:rPr>
            <w:rStyle w:val="Hyperlink"/>
            <w:rFonts w:ascii="Times New Roman" w:eastAsia="Times New Roman" w:hAnsi="Times New Roman" w:cs="Times New Roman"/>
            <w:sz w:val="24"/>
            <w:szCs w:val="24"/>
          </w:rPr>
          <w:t>https://doi.org/10.1109/isgteurope.2019.8905660</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Esguerra, J. L., </w:t>
      </w:r>
      <w:proofErr w:type="spellStart"/>
      <w:r w:rsidRPr="00963A01">
        <w:rPr>
          <w:rFonts w:ascii="Times New Roman" w:eastAsia="Times New Roman" w:hAnsi="Times New Roman" w:cs="Times New Roman"/>
          <w:sz w:val="24"/>
          <w:szCs w:val="24"/>
        </w:rPr>
        <w:t>Laner</w:t>
      </w:r>
      <w:proofErr w:type="spellEnd"/>
      <w:r w:rsidRPr="00963A01">
        <w:rPr>
          <w:rFonts w:ascii="Times New Roman" w:eastAsia="Times New Roman" w:hAnsi="Times New Roman" w:cs="Times New Roman"/>
          <w:sz w:val="24"/>
          <w:szCs w:val="24"/>
        </w:rPr>
        <w:t xml:space="preserve">, D., </w:t>
      </w:r>
      <w:proofErr w:type="spellStart"/>
      <w:r w:rsidRPr="00963A01">
        <w:rPr>
          <w:rFonts w:ascii="Times New Roman" w:eastAsia="Times New Roman" w:hAnsi="Times New Roman" w:cs="Times New Roman"/>
          <w:sz w:val="24"/>
          <w:szCs w:val="24"/>
        </w:rPr>
        <w:t>Svensson</w:t>
      </w:r>
      <w:proofErr w:type="spellEnd"/>
      <w:r w:rsidRPr="00963A01">
        <w:rPr>
          <w:rFonts w:ascii="Times New Roman" w:eastAsia="Times New Roman" w:hAnsi="Times New Roman" w:cs="Times New Roman"/>
          <w:sz w:val="24"/>
          <w:szCs w:val="24"/>
        </w:rPr>
        <w:t xml:space="preserve">, N., &amp; </w:t>
      </w:r>
      <w:proofErr w:type="spellStart"/>
      <w:r w:rsidRPr="00963A01">
        <w:rPr>
          <w:rFonts w:ascii="Times New Roman" w:eastAsia="Times New Roman" w:hAnsi="Times New Roman" w:cs="Times New Roman"/>
          <w:sz w:val="24"/>
          <w:szCs w:val="24"/>
        </w:rPr>
        <w:t>Krook</w:t>
      </w:r>
      <w:proofErr w:type="spellEnd"/>
      <w:r w:rsidRPr="00963A01">
        <w:rPr>
          <w:rFonts w:ascii="Times New Roman" w:eastAsia="Times New Roman" w:hAnsi="Times New Roman" w:cs="Times New Roman"/>
          <w:sz w:val="24"/>
          <w:szCs w:val="24"/>
        </w:rPr>
        <w:t xml:space="preserve">, J. (2021). Landfill mining in Europe: Assessing the economic potential of value creation from generated combustibles and </w:t>
      </w:r>
      <w:r w:rsidRPr="00963A01">
        <w:rPr>
          <w:rFonts w:ascii="Times New Roman" w:eastAsia="Times New Roman" w:hAnsi="Times New Roman" w:cs="Times New Roman"/>
          <w:sz w:val="24"/>
          <w:szCs w:val="24"/>
        </w:rPr>
        <w:lastRenderedPageBreak/>
        <w:t xml:space="preserve">fines residue. </w:t>
      </w:r>
      <w:r w:rsidRPr="00963A01">
        <w:rPr>
          <w:rFonts w:ascii="Times New Roman" w:eastAsia="Times New Roman" w:hAnsi="Times New Roman" w:cs="Times New Roman"/>
          <w:i/>
          <w:iCs/>
          <w:sz w:val="24"/>
          <w:szCs w:val="24"/>
        </w:rPr>
        <w:t>Waste Management</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126</w:t>
      </w:r>
      <w:r w:rsidRPr="00963A01">
        <w:rPr>
          <w:rFonts w:ascii="Times New Roman" w:eastAsia="Times New Roman" w:hAnsi="Times New Roman" w:cs="Times New Roman"/>
          <w:sz w:val="24"/>
          <w:szCs w:val="24"/>
        </w:rPr>
        <w:t xml:space="preserve">, 221–230. </w:t>
      </w:r>
      <w:hyperlink r:id="rId13" w:history="1">
        <w:r w:rsidRPr="00963A01">
          <w:rPr>
            <w:rStyle w:val="Hyperlink"/>
            <w:rFonts w:ascii="Times New Roman" w:eastAsia="Times New Roman" w:hAnsi="Times New Roman" w:cs="Times New Roman"/>
            <w:sz w:val="24"/>
            <w:szCs w:val="24"/>
          </w:rPr>
          <w:t>https://doi.org/10.1016/j.wasman.2021.03.013</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E-waste generated per capita, 2017. (2019). </w:t>
      </w:r>
      <w:hyperlink r:id="rId14" w:history="1">
        <w:r w:rsidRPr="00963A01">
          <w:rPr>
            <w:rStyle w:val="Hyperlink"/>
            <w:rFonts w:ascii="Times New Roman" w:eastAsia="Times New Roman" w:hAnsi="Times New Roman" w:cs="Times New Roman"/>
            <w:sz w:val="24"/>
            <w:szCs w:val="24"/>
          </w:rPr>
          <w:t>https://doi.org/10.1787/9789264311800-graph36-en</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Municipal waste generation in Europe. (2009). </w:t>
      </w:r>
      <w:hyperlink r:id="rId15" w:history="1">
        <w:r w:rsidRPr="00963A01">
          <w:rPr>
            <w:rStyle w:val="Hyperlink"/>
            <w:rFonts w:ascii="Times New Roman" w:eastAsia="Times New Roman" w:hAnsi="Times New Roman" w:cs="Times New Roman"/>
            <w:sz w:val="24"/>
            <w:szCs w:val="24"/>
          </w:rPr>
          <w:t>https://doi.org/10.1787/factbook-2009-table96-en</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i/>
          <w:iCs/>
          <w:sz w:val="24"/>
          <w:szCs w:val="24"/>
        </w:rPr>
        <w:t>6 ways to create an efficient waste management system</w:t>
      </w:r>
      <w:r w:rsidRPr="00963A01">
        <w:rPr>
          <w:rFonts w:ascii="Times New Roman" w:eastAsia="Times New Roman" w:hAnsi="Times New Roman" w:cs="Times New Roman"/>
          <w:sz w:val="24"/>
          <w:szCs w:val="24"/>
        </w:rPr>
        <w:t xml:space="preserve">. </w:t>
      </w:r>
      <w:proofErr w:type="spellStart"/>
      <w:r w:rsidRPr="00963A01">
        <w:rPr>
          <w:rFonts w:ascii="Times New Roman" w:eastAsia="Times New Roman" w:hAnsi="Times New Roman" w:cs="Times New Roman"/>
          <w:sz w:val="24"/>
          <w:szCs w:val="24"/>
        </w:rPr>
        <w:t>LumiGuide</w:t>
      </w:r>
      <w:proofErr w:type="spellEnd"/>
      <w:r w:rsidRPr="00963A01">
        <w:rPr>
          <w:rFonts w:ascii="Times New Roman" w:eastAsia="Times New Roman" w:hAnsi="Times New Roman" w:cs="Times New Roman"/>
          <w:sz w:val="24"/>
          <w:szCs w:val="24"/>
        </w:rPr>
        <w:t xml:space="preserve">. (2019, December 9). Retrieved December 17, 2020, from </w:t>
      </w:r>
      <w:hyperlink r:id="rId16" w:history="1">
        <w:r w:rsidRPr="00963A01">
          <w:rPr>
            <w:rStyle w:val="Hyperlink"/>
            <w:rFonts w:ascii="Times New Roman" w:eastAsia="Times New Roman" w:hAnsi="Times New Roman" w:cs="Times New Roman"/>
            <w:sz w:val="24"/>
            <w:szCs w:val="24"/>
          </w:rPr>
          <w:t>https://lumi.guide/6-ways-to-create-an-efficient-waste-management-system/</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Jensen, H. (2018, April 16). </w:t>
      </w:r>
      <w:r w:rsidRPr="00963A01">
        <w:rPr>
          <w:rFonts w:ascii="Times New Roman" w:eastAsia="Times New Roman" w:hAnsi="Times New Roman" w:cs="Times New Roman"/>
          <w:i/>
          <w:iCs/>
          <w:sz w:val="24"/>
          <w:szCs w:val="24"/>
        </w:rPr>
        <w:t>Best practices for efficient waste and recycling collection and transport</w:t>
      </w:r>
      <w:r w:rsidRPr="00963A01">
        <w:rPr>
          <w:rFonts w:ascii="Times New Roman" w:eastAsia="Times New Roman" w:hAnsi="Times New Roman" w:cs="Times New Roman"/>
          <w:sz w:val="24"/>
          <w:szCs w:val="24"/>
        </w:rPr>
        <w:t xml:space="preserve">. Waste Advantage Magazine. Retrieved December 17, 2020, from </w:t>
      </w:r>
      <w:hyperlink r:id="rId17" w:history="1">
        <w:r w:rsidRPr="00963A01">
          <w:rPr>
            <w:rStyle w:val="Hyperlink"/>
            <w:rFonts w:ascii="Times New Roman" w:eastAsia="Times New Roman" w:hAnsi="Times New Roman" w:cs="Times New Roman"/>
            <w:sz w:val="24"/>
            <w:szCs w:val="24"/>
          </w:rPr>
          <w:t>https://wasteadvantagemag.com/best-practices-for-efficient-waste-and-recycling-collection-and-transport/</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963A01">
        <w:rPr>
          <w:rFonts w:ascii="Times New Roman" w:eastAsia="Times New Roman" w:hAnsi="Times New Roman" w:cs="Times New Roman"/>
          <w:sz w:val="24"/>
          <w:szCs w:val="24"/>
        </w:rPr>
        <w:t>Gutberlet</w:t>
      </w:r>
      <w:proofErr w:type="spellEnd"/>
      <w:r w:rsidRPr="00963A01">
        <w:rPr>
          <w:rFonts w:ascii="Times New Roman" w:eastAsia="Times New Roman" w:hAnsi="Times New Roman" w:cs="Times New Roman"/>
          <w:sz w:val="24"/>
          <w:szCs w:val="24"/>
        </w:rPr>
        <w:t xml:space="preserve">, J. (2016). Different ways of managing waste. </w:t>
      </w:r>
      <w:r w:rsidRPr="00963A01">
        <w:rPr>
          <w:rFonts w:ascii="Times New Roman" w:eastAsia="Times New Roman" w:hAnsi="Times New Roman" w:cs="Times New Roman"/>
          <w:i/>
          <w:iCs/>
          <w:sz w:val="24"/>
          <w:szCs w:val="24"/>
        </w:rPr>
        <w:t>Urban Recycling Cooperatives</w:t>
      </w:r>
      <w:r w:rsidRPr="00963A01">
        <w:rPr>
          <w:rFonts w:ascii="Times New Roman" w:eastAsia="Times New Roman" w:hAnsi="Times New Roman" w:cs="Times New Roman"/>
          <w:sz w:val="24"/>
          <w:szCs w:val="24"/>
        </w:rPr>
        <w:t xml:space="preserve">, 123–142. </w:t>
      </w:r>
      <w:hyperlink r:id="rId18" w:history="1">
        <w:r w:rsidRPr="00963A01">
          <w:rPr>
            <w:rStyle w:val="Hyperlink"/>
            <w:rFonts w:ascii="Times New Roman" w:eastAsia="Times New Roman" w:hAnsi="Times New Roman" w:cs="Times New Roman"/>
            <w:sz w:val="24"/>
            <w:szCs w:val="24"/>
          </w:rPr>
          <w:t>https://doi.org/10.4324/9781315686523-9</w:t>
        </w:r>
      </w:hyperlink>
    </w:p>
    <w:p w:rsidR="00D04F86"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963A01">
        <w:rPr>
          <w:rFonts w:ascii="Times New Roman" w:eastAsia="Times New Roman" w:hAnsi="Times New Roman" w:cs="Times New Roman"/>
          <w:sz w:val="24"/>
          <w:szCs w:val="24"/>
        </w:rPr>
        <w:t>Morcali</w:t>
      </w:r>
      <w:proofErr w:type="spellEnd"/>
      <w:r w:rsidRPr="00963A01">
        <w:rPr>
          <w:rFonts w:ascii="Times New Roman" w:eastAsia="Times New Roman" w:hAnsi="Times New Roman" w:cs="Times New Roman"/>
          <w:sz w:val="24"/>
          <w:szCs w:val="24"/>
        </w:rPr>
        <w:t xml:space="preserve">, M. H. (2020). A green recycling process for lead refining waste. </w:t>
      </w:r>
      <w:proofErr w:type="spellStart"/>
      <w:r w:rsidRPr="00963A01">
        <w:rPr>
          <w:rFonts w:ascii="Times New Roman" w:eastAsia="Times New Roman" w:hAnsi="Times New Roman" w:cs="Times New Roman"/>
          <w:i/>
          <w:iCs/>
          <w:sz w:val="24"/>
          <w:szCs w:val="24"/>
        </w:rPr>
        <w:t>ChemistrySelect</w:t>
      </w:r>
      <w:proofErr w:type="spellEnd"/>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5</w:t>
      </w:r>
      <w:r w:rsidRPr="00963A01">
        <w:rPr>
          <w:rFonts w:ascii="Times New Roman" w:eastAsia="Times New Roman" w:hAnsi="Times New Roman" w:cs="Times New Roman"/>
          <w:sz w:val="24"/>
          <w:szCs w:val="24"/>
        </w:rPr>
        <w:t xml:space="preserve">(24), 7183–7189. </w:t>
      </w:r>
      <w:hyperlink r:id="rId19" w:history="1">
        <w:r w:rsidR="00D04F86" w:rsidRPr="006E0E14">
          <w:rPr>
            <w:rStyle w:val="Hyperlink"/>
            <w:rFonts w:ascii="Times New Roman" w:eastAsia="Times New Roman" w:hAnsi="Times New Roman" w:cs="Times New Roman"/>
            <w:sz w:val="24"/>
            <w:szCs w:val="24"/>
          </w:rPr>
          <w:t>https://doi.org/10.1002/slct.202001521</w:t>
        </w:r>
      </w:hyperlink>
    </w:p>
    <w:p w:rsidR="00D04F86"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Problems of paper recycling in Western Europe. (2013). </w:t>
      </w:r>
      <w:r w:rsidRPr="00963A01">
        <w:rPr>
          <w:rFonts w:ascii="Times New Roman" w:eastAsia="Times New Roman" w:hAnsi="Times New Roman" w:cs="Times New Roman"/>
          <w:i/>
          <w:iCs/>
          <w:sz w:val="24"/>
          <w:szCs w:val="24"/>
        </w:rPr>
        <w:t>Environmental Impacts of Waste Paper Recycling</w:t>
      </w:r>
      <w:r w:rsidRPr="00963A01">
        <w:rPr>
          <w:rFonts w:ascii="Times New Roman" w:eastAsia="Times New Roman" w:hAnsi="Times New Roman" w:cs="Times New Roman"/>
          <w:sz w:val="24"/>
          <w:szCs w:val="24"/>
        </w:rPr>
        <w:t xml:space="preserve">, 19–26. </w:t>
      </w:r>
      <w:hyperlink r:id="rId20" w:history="1">
        <w:r w:rsidR="00D04F86" w:rsidRPr="006E0E14">
          <w:rPr>
            <w:rStyle w:val="Hyperlink"/>
            <w:rFonts w:ascii="Times New Roman" w:eastAsia="Times New Roman" w:hAnsi="Times New Roman" w:cs="Times New Roman"/>
            <w:sz w:val="24"/>
            <w:szCs w:val="24"/>
          </w:rPr>
          <w:t>https://doi.org/10.4324/9781315070377-8</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963A01">
        <w:rPr>
          <w:rFonts w:ascii="Times New Roman" w:eastAsia="Times New Roman" w:hAnsi="Times New Roman" w:cs="Times New Roman"/>
          <w:sz w:val="24"/>
          <w:szCs w:val="24"/>
        </w:rPr>
        <w:t>Cılız</w:t>
      </w:r>
      <w:proofErr w:type="spellEnd"/>
      <w:r w:rsidRPr="00963A01">
        <w:rPr>
          <w:rFonts w:ascii="Times New Roman" w:eastAsia="Times New Roman" w:hAnsi="Times New Roman" w:cs="Times New Roman"/>
          <w:sz w:val="24"/>
          <w:szCs w:val="24"/>
        </w:rPr>
        <w:t xml:space="preserve">, N., </w:t>
      </w:r>
      <w:proofErr w:type="spellStart"/>
      <w:r w:rsidRPr="00963A01">
        <w:rPr>
          <w:rFonts w:ascii="Times New Roman" w:eastAsia="Times New Roman" w:hAnsi="Times New Roman" w:cs="Times New Roman"/>
          <w:sz w:val="24"/>
          <w:szCs w:val="24"/>
        </w:rPr>
        <w:t>Yıldırım</w:t>
      </w:r>
      <w:proofErr w:type="spellEnd"/>
      <w:r w:rsidRPr="00963A01">
        <w:rPr>
          <w:rFonts w:ascii="Times New Roman" w:eastAsia="Times New Roman" w:hAnsi="Times New Roman" w:cs="Times New Roman"/>
          <w:sz w:val="24"/>
          <w:szCs w:val="24"/>
        </w:rPr>
        <w:t xml:space="preserve">, H., &amp; </w:t>
      </w:r>
      <w:proofErr w:type="spellStart"/>
      <w:r w:rsidRPr="00963A01">
        <w:rPr>
          <w:rFonts w:ascii="Times New Roman" w:eastAsia="Times New Roman" w:hAnsi="Times New Roman" w:cs="Times New Roman"/>
          <w:sz w:val="24"/>
          <w:szCs w:val="24"/>
        </w:rPr>
        <w:t>Temizel</w:t>
      </w:r>
      <w:proofErr w:type="spellEnd"/>
      <w:r w:rsidRPr="00963A01">
        <w:rPr>
          <w:rFonts w:ascii="Times New Roman" w:eastAsia="Times New Roman" w:hAnsi="Times New Roman" w:cs="Times New Roman"/>
          <w:sz w:val="24"/>
          <w:szCs w:val="24"/>
        </w:rPr>
        <w:t xml:space="preserve">, Ş. (2020). Structure development for effective medical waste and Hazardous Waste Management System. </w:t>
      </w:r>
      <w:r w:rsidRPr="00963A01">
        <w:rPr>
          <w:rFonts w:ascii="Times New Roman" w:eastAsia="Times New Roman" w:hAnsi="Times New Roman" w:cs="Times New Roman"/>
          <w:i/>
          <w:iCs/>
          <w:sz w:val="24"/>
          <w:szCs w:val="24"/>
        </w:rPr>
        <w:t>Waste Management</w:t>
      </w:r>
      <w:r w:rsidRPr="00963A01">
        <w:rPr>
          <w:rFonts w:ascii="Times New Roman" w:eastAsia="Times New Roman" w:hAnsi="Times New Roman" w:cs="Times New Roman"/>
          <w:sz w:val="24"/>
          <w:szCs w:val="24"/>
        </w:rPr>
        <w:t xml:space="preserve">, 221–245. </w:t>
      </w:r>
      <w:hyperlink r:id="rId21" w:history="1">
        <w:r w:rsidRPr="00963A01">
          <w:rPr>
            <w:rStyle w:val="Hyperlink"/>
            <w:rFonts w:ascii="Times New Roman" w:eastAsia="Times New Roman" w:hAnsi="Times New Roman" w:cs="Times New Roman"/>
            <w:sz w:val="24"/>
            <w:szCs w:val="24"/>
          </w:rPr>
          <w:t>https://doi.org/10.4018/978-1-7998-1210-4.ch010</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963A01">
        <w:rPr>
          <w:rFonts w:ascii="Times New Roman" w:eastAsia="Times New Roman" w:hAnsi="Times New Roman" w:cs="Times New Roman"/>
          <w:sz w:val="24"/>
          <w:szCs w:val="24"/>
        </w:rPr>
        <w:t>Morcali</w:t>
      </w:r>
      <w:proofErr w:type="spellEnd"/>
      <w:r w:rsidRPr="00963A01">
        <w:rPr>
          <w:rFonts w:ascii="Times New Roman" w:eastAsia="Times New Roman" w:hAnsi="Times New Roman" w:cs="Times New Roman"/>
          <w:sz w:val="24"/>
          <w:szCs w:val="24"/>
        </w:rPr>
        <w:t xml:space="preserve">, M. H. (2020). A green recycling process for lead refining waste. </w:t>
      </w:r>
      <w:proofErr w:type="spellStart"/>
      <w:r w:rsidRPr="00963A01">
        <w:rPr>
          <w:rFonts w:ascii="Times New Roman" w:eastAsia="Times New Roman" w:hAnsi="Times New Roman" w:cs="Times New Roman"/>
          <w:i/>
          <w:iCs/>
          <w:sz w:val="24"/>
          <w:szCs w:val="24"/>
        </w:rPr>
        <w:t>ChemistrySelect</w:t>
      </w:r>
      <w:proofErr w:type="spellEnd"/>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5</w:t>
      </w:r>
      <w:r w:rsidRPr="00963A01">
        <w:rPr>
          <w:rFonts w:ascii="Times New Roman" w:eastAsia="Times New Roman" w:hAnsi="Times New Roman" w:cs="Times New Roman"/>
          <w:sz w:val="24"/>
          <w:szCs w:val="24"/>
        </w:rPr>
        <w:t xml:space="preserve">(24), 7183–7189. </w:t>
      </w:r>
      <w:hyperlink r:id="rId22" w:history="1">
        <w:r w:rsidRPr="00963A01">
          <w:rPr>
            <w:rStyle w:val="Hyperlink"/>
            <w:rFonts w:ascii="Times New Roman" w:eastAsia="Times New Roman" w:hAnsi="Times New Roman" w:cs="Times New Roman"/>
            <w:sz w:val="24"/>
            <w:szCs w:val="24"/>
          </w:rPr>
          <w:t>https://doi.org/10.1002/slct.202001521</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Landfilled municipal waste increased alongside private final consumption. (2017). </w:t>
      </w:r>
      <w:hyperlink r:id="rId23" w:history="1">
        <w:r w:rsidRPr="00963A01">
          <w:rPr>
            <w:rStyle w:val="Hyperlink"/>
            <w:rFonts w:ascii="Times New Roman" w:eastAsia="Times New Roman" w:hAnsi="Times New Roman" w:cs="Times New Roman"/>
            <w:sz w:val="24"/>
            <w:szCs w:val="24"/>
          </w:rPr>
          <w:t>https://doi.org/10.1787/9789264268203-graph14-en</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Total population, mid-year, thousands, 1960 to 2019. (2020). </w:t>
      </w:r>
      <w:r w:rsidRPr="00963A01">
        <w:rPr>
          <w:rFonts w:ascii="Times New Roman" w:eastAsia="Times New Roman" w:hAnsi="Times New Roman" w:cs="Times New Roman"/>
          <w:i/>
          <w:iCs/>
          <w:sz w:val="24"/>
          <w:szCs w:val="24"/>
        </w:rPr>
        <w:t>Health at a Glance: Europe</w:t>
      </w:r>
      <w:r w:rsidRPr="00963A01">
        <w:rPr>
          <w:rFonts w:ascii="Times New Roman" w:eastAsia="Times New Roman" w:hAnsi="Times New Roman" w:cs="Times New Roman"/>
          <w:sz w:val="24"/>
          <w:szCs w:val="24"/>
        </w:rPr>
        <w:t xml:space="preserve">. </w:t>
      </w:r>
      <w:hyperlink r:id="rId24" w:history="1">
        <w:r w:rsidRPr="00963A01">
          <w:rPr>
            <w:rStyle w:val="Hyperlink"/>
            <w:rFonts w:ascii="Times New Roman" w:eastAsia="Times New Roman" w:hAnsi="Times New Roman" w:cs="Times New Roman"/>
            <w:sz w:val="24"/>
            <w:szCs w:val="24"/>
          </w:rPr>
          <w:t>https://doi.org/10.1787/a3f3f0ee-en</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Castillo-</w:t>
      </w:r>
      <w:proofErr w:type="spellStart"/>
      <w:r w:rsidRPr="00963A01">
        <w:rPr>
          <w:rFonts w:ascii="Times New Roman" w:eastAsia="Times New Roman" w:hAnsi="Times New Roman" w:cs="Times New Roman"/>
          <w:sz w:val="24"/>
          <w:szCs w:val="24"/>
        </w:rPr>
        <w:t>Giménez</w:t>
      </w:r>
      <w:proofErr w:type="spellEnd"/>
      <w:r w:rsidRPr="00963A01">
        <w:rPr>
          <w:rFonts w:ascii="Times New Roman" w:eastAsia="Times New Roman" w:hAnsi="Times New Roman" w:cs="Times New Roman"/>
          <w:sz w:val="24"/>
          <w:szCs w:val="24"/>
        </w:rPr>
        <w:t xml:space="preserve">, J., </w:t>
      </w:r>
      <w:proofErr w:type="spellStart"/>
      <w:r w:rsidRPr="00963A01">
        <w:rPr>
          <w:rFonts w:ascii="Times New Roman" w:eastAsia="Times New Roman" w:hAnsi="Times New Roman" w:cs="Times New Roman"/>
          <w:sz w:val="24"/>
          <w:szCs w:val="24"/>
        </w:rPr>
        <w:t>Montañés</w:t>
      </w:r>
      <w:proofErr w:type="spellEnd"/>
      <w:r w:rsidRPr="00963A01">
        <w:rPr>
          <w:rFonts w:ascii="Times New Roman" w:eastAsia="Times New Roman" w:hAnsi="Times New Roman" w:cs="Times New Roman"/>
          <w:sz w:val="24"/>
          <w:szCs w:val="24"/>
        </w:rPr>
        <w:t xml:space="preserve">, A., &amp; </w:t>
      </w:r>
      <w:proofErr w:type="spellStart"/>
      <w:r w:rsidRPr="00963A01">
        <w:rPr>
          <w:rFonts w:ascii="Times New Roman" w:eastAsia="Times New Roman" w:hAnsi="Times New Roman" w:cs="Times New Roman"/>
          <w:sz w:val="24"/>
          <w:szCs w:val="24"/>
        </w:rPr>
        <w:t>Picazo-Tadeo</w:t>
      </w:r>
      <w:proofErr w:type="spellEnd"/>
      <w:r w:rsidRPr="00963A01">
        <w:rPr>
          <w:rFonts w:ascii="Times New Roman" w:eastAsia="Times New Roman" w:hAnsi="Times New Roman" w:cs="Times New Roman"/>
          <w:sz w:val="24"/>
          <w:szCs w:val="24"/>
        </w:rPr>
        <w:t xml:space="preserve">, A. J. (2019). Performance and convergence in municipal waste treatment in the European Union. </w:t>
      </w:r>
      <w:r w:rsidRPr="00963A01">
        <w:rPr>
          <w:rFonts w:ascii="Times New Roman" w:eastAsia="Times New Roman" w:hAnsi="Times New Roman" w:cs="Times New Roman"/>
          <w:i/>
          <w:iCs/>
          <w:sz w:val="24"/>
          <w:szCs w:val="24"/>
        </w:rPr>
        <w:t>Waste Management</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85</w:t>
      </w:r>
      <w:r w:rsidRPr="00963A01">
        <w:rPr>
          <w:rFonts w:ascii="Times New Roman" w:eastAsia="Times New Roman" w:hAnsi="Times New Roman" w:cs="Times New Roman"/>
          <w:sz w:val="24"/>
          <w:szCs w:val="24"/>
        </w:rPr>
        <w:t xml:space="preserve">, 222–231. </w:t>
      </w:r>
      <w:hyperlink r:id="rId25" w:history="1">
        <w:r w:rsidRPr="00963A01">
          <w:rPr>
            <w:rStyle w:val="Hyperlink"/>
            <w:rFonts w:ascii="Times New Roman" w:eastAsia="Times New Roman" w:hAnsi="Times New Roman" w:cs="Times New Roman"/>
            <w:sz w:val="24"/>
            <w:szCs w:val="24"/>
          </w:rPr>
          <w:t>https://doi.org/10.1016/j.wasman.2018.12.025</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27 mineral fuels, mineral oils and products of their distillation; bituminous substances etc.: Extra European Union (28 countries). (2017). </w:t>
      </w:r>
      <w:hyperlink r:id="rId26" w:history="1">
        <w:r w:rsidRPr="00963A01">
          <w:rPr>
            <w:rStyle w:val="Hyperlink"/>
            <w:rFonts w:ascii="Times New Roman" w:eastAsia="Times New Roman" w:hAnsi="Times New Roman" w:cs="Times New Roman"/>
            <w:sz w:val="24"/>
            <w:szCs w:val="24"/>
          </w:rPr>
          <w:t>https://doi.org/10.1787/itcs-v2016-6-table610-en</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European Union. (2012). </w:t>
      </w:r>
      <w:r w:rsidRPr="00963A01">
        <w:rPr>
          <w:rFonts w:ascii="Times New Roman" w:eastAsia="Times New Roman" w:hAnsi="Times New Roman" w:cs="Times New Roman"/>
          <w:i/>
          <w:iCs/>
          <w:sz w:val="24"/>
          <w:szCs w:val="24"/>
        </w:rPr>
        <w:t>Encyclopedia of Consumption and Waste: The Social Science of Garbage</w:t>
      </w:r>
      <w:r w:rsidRPr="00963A01">
        <w:rPr>
          <w:rFonts w:ascii="Times New Roman" w:eastAsia="Times New Roman" w:hAnsi="Times New Roman" w:cs="Times New Roman"/>
          <w:sz w:val="24"/>
          <w:szCs w:val="24"/>
        </w:rPr>
        <w:t xml:space="preserve">. </w:t>
      </w:r>
      <w:hyperlink r:id="rId27" w:history="1">
        <w:r w:rsidRPr="00963A01">
          <w:rPr>
            <w:rStyle w:val="Hyperlink"/>
            <w:rFonts w:ascii="Times New Roman" w:eastAsia="Times New Roman" w:hAnsi="Times New Roman" w:cs="Times New Roman"/>
            <w:sz w:val="24"/>
            <w:szCs w:val="24"/>
          </w:rPr>
          <w:t>https://doi.org/10.4135/9781452218526.n97</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963A01">
        <w:rPr>
          <w:rFonts w:ascii="Times New Roman" w:eastAsia="Times New Roman" w:hAnsi="Times New Roman" w:cs="Times New Roman"/>
          <w:sz w:val="24"/>
          <w:szCs w:val="24"/>
        </w:rPr>
        <w:t>Magrini</w:t>
      </w:r>
      <w:proofErr w:type="spellEnd"/>
      <w:r w:rsidRPr="00963A01">
        <w:rPr>
          <w:rFonts w:ascii="Times New Roman" w:eastAsia="Times New Roman" w:hAnsi="Times New Roman" w:cs="Times New Roman"/>
          <w:sz w:val="24"/>
          <w:szCs w:val="24"/>
        </w:rPr>
        <w:t xml:space="preserve">, C., </w:t>
      </w:r>
      <w:proofErr w:type="spellStart"/>
      <w:r w:rsidRPr="00963A01">
        <w:rPr>
          <w:rFonts w:ascii="Times New Roman" w:eastAsia="Times New Roman" w:hAnsi="Times New Roman" w:cs="Times New Roman"/>
          <w:sz w:val="24"/>
          <w:szCs w:val="24"/>
        </w:rPr>
        <w:t>D’Addato</w:t>
      </w:r>
      <w:proofErr w:type="spellEnd"/>
      <w:r w:rsidRPr="00963A01">
        <w:rPr>
          <w:rFonts w:ascii="Times New Roman" w:eastAsia="Times New Roman" w:hAnsi="Times New Roman" w:cs="Times New Roman"/>
          <w:sz w:val="24"/>
          <w:szCs w:val="24"/>
        </w:rPr>
        <w:t xml:space="preserve">, F., &amp; </w:t>
      </w:r>
      <w:proofErr w:type="spellStart"/>
      <w:r w:rsidRPr="00963A01">
        <w:rPr>
          <w:rFonts w:ascii="Times New Roman" w:eastAsia="Times New Roman" w:hAnsi="Times New Roman" w:cs="Times New Roman"/>
          <w:sz w:val="24"/>
          <w:szCs w:val="24"/>
        </w:rPr>
        <w:t>Bonoli</w:t>
      </w:r>
      <w:proofErr w:type="spellEnd"/>
      <w:r w:rsidRPr="00963A01">
        <w:rPr>
          <w:rFonts w:ascii="Times New Roman" w:eastAsia="Times New Roman" w:hAnsi="Times New Roman" w:cs="Times New Roman"/>
          <w:sz w:val="24"/>
          <w:szCs w:val="24"/>
        </w:rPr>
        <w:t xml:space="preserve">, A. (2020). Municipal solid waste prevention: A review of market-based instruments in six European Union countries. </w:t>
      </w:r>
      <w:r w:rsidRPr="00963A01">
        <w:rPr>
          <w:rFonts w:ascii="Times New Roman" w:eastAsia="Times New Roman" w:hAnsi="Times New Roman" w:cs="Times New Roman"/>
          <w:i/>
          <w:iCs/>
          <w:sz w:val="24"/>
          <w:szCs w:val="24"/>
        </w:rPr>
        <w:t>Waste Management &amp; Research</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38</w:t>
      </w:r>
      <w:r w:rsidRPr="00963A01">
        <w:rPr>
          <w:rFonts w:ascii="Times New Roman" w:eastAsia="Times New Roman" w:hAnsi="Times New Roman" w:cs="Times New Roman"/>
          <w:sz w:val="24"/>
          <w:szCs w:val="24"/>
        </w:rPr>
        <w:t xml:space="preserve">(1_suppl), 3–22. </w:t>
      </w:r>
      <w:hyperlink r:id="rId28" w:history="1">
        <w:r w:rsidRPr="00963A01">
          <w:rPr>
            <w:rStyle w:val="Hyperlink"/>
            <w:rFonts w:ascii="Times New Roman" w:eastAsia="Times New Roman" w:hAnsi="Times New Roman" w:cs="Times New Roman"/>
            <w:sz w:val="24"/>
            <w:szCs w:val="24"/>
          </w:rPr>
          <w:t>https://doi.org/10.1177/0734242x19894622</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Callao, C., Martinez-</w:t>
      </w:r>
      <w:proofErr w:type="spellStart"/>
      <w:r w:rsidRPr="00963A01">
        <w:rPr>
          <w:rFonts w:ascii="Times New Roman" w:eastAsia="Times New Roman" w:hAnsi="Times New Roman" w:cs="Times New Roman"/>
          <w:sz w:val="24"/>
          <w:szCs w:val="24"/>
        </w:rPr>
        <w:t>Nuñez</w:t>
      </w:r>
      <w:proofErr w:type="spellEnd"/>
      <w:r w:rsidRPr="00963A01">
        <w:rPr>
          <w:rFonts w:ascii="Times New Roman" w:eastAsia="Times New Roman" w:hAnsi="Times New Roman" w:cs="Times New Roman"/>
          <w:sz w:val="24"/>
          <w:szCs w:val="24"/>
        </w:rPr>
        <w:t xml:space="preserve">, M., &amp; </w:t>
      </w:r>
      <w:proofErr w:type="spellStart"/>
      <w:r w:rsidRPr="00963A01">
        <w:rPr>
          <w:rFonts w:ascii="Times New Roman" w:eastAsia="Times New Roman" w:hAnsi="Times New Roman" w:cs="Times New Roman"/>
          <w:sz w:val="24"/>
          <w:szCs w:val="24"/>
        </w:rPr>
        <w:t>Latorre</w:t>
      </w:r>
      <w:proofErr w:type="spellEnd"/>
      <w:r w:rsidRPr="00963A01">
        <w:rPr>
          <w:rFonts w:ascii="Times New Roman" w:eastAsia="Times New Roman" w:hAnsi="Times New Roman" w:cs="Times New Roman"/>
          <w:sz w:val="24"/>
          <w:szCs w:val="24"/>
        </w:rPr>
        <w:t xml:space="preserve">, M. P. (2019). European countries: Does common legislation guarantee better hazardous waste performance for </w:t>
      </w:r>
      <w:proofErr w:type="spellStart"/>
      <w:proofErr w:type="gramStart"/>
      <w:r w:rsidRPr="00963A01">
        <w:rPr>
          <w:rFonts w:ascii="Times New Roman" w:eastAsia="Times New Roman" w:hAnsi="Times New Roman" w:cs="Times New Roman"/>
          <w:sz w:val="24"/>
          <w:szCs w:val="24"/>
        </w:rPr>
        <w:t>european</w:t>
      </w:r>
      <w:proofErr w:type="spellEnd"/>
      <w:r w:rsidRPr="00963A01">
        <w:rPr>
          <w:rFonts w:ascii="Times New Roman" w:eastAsia="Times New Roman" w:hAnsi="Times New Roman" w:cs="Times New Roman"/>
          <w:sz w:val="24"/>
          <w:szCs w:val="24"/>
        </w:rPr>
        <w:t xml:space="preserve"> union</w:t>
      </w:r>
      <w:proofErr w:type="gramEnd"/>
      <w:r w:rsidRPr="00963A01">
        <w:rPr>
          <w:rFonts w:ascii="Times New Roman" w:eastAsia="Times New Roman" w:hAnsi="Times New Roman" w:cs="Times New Roman"/>
          <w:sz w:val="24"/>
          <w:szCs w:val="24"/>
        </w:rPr>
        <w:t xml:space="preserve"> member states? </w:t>
      </w:r>
      <w:r w:rsidRPr="00963A01">
        <w:rPr>
          <w:rFonts w:ascii="Times New Roman" w:eastAsia="Times New Roman" w:hAnsi="Times New Roman" w:cs="Times New Roman"/>
          <w:i/>
          <w:iCs/>
          <w:sz w:val="24"/>
          <w:szCs w:val="24"/>
        </w:rPr>
        <w:t>Waste Management</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84</w:t>
      </w:r>
      <w:r w:rsidRPr="00963A01">
        <w:rPr>
          <w:rFonts w:ascii="Times New Roman" w:eastAsia="Times New Roman" w:hAnsi="Times New Roman" w:cs="Times New Roman"/>
          <w:sz w:val="24"/>
          <w:szCs w:val="24"/>
        </w:rPr>
        <w:t xml:space="preserve">, 147–157. </w:t>
      </w:r>
      <w:hyperlink r:id="rId29" w:history="1">
        <w:r w:rsidRPr="00963A01">
          <w:rPr>
            <w:rStyle w:val="Hyperlink"/>
            <w:rFonts w:ascii="Times New Roman" w:eastAsia="Times New Roman" w:hAnsi="Times New Roman" w:cs="Times New Roman"/>
            <w:sz w:val="24"/>
            <w:szCs w:val="24"/>
          </w:rPr>
          <w:t>https://doi.org/10.1016/j.wasman.2018.11.014</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iCs/>
          <w:sz w:val="24"/>
          <w:szCs w:val="24"/>
        </w:rPr>
        <w:t xml:space="preserve">Electronic </w:t>
      </w:r>
      <w:proofErr w:type="spellStart"/>
      <w:proofErr w:type="gramStart"/>
      <w:r w:rsidRPr="00963A01">
        <w:rPr>
          <w:rFonts w:ascii="Times New Roman" w:eastAsia="Times New Roman" w:hAnsi="Times New Roman" w:cs="Times New Roman"/>
          <w:iCs/>
          <w:sz w:val="24"/>
          <w:szCs w:val="24"/>
        </w:rPr>
        <w:t>irish</w:t>
      </w:r>
      <w:proofErr w:type="spellEnd"/>
      <w:proofErr w:type="gramEnd"/>
      <w:r w:rsidRPr="00963A01">
        <w:rPr>
          <w:rFonts w:ascii="Times New Roman" w:eastAsia="Times New Roman" w:hAnsi="Times New Roman" w:cs="Times New Roman"/>
          <w:iCs/>
          <w:sz w:val="24"/>
          <w:szCs w:val="24"/>
        </w:rPr>
        <w:t xml:space="preserve"> statute book (</w:t>
      </w:r>
      <w:proofErr w:type="spellStart"/>
      <w:r w:rsidRPr="00963A01">
        <w:rPr>
          <w:rFonts w:ascii="Times New Roman" w:eastAsia="Times New Roman" w:hAnsi="Times New Roman" w:cs="Times New Roman"/>
          <w:iCs/>
          <w:sz w:val="24"/>
          <w:szCs w:val="24"/>
        </w:rPr>
        <w:t>eisb</w:t>
      </w:r>
      <w:proofErr w:type="spellEnd"/>
      <w:r w:rsidRPr="00963A01">
        <w:rPr>
          <w:rFonts w:ascii="Times New Roman" w:eastAsia="Times New Roman" w:hAnsi="Times New Roman" w:cs="Times New Roman"/>
          <w:iCs/>
          <w:sz w:val="24"/>
          <w:szCs w:val="24"/>
        </w:rPr>
        <w:t>)</w:t>
      </w:r>
      <w:r w:rsidRPr="00963A01">
        <w:rPr>
          <w:rFonts w:ascii="Times New Roman" w:eastAsia="Times New Roman" w:hAnsi="Times New Roman" w:cs="Times New Roman"/>
          <w:sz w:val="24"/>
          <w:szCs w:val="24"/>
        </w:rPr>
        <w:t xml:space="preserve">. Irish Statute Book. (2020). Retrieved December 17, 2020, from </w:t>
      </w:r>
      <w:hyperlink r:id="rId30" w:history="1">
        <w:r w:rsidRPr="00963A01">
          <w:rPr>
            <w:rStyle w:val="Hyperlink"/>
            <w:rFonts w:ascii="Times New Roman" w:eastAsia="Times New Roman" w:hAnsi="Times New Roman" w:cs="Times New Roman"/>
            <w:sz w:val="24"/>
            <w:szCs w:val="24"/>
          </w:rPr>
          <w:t>https://www.irishstatutebook.ie/eli/2020/si/323/made/en/print</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lastRenderedPageBreak/>
        <w:t xml:space="preserve">Di Maria, F., </w:t>
      </w:r>
      <w:proofErr w:type="spellStart"/>
      <w:r w:rsidRPr="00963A01">
        <w:rPr>
          <w:rFonts w:ascii="Times New Roman" w:eastAsia="Times New Roman" w:hAnsi="Times New Roman" w:cs="Times New Roman"/>
          <w:sz w:val="24"/>
          <w:szCs w:val="24"/>
        </w:rPr>
        <w:t>Sisani</w:t>
      </w:r>
      <w:proofErr w:type="spellEnd"/>
      <w:r w:rsidRPr="00963A01">
        <w:rPr>
          <w:rFonts w:ascii="Times New Roman" w:eastAsia="Times New Roman" w:hAnsi="Times New Roman" w:cs="Times New Roman"/>
          <w:sz w:val="24"/>
          <w:szCs w:val="24"/>
        </w:rPr>
        <w:t xml:space="preserve">, F., </w:t>
      </w:r>
      <w:proofErr w:type="spellStart"/>
      <w:r w:rsidRPr="00963A01">
        <w:rPr>
          <w:rFonts w:ascii="Times New Roman" w:eastAsia="Times New Roman" w:hAnsi="Times New Roman" w:cs="Times New Roman"/>
          <w:sz w:val="24"/>
          <w:szCs w:val="24"/>
        </w:rPr>
        <w:t>Contini</w:t>
      </w:r>
      <w:proofErr w:type="spellEnd"/>
      <w:r w:rsidRPr="00963A01">
        <w:rPr>
          <w:rFonts w:ascii="Times New Roman" w:eastAsia="Times New Roman" w:hAnsi="Times New Roman" w:cs="Times New Roman"/>
          <w:sz w:val="24"/>
          <w:szCs w:val="24"/>
        </w:rPr>
        <w:t xml:space="preserve">, S., Ghosh, S. K., &amp; </w:t>
      </w:r>
      <w:proofErr w:type="spellStart"/>
      <w:r w:rsidRPr="00963A01">
        <w:rPr>
          <w:rFonts w:ascii="Times New Roman" w:eastAsia="Times New Roman" w:hAnsi="Times New Roman" w:cs="Times New Roman"/>
          <w:sz w:val="24"/>
          <w:szCs w:val="24"/>
        </w:rPr>
        <w:t>Mersky</w:t>
      </w:r>
      <w:proofErr w:type="spellEnd"/>
      <w:r w:rsidRPr="00963A01">
        <w:rPr>
          <w:rFonts w:ascii="Times New Roman" w:eastAsia="Times New Roman" w:hAnsi="Times New Roman" w:cs="Times New Roman"/>
          <w:sz w:val="24"/>
          <w:szCs w:val="24"/>
        </w:rPr>
        <w:t xml:space="preserve">, R. L. (2020). Is the policy of the European Union in Waste Management Sustainable? </w:t>
      </w:r>
      <w:proofErr w:type="gramStart"/>
      <w:r w:rsidRPr="00963A01">
        <w:rPr>
          <w:rFonts w:ascii="Times New Roman" w:eastAsia="Times New Roman" w:hAnsi="Times New Roman" w:cs="Times New Roman"/>
          <w:sz w:val="24"/>
          <w:szCs w:val="24"/>
        </w:rPr>
        <w:t>an</w:t>
      </w:r>
      <w:proofErr w:type="gramEnd"/>
      <w:r w:rsidRPr="00963A01">
        <w:rPr>
          <w:rFonts w:ascii="Times New Roman" w:eastAsia="Times New Roman" w:hAnsi="Times New Roman" w:cs="Times New Roman"/>
          <w:sz w:val="24"/>
          <w:szCs w:val="24"/>
        </w:rPr>
        <w:t xml:space="preserve"> assessment of the Italian context. </w:t>
      </w:r>
      <w:r w:rsidRPr="00963A01">
        <w:rPr>
          <w:rFonts w:ascii="Times New Roman" w:eastAsia="Times New Roman" w:hAnsi="Times New Roman" w:cs="Times New Roman"/>
          <w:iCs/>
          <w:sz w:val="24"/>
          <w:szCs w:val="24"/>
        </w:rPr>
        <w:t>Waste Management</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Cs/>
          <w:sz w:val="24"/>
          <w:szCs w:val="24"/>
        </w:rPr>
        <w:t>103</w:t>
      </w:r>
      <w:r w:rsidRPr="00963A01">
        <w:rPr>
          <w:rFonts w:ascii="Times New Roman" w:eastAsia="Times New Roman" w:hAnsi="Times New Roman" w:cs="Times New Roman"/>
          <w:sz w:val="24"/>
          <w:szCs w:val="24"/>
        </w:rPr>
        <w:t xml:space="preserve">, 437–448. </w:t>
      </w:r>
      <w:hyperlink r:id="rId31" w:history="1">
        <w:r w:rsidRPr="00963A01">
          <w:rPr>
            <w:rStyle w:val="Hyperlink"/>
            <w:rFonts w:ascii="Times New Roman" w:eastAsia="Times New Roman" w:hAnsi="Times New Roman" w:cs="Times New Roman"/>
            <w:sz w:val="24"/>
            <w:szCs w:val="24"/>
          </w:rPr>
          <w:t>https://doi.org/10.1016/j.wasman.2020.01.005</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iCs/>
          <w:sz w:val="24"/>
          <w:szCs w:val="24"/>
        </w:rPr>
        <w:t>The case for increasing recycling: Estimating the potential for recycling in Europe</w:t>
      </w:r>
      <w:r w:rsidRPr="00963A01">
        <w:rPr>
          <w:rFonts w:ascii="Times New Roman" w:eastAsia="Times New Roman" w:hAnsi="Times New Roman" w:cs="Times New Roman"/>
          <w:sz w:val="24"/>
          <w:szCs w:val="24"/>
        </w:rPr>
        <w:t xml:space="preserve">. European Environment Agency. (2021, March 25). Retrieved December 17, 2020, from </w:t>
      </w:r>
      <w:hyperlink r:id="rId32" w:history="1">
        <w:r w:rsidRPr="00963A01">
          <w:rPr>
            <w:rStyle w:val="Hyperlink"/>
            <w:rFonts w:ascii="Times New Roman" w:eastAsia="Times New Roman" w:hAnsi="Times New Roman" w:cs="Times New Roman"/>
            <w:sz w:val="24"/>
            <w:szCs w:val="24"/>
          </w:rPr>
          <w:t>https://www.eea.europa.eu/publications/the-case-for-increasing-recycling</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iCs/>
          <w:sz w:val="24"/>
          <w:szCs w:val="24"/>
        </w:rPr>
        <w:t>Directives 2018/851 on waste and 2018/852 on packaging and packaging waste</w:t>
      </w:r>
      <w:r w:rsidRPr="00963A01">
        <w:rPr>
          <w:rFonts w:ascii="Times New Roman" w:eastAsia="Times New Roman" w:hAnsi="Times New Roman" w:cs="Times New Roman"/>
          <w:sz w:val="24"/>
          <w:szCs w:val="24"/>
        </w:rPr>
        <w:t xml:space="preserve">. www.exssa.com. (2020, December 21). Retrieved December 17, 2020, from </w:t>
      </w:r>
      <w:hyperlink r:id="rId33" w:history="1">
        <w:r w:rsidRPr="00963A01">
          <w:rPr>
            <w:rStyle w:val="Hyperlink"/>
            <w:rFonts w:ascii="Times New Roman" w:eastAsia="Times New Roman" w:hAnsi="Times New Roman" w:cs="Times New Roman"/>
            <w:sz w:val="24"/>
            <w:szCs w:val="24"/>
          </w:rPr>
          <w:t>https://www.exssa.com/directives-2018-851-on-waste-and-2018-852-on-packaging-and-packaging-waste/</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De La Vega, N., &amp; </w:t>
      </w:r>
      <w:proofErr w:type="spellStart"/>
      <w:r w:rsidRPr="00963A01">
        <w:rPr>
          <w:rFonts w:ascii="Times New Roman" w:eastAsia="Times New Roman" w:hAnsi="Times New Roman" w:cs="Times New Roman"/>
          <w:sz w:val="24"/>
          <w:szCs w:val="24"/>
        </w:rPr>
        <w:t>Reuland</w:t>
      </w:r>
      <w:proofErr w:type="spellEnd"/>
      <w:r w:rsidRPr="00963A01">
        <w:rPr>
          <w:rFonts w:ascii="Times New Roman" w:eastAsia="Times New Roman" w:hAnsi="Times New Roman" w:cs="Times New Roman"/>
          <w:sz w:val="24"/>
          <w:szCs w:val="24"/>
        </w:rPr>
        <w:t xml:space="preserve">, G. (2020). Toward a framework that stimulates mineral recovery in Europe. </w:t>
      </w:r>
      <w:proofErr w:type="spellStart"/>
      <w:r w:rsidRPr="00963A01">
        <w:rPr>
          <w:rFonts w:ascii="Times New Roman" w:eastAsia="Times New Roman" w:hAnsi="Times New Roman" w:cs="Times New Roman"/>
          <w:i/>
          <w:iCs/>
          <w:sz w:val="24"/>
          <w:szCs w:val="24"/>
        </w:rPr>
        <w:t>Biorefinery</w:t>
      </w:r>
      <w:proofErr w:type="spellEnd"/>
      <w:r w:rsidRPr="00963A01">
        <w:rPr>
          <w:rFonts w:ascii="Times New Roman" w:eastAsia="Times New Roman" w:hAnsi="Times New Roman" w:cs="Times New Roman"/>
          <w:i/>
          <w:iCs/>
          <w:sz w:val="24"/>
          <w:szCs w:val="24"/>
        </w:rPr>
        <w:t xml:space="preserve"> of Inorganics</w:t>
      </w:r>
      <w:r w:rsidRPr="00963A01">
        <w:rPr>
          <w:rFonts w:ascii="Times New Roman" w:eastAsia="Times New Roman" w:hAnsi="Times New Roman" w:cs="Times New Roman"/>
          <w:sz w:val="24"/>
          <w:szCs w:val="24"/>
        </w:rPr>
        <w:t xml:space="preserve">, 23–32. </w:t>
      </w:r>
      <w:hyperlink r:id="rId34" w:history="1">
        <w:r w:rsidRPr="00963A01">
          <w:rPr>
            <w:rStyle w:val="Hyperlink"/>
            <w:rFonts w:ascii="Times New Roman" w:eastAsia="Times New Roman" w:hAnsi="Times New Roman" w:cs="Times New Roman"/>
            <w:sz w:val="24"/>
            <w:szCs w:val="24"/>
          </w:rPr>
          <w:t>https://doi.org/10.1002/9781118921487.ch2-1</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963A01">
        <w:rPr>
          <w:rFonts w:ascii="Times New Roman" w:eastAsia="Times New Roman" w:hAnsi="Times New Roman" w:cs="Times New Roman"/>
          <w:sz w:val="24"/>
          <w:szCs w:val="24"/>
        </w:rPr>
        <w:t>Kalogirou</w:t>
      </w:r>
      <w:proofErr w:type="spellEnd"/>
      <w:r w:rsidRPr="00963A01">
        <w:rPr>
          <w:rFonts w:ascii="Times New Roman" w:eastAsia="Times New Roman" w:hAnsi="Times New Roman" w:cs="Times New Roman"/>
          <w:sz w:val="24"/>
          <w:szCs w:val="24"/>
        </w:rPr>
        <w:t xml:space="preserve">, E. N. (2017). Waste-to-energy in Europe. </w:t>
      </w:r>
      <w:r w:rsidRPr="00963A01">
        <w:rPr>
          <w:rFonts w:ascii="Times New Roman" w:eastAsia="Times New Roman" w:hAnsi="Times New Roman" w:cs="Times New Roman"/>
          <w:i/>
          <w:iCs/>
          <w:sz w:val="24"/>
          <w:szCs w:val="24"/>
        </w:rPr>
        <w:t>Waste-to-Energy Technologies and Global Applications</w:t>
      </w:r>
      <w:r w:rsidRPr="00963A01">
        <w:rPr>
          <w:rFonts w:ascii="Times New Roman" w:eastAsia="Times New Roman" w:hAnsi="Times New Roman" w:cs="Times New Roman"/>
          <w:sz w:val="24"/>
          <w:szCs w:val="24"/>
        </w:rPr>
        <w:t xml:space="preserve">, 83–142. </w:t>
      </w:r>
      <w:hyperlink r:id="rId35" w:history="1">
        <w:r w:rsidRPr="00963A01">
          <w:rPr>
            <w:rStyle w:val="Hyperlink"/>
            <w:rFonts w:ascii="Times New Roman" w:eastAsia="Times New Roman" w:hAnsi="Times New Roman" w:cs="Times New Roman"/>
            <w:sz w:val="24"/>
            <w:szCs w:val="24"/>
          </w:rPr>
          <w:t>https://doi.org/10.1201/9781315269061-4</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963A01">
        <w:rPr>
          <w:rFonts w:ascii="Times New Roman" w:eastAsia="Times New Roman" w:hAnsi="Times New Roman" w:cs="Times New Roman"/>
          <w:sz w:val="24"/>
          <w:szCs w:val="24"/>
        </w:rPr>
        <w:t>Krämer</w:t>
      </w:r>
      <w:proofErr w:type="spellEnd"/>
      <w:r w:rsidRPr="00963A01">
        <w:rPr>
          <w:rFonts w:ascii="Times New Roman" w:eastAsia="Times New Roman" w:hAnsi="Times New Roman" w:cs="Times New Roman"/>
          <w:sz w:val="24"/>
          <w:szCs w:val="24"/>
        </w:rPr>
        <w:t xml:space="preserve">, L. (2010). Remarks on the waste framework directive. </w:t>
      </w:r>
      <w:proofErr w:type="spellStart"/>
      <w:r w:rsidRPr="00963A01">
        <w:rPr>
          <w:rFonts w:ascii="Times New Roman" w:eastAsia="Times New Roman" w:hAnsi="Times New Roman" w:cs="Times New Roman"/>
          <w:i/>
          <w:iCs/>
          <w:sz w:val="24"/>
          <w:szCs w:val="24"/>
        </w:rPr>
        <w:t>Elni</w:t>
      </w:r>
      <w:proofErr w:type="spellEnd"/>
      <w:r w:rsidRPr="00963A01">
        <w:rPr>
          <w:rFonts w:ascii="Times New Roman" w:eastAsia="Times New Roman" w:hAnsi="Times New Roman" w:cs="Times New Roman"/>
          <w:i/>
          <w:iCs/>
          <w:sz w:val="24"/>
          <w:szCs w:val="24"/>
        </w:rPr>
        <w:t xml:space="preserve"> Review</w:t>
      </w:r>
      <w:r w:rsidRPr="00963A01">
        <w:rPr>
          <w:rFonts w:ascii="Times New Roman" w:eastAsia="Times New Roman" w:hAnsi="Times New Roman" w:cs="Times New Roman"/>
          <w:sz w:val="24"/>
          <w:szCs w:val="24"/>
        </w:rPr>
        <w:t xml:space="preserve">, 2–6. </w:t>
      </w:r>
      <w:hyperlink r:id="rId36" w:history="1">
        <w:r w:rsidRPr="00963A01">
          <w:rPr>
            <w:rStyle w:val="Hyperlink"/>
            <w:rFonts w:ascii="Times New Roman" w:eastAsia="Times New Roman" w:hAnsi="Times New Roman" w:cs="Times New Roman"/>
            <w:sz w:val="24"/>
            <w:szCs w:val="24"/>
          </w:rPr>
          <w:t>https://doi.org/10.46850/elni.2010.001</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Hazardous waste treatment. (2005). </w:t>
      </w:r>
      <w:r w:rsidRPr="00963A01">
        <w:rPr>
          <w:rFonts w:ascii="Times New Roman" w:eastAsia="Times New Roman" w:hAnsi="Times New Roman" w:cs="Times New Roman"/>
          <w:i/>
          <w:iCs/>
          <w:sz w:val="24"/>
          <w:szCs w:val="24"/>
        </w:rPr>
        <w:t>Waste Management Practices</w:t>
      </w:r>
      <w:r w:rsidRPr="00963A01">
        <w:rPr>
          <w:rFonts w:ascii="Times New Roman" w:eastAsia="Times New Roman" w:hAnsi="Times New Roman" w:cs="Times New Roman"/>
          <w:sz w:val="24"/>
          <w:szCs w:val="24"/>
        </w:rPr>
        <w:t xml:space="preserve">, 506–520. </w:t>
      </w:r>
      <w:hyperlink r:id="rId37" w:history="1">
        <w:r w:rsidRPr="00963A01">
          <w:rPr>
            <w:rStyle w:val="Hyperlink"/>
            <w:rFonts w:ascii="Times New Roman" w:eastAsia="Times New Roman" w:hAnsi="Times New Roman" w:cs="Times New Roman"/>
            <w:sz w:val="24"/>
            <w:szCs w:val="24"/>
          </w:rPr>
          <w:t>https://doi.org/10.1201/9781420037517.ch16</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i/>
          <w:iCs/>
          <w:sz w:val="24"/>
          <w:szCs w:val="24"/>
        </w:rPr>
        <w:t>Waste management</w:t>
      </w:r>
      <w:r w:rsidRPr="00963A01">
        <w:rPr>
          <w:rFonts w:ascii="Times New Roman" w:eastAsia="Times New Roman" w:hAnsi="Times New Roman" w:cs="Times New Roman"/>
          <w:sz w:val="24"/>
          <w:szCs w:val="24"/>
        </w:rPr>
        <w:t xml:space="preserve">. European Environment Agency. (2020, June 30). Retrieved December 17, 2020, from </w:t>
      </w:r>
      <w:hyperlink r:id="rId38" w:history="1">
        <w:r w:rsidRPr="00963A01">
          <w:rPr>
            <w:rStyle w:val="Hyperlink"/>
            <w:rFonts w:ascii="Times New Roman" w:eastAsia="Times New Roman" w:hAnsi="Times New Roman" w:cs="Times New Roman"/>
            <w:sz w:val="24"/>
            <w:szCs w:val="24"/>
          </w:rPr>
          <w:t>https://www.eea.europa.eu/themes/waste/waste-management</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World Bank Group. (2020, May 31). </w:t>
      </w:r>
      <w:r w:rsidRPr="00963A01">
        <w:rPr>
          <w:rFonts w:ascii="Times New Roman" w:eastAsia="Times New Roman" w:hAnsi="Times New Roman" w:cs="Times New Roman"/>
          <w:i/>
          <w:iCs/>
          <w:sz w:val="24"/>
          <w:szCs w:val="24"/>
        </w:rPr>
        <w:t>Solid waste management</w:t>
      </w:r>
      <w:r w:rsidRPr="00963A01">
        <w:rPr>
          <w:rFonts w:ascii="Times New Roman" w:eastAsia="Times New Roman" w:hAnsi="Times New Roman" w:cs="Times New Roman"/>
          <w:sz w:val="24"/>
          <w:szCs w:val="24"/>
        </w:rPr>
        <w:t xml:space="preserve">. World Bank. Retrieved December 17, 2020, from </w:t>
      </w:r>
      <w:hyperlink r:id="rId39" w:history="1">
        <w:r w:rsidRPr="00963A01">
          <w:rPr>
            <w:rStyle w:val="Hyperlink"/>
            <w:rFonts w:ascii="Times New Roman" w:eastAsia="Times New Roman" w:hAnsi="Times New Roman" w:cs="Times New Roman"/>
            <w:sz w:val="24"/>
            <w:szCs w:val="24"/>
          </w:rPr>
          <w:t>https://www.worldbank.org/en/topic/urbandevelopment/brief/solid-waste-management</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Sommer, V., </w:t>
      </w:r>
      <w:proofErr w:type="spellStart"/>
      <w:r w:rsidRPr="00963A01">
        <w:rPr>
          <w:rFonts w:ascii="Times New Roman" w:eastAsia="Times New Roman" w:hAnsi="Times New Roman" w:cs="Times New Roman"/>
          <w:sz w:val="24"/>
          <w:szCs w:val="24"/>
        </w:rPr>
        <w:t>Stockschläder</w:t>
      </w:r>
      <w:proofErr w:type="spellEnd"/>
      <w:r w:rsidRPr="00963A01">
        <w:rPr>
          <w:rFonts w:ascii="Times New Roman" w:eastAsia="Times New Roman" w:hAnsi="Times New Roman" w:cs="Times New Roman"/>
          <w:sz w:val="24"/>
          <w:szCs w:val="24"/>
        </w:rPr>
        <w:t xml:space="preserve">, J., &amp; Walther, G. (2020). Estimation of glass and carbon fiber reinforced plastic waste from end-of-life rotor blades of wind power plants within the European Union. </w:t>
      </w:r>
      <w:r w:rsidRPr="00963A01">
        <w:rPr>
          <w:rFonts w:ascii="Times New Roman" w:eastAsia="Times New Roman" w:hAnsi="Times New Roman" w:cs="Times New Roman"/>
          <w:i/>
          <w:iCs/>
          <w:sz w:val="24"/>
          <w:szCs w:val="24"/>
        </w:rPr>
        <w:t>Waste Management</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115</w:t>
      </w:r>
      <w:r w:rsidRPr="00963A01">
        <w:rPr>
          <w:rFonts w:ascii="Times New Roman" w:eastAsia="Times New Roman" w:hAnsi="Times New Roman" w:cs="Times New Roman"/>
          <w:sz w:val="24"/>
          <w:szCs w:val="24"/>
        </w:rPr>
        <w:t xml:space="preserve">, 83–94. </w:t>
      </w:r>
      <w:hyperlink r:id="rId40" w:history="1">
        <w:r w:rsidRPr="00963A01">
          <w:rPr>
            <w:rStyle w:val="Hyperlink"/>
            <w:rFonts w:ascii="Times New Roman" w:eastAsia="Times New Roman" w:hAnsi="Times New Roman" w:cs="Times New Roman"/>
            <w:sz w:val="24"/>
            <w:szCs w:val="24"/>
          </w:rPr>
          <w:t>https://doi.org/10.1016/j.wasman.2020.06.043</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Preface. (2019). </w:t>
      </w:r>
      <w:r w:rsidRPr="00963A01">
        <w:rPr>
          <w:rFonts w:ascii="Times New Roman" w:eastAsia="Times New Roman" w:hAnsi="Times New Roman" w:cs="Times New Roman"/>
          <w:i/>
          <w:iCs/>
          <w:sz w:val="24"/>
          <w:szCs w:val="24"/>
        </w:rPr>
        <w:t>Recycling and Re-Use of Waste Rubber</w:t>
      </w:r>
      <w:r w:rsidRPr="00963A01">
        <w:rPr>
          <w:rFonts w:ascii="Times New Roman" w:eastAsia="Times New Roman" w:hAnsi="Times New Roman" w:cs="Times New Roman"/>
          <w:sz w:val="24"/>
          <w:szCs w:val="24"/>
        </w:rPr>
        <w:t xml:space="preserve">, v-vi. </w:t>
      </w:r>
      <w:hyperlink r:id="rId41" w:history="1">
        <w:r w:rsidRPr="00963A01">
          <w:rPr>
            <w:rStyle w:val="Hyperlink"/>
            <w:rFonts w:ascii="Times New Roman" w:eastAsia="Times New Roman" w:hAnsi="Times New Roman" w:cs="Times New Roman"/>
            <w:sz w:val="24"/>
            <w:szCs w:val="24"/>
          </w:rPr>
          <w:t>https://doi.org/10.1515/9783110644142-201</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EU Water Infrastructure Management: National Regulations, EU Framework Directives but no model to follow. (2008). </w:t>
      </w:r>
      <w:r w:rsidRPr="00963A01">
        <w:rPr>
          <w:rFonts w:ascii="Times New Roman" w:eastAsia="Times New Roman" w:hAnsi="Times New Roman" w:cs="Times New Roman"/>
          <w:i/>
          <w:iCs/>
          <w:sz w:val="24"/>
          <w:szCs w:val="24"/>
        </w:rPr>
        <w:t>Strategies, Markets and Governance</w:t>
      </w:r>
      <w:r w:rsidRPr="00963A01">
        <w:rPr>
          <w:rFonts w:ascii="Times New Roman" w:eastAsia="Times New Roman" w:hAnsi="Times New Roman" w:cs="Times New Roman"/>
          <w:sz w:val="24"/>
          <w:szCs w:val="24"/>
        </w:rPr>
        <w:t xml:space="preserve">, 166–190. </w:t>
      </w:r>
      <w:hyperlink r:id="rId42" w:history="1">
        <w:r w:rsidRPr="00963A01">
          <w:rPr>
            <w:rStyle w:val="Hyperlink"/>
            <w:rFonts w:ascii="Times New Roman" w:eastAsia="Times New Roman" w:hAnsi="Times New Roman" w:cs="Times New Roman"/>
            <w:sz w:val="24"/>
            <w:szCs w:val="24"/>
          </w:rPr>
          <w:t>https://doi.org/10.1017/cbo9780511753848.011</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iCs/>
          <w:sz w:val="24"/>
          <w:szCs w:val="24"/>
        </w:rPr>
        <w:t>Directives 2018/851 on waste and 2018/852 on packaging and packaging waste</w:t>
      </w:r>
      <w:r w:rsidRPr="00963A01">
        <w:rPr>
          <w:rFonts w:ascii="Times New Roman" w:eastAsia="Times New Roman" w:hAnsi="Times New Roman" w:cs="Times New Roman"/>
          <w:sz w:val="24"/>
          <w:szCs w:val="24"/>
        </w:rPr>
        <w:t xml:space="preserve">. www.exssa.com. (2020, December 21). Retrieved December 17, 2022, from </w:t>
      </w:r>
      <w:hyperlink r:id="rId43" w:history="1">
        <w:r w:rsidRPr="00963A01">
          <w:rPr>
            <w:rStyle w:val="Hyperlink"/>
            <w:rFonts w:ascii="Times New Roman" w:eastAsia="Times New Roman" w:hAnsi="Times New Roman" w:cs="Times New Roman"/>
            <w:sz w:val="24"/>
            <w:szCs w:val="24"/>
          </w:rPr>
          <w:t>https://www.exssa.com/directives-2018-851-on-waste-and-2018-852-on-packaging-and-packaging-waste/</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Bailey, P. M. (2019). Environmental legislation and policy regarding packaging waste at the European Community Level. </w:t>
      </w:r>
      <w:r w:rsidRPr="00963A01">
        <w:rPr>
          <w:rFonts w:ascii="Times New Roman" w:eastAsia="Times New Roman" w:hAnsi="Times New Roman" w:cs="Times New Roman"/>
          <w:i/>
          <w:iCs/>
          <w:sz w:val="24"/>
          <w:szCs w:val="24"/>
        </w:rPr>
        <w:t>Packaging Law Europe</w:t>
      </w:r>
      <w:r w:rsidRPr="00963A01">
        <w:rPr>
          <w:rFonts w:ascii="Times New Roman" w:eastAsia="Times New Roman" w:hAnsi="Times New Roman" w:cs="Times New Roman"/>
          <w:sz w:val="24"/>
          <w:szCs w:val="24"/>
        </w:rPr>
        <w:t xml:space="preserve">, 3–14. </w:t>
      </w:r>
      <w:hyperlink r:id="rId44" w:history="1">
        <w:r w:rsidRPr="00963A01">
          <w:rPr>
            <w:rStyle w:val="Hyperlink"/>
            <w:rFonts w:ascii="Times New Roman" w:eastAsia="Times New Roman" w:hAnsi="Times New Roman" w:cs="Times New Roman"/>
            <w:sz w:val="24"/>
            <w:szCs w:val="24"/>
          </w:rPr>
          <w:t>https://doi.org/10.4324/9780429446443-2</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European Financial Markets. (2020). </w:t>
      </w:r>
      <w:r w:rsidRPr="00963A01">
        <w:rPr>
          <w:rFonts w:ascii="Times New Roman" w:eastAsia="Times New Roman" w:hAnsi="Times New Roman" w:cs="Times New Roman"/>
          <w:i/>
          <w:iCs/>
          <w:sz w:val="24"/>
          <w:szCs w:val="24"/>
        </w:rPr>
        <w:t>Financial Markets and Institutions</w:t>
      </w:r>
      <w:r w:rsidRPr="00963A01">
        <w:rPr>
          <w:rFonts w:ascii="Times New Roman" w:eastAsia="Times New Roman" w:hAnsi="Times New Roman" w:cs="Times New Roman"/>
          <w:sz w:val="24"/>
          <w:szCs w:val="24"/>
        </w:rPr>
        <w:t xml:space="preserve">, 143–181. </w:t>
      </w:r>
      <w:hyperlink r:id="rId45" w:history="1">
        <w:r w:rsidRPr="00963A01">
          <w:rPr>
            <w:rStyle w:val="Hyperlink"/>
            <w:rFonts w:ascii="Times New Roman" w:eastAsia="Times New Roman" w:hAnsi="Times New Roman" w:cs="Times New Roman"/>
            <w:sz w:val="24"/>
            <w:szCs w:val="24"/>
          </w:rPr>
          <w:t>https://doi.org/10.1017/9781108643849.006</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B. measures under enforcement directive 2004/48/EC. (2020). </w:t>
      </w:r>
      <w:r w:rsidRPr="00963A01">
        <w:rPr>
          <w:rFonts w:ascii="Times New Roman" w:eastAsia="Times New Roman" w:hAnsi="Times New Roman" w:cs="Times New Roman"/>
          <w:i/>
          <w:iCs/>
          <w:sz w:val="24"/>
          <w:szCs w:val="24"/>
        </w:rPr>
        <w:t>European Union Trade Mark Regulation</w:t>
      </w:r>
      <w:r w:rsidRPr="00963A01">
        <w:rPr>
          <w:rFonts w:ascii="Times New Roman" w:eastAsia="Times New Roman" w:hAnsi="Times New Roman" w:cs="Times New Roman"/>
          <w:sz w:val="24"/>
          <w:szCs w:val="24"/>
        </w:rPr>
        <w:t xml:space="preserve">, 1411–1423. </w:t>
      </w:r>
      <w:hyperlink r:id="rId46" w:history="1">
        <w:r w:rsidRPr="00963A01">
          <w:rPr>
            <w:rStyle w:val="Hyperlink"/>
            <w:rFonts w:ascii="Times New Roman" w:eastAsia="Times New Roman" w:hAnsi="Times New Roman" w:cs="Times New Roman"/>
            <w:sz w:val="24"/>
            <w:szCs w:val="24"/>
          </w:rPr>
          <w:t>https://doi.org/10.17104/9783406759093-1411</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963A01">
        <w:rPr>
          <w:rFonts w:ascii="Times New Roman" w:eastAsia="Times New Roman" w:hAnsi="Times New Roman" w:cs="Times New Roman"/>
          <w:sz w:val="24"/>
          <w:szCs w:val="24"/>
        </w:rPr>
        <w:lastRenderedPageBreak/>
        <w:t>Singhabhandhu</w:t>
      </w:r>
      <w:proofErr w:type="spellEnd"/>
      <w:r w:rsidRPr="00963A01">
        <w:rPr>
          <w:rFonts w:ascii="Times New Roman" w:eastAsia="Times New Roman" w:hAnsi="Times New Roman" w:cs="Times New Roman"/>
          <w:sz w:val="24"/>
          <w:szCs w:val="24"/>
        </w:rPr>
        <w:t xml:space="preserve">, A., &amp; </w:t>
      </w:r>
      <w:proofErr w:type="spellStart"/>
      <w:r w:rsidRPr="00963A01">
        <w:rPr>
          <w:rFonts w:ascii="Times New Roman" w:eastAsia="Times New Roman" w:hAnsi="Times New Roman" w:cs="Times New Roman"/>
          <w:sz w:val="24"/>
          <w:szCs w:val="24"/>
        </w:rPr>
        <w:t>Tezuka</w:t>
      </w:r>
      <w:proofErr w:type="spellEnd"/>
      <w:r w:rsidRPr="00963A01">
        <w:rPr>
          <w:rFonts w:ascii="Times New Roman" w:eastAsia="Times New Roman" w:hAnsi="Times New Roman" w:cs="Times New Roman"/>
          <w:sz w:val="24"/>
          <w:szCs w:val="24"/>
        </w:rPr>
        <w:t xml:space="preserve">, T. (2010). The waste-to-energy framework for integrated multi-waste utilization: Waste cooking oil, waste lubricating oil, and waste plastics. </w:t>
      </w:r>
      <w:r w:rsidRPr="00963A01">
        <w:rPr>
          <w:rFonts w:ascii="Times New Roman" w:eastAsia="Times New Roman" w:hAnsi="Times New Roman" w:cs="Times New Roman"/>
          <w:i/>
          <w:iCs/>
          <w:sz w:val="24"/>
          <w:szCs w:val="24"/>
        </w:rPr>
        <w:t>Energy</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35</w:t>
      </w:r>
      <w:r w:rsidRPr="00963A01">
        <w:rPr>
          <w:rFonts w:ascii="Times New Roman" w:eastAsia="Times New Roman" w:hAnsi="Times New Roman" w:cs="Times New Roman"/>
          <w:sz w:val="24"/>
          <w:szCs w:val="24"/>
        </w:rPr>
        <w:t xml:space="preserve">(6), 2544–2551. </w:t>
      </w:r>
      <w:hyperlink r:id="rId47" w:history="1">
        <w:r w:rsidRPr="00963A01">
          <w:rPr>
            <w:rStyle w:val="Hyperlink"/>
            <w:rFonts w:ascii="Times New Roman" w:eastAsia="Times New Roman" w:hAnsi="Times New Roman" w:cs="Times New Roman"/>
            <w:sz w:val="24"/>
            <w:szCs w:val="24"/>
          </w:rPr>
          <w:t>https://doi.org/10.1016/j.energy.2010.03.001</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963A01">
        <w:rPr>
          <w:rFonts w:ascii="Times New Roman" w:eastAsia="Times New Roman" w:hAnsi="Times New Roman" w:cs="Times New Roman"/>
          <w:sz w:val="24"/>
          <w:szCs w:val="24"/>
        </w:rPr>
        <w:t>Schütze</w:t>
      </w:r>
      <w:proofErr w:type="spellEnd"/>
      <w:r w:rsidRPr="00963A01">
        <w:rPr>
          <w:rFonts w:ascii="Times New Roman" w:eastAsia="Times New Roman" w:hAnsi="Times New Roman" w:cs="Times New Roman"/>
          <w:sz w:val="24"/>
          <w:szCs w:val="24"/>
        </w:rPr>
        <w:t xml:space="preserve">, R. (2020). 2. </w:t>
      </w:r>
      <w:proofErr w:type="gramStart"/>
      <w:r w:rsidRPr="00963A01">
        <w:rPr>
          <w:rFonts w:ascii="Times New Roman" w:eastAsia="Times New Roman" w:hAnsi="Times New Roman" w:cs="Times New Roman"/>
          <w:sz w:val="24"/>
          <w:szCs w:val="24"/>
        </w:rPr>
        <w:t>union</w:t>
      </w:r>
      <w:proofErr w:type="gramEnd"/>
      <w:r w:rsidRPr="00963A01">
        <w:rPr>
          <w:rFonts w:ascii="Times New Roman" w:eastAsia="Times New Roman" w:hAnsi="Times New Roman" w:cs="Times New Roman"/>
          <w:sz w:val="24"/>
          <w:szCs w:val="24"/>
        </w:rPr>
        <w:t xml:space="preserve"> legislation. </w:t>
      </w:r>
      <w:r w:rsidRPr="00963A01">
        <w:rPr>
          <w:rFonts w:ascii="Times New Roman" w:eastAsia="Times New Roman" w:hAnsi="Times New Roman" w:cs="Times New Roman"/>
          <w:i/>
          <w:iCs/>
          <w:sz w:val="24"/>
          <w:szCs w:val="24"/>
        </w:rPr>
        <w:t>An Introduction to European Law</w:t>
      </w:r>
      <w:r w:rsidRPr="00963A01">
        <w:rPr>
          <w:rFonts w:ascii="Times New Roman" w:eastAsia="Times New Roman" w:hAnsi="Times New Roman" w:cs="Times New Roman"/>
          <w:sz w:val="24"/>
          <w:szCs w:val="24"/>
        </w:rPr>
        <w:t xml:space="preserve">, 37–60. </w:t>
      </w:r>
      <w:hyperlink r:id="rId48" w:history="1">
        <w:r w:rsidRPr="00963A01">
          <w:rPr>
            <w:rStyle w:val="Hyperlink"/>
            <w:rFonts w:ascii="Times New Roman" w:eastAsia="Times New Roman" w:hAnsi="Times New Roman" w:cs="Times New Roman"/>
            <w:sz w:val="24"/>
            <w:szCs w:val="24"/>
          </w:rPr>
          <w:t>https://doi.org/10.1093/he/9780198858942.003.0002</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Transforming waste plastic into an alternative fuel. (2010). </w:t>
      </w:r>
      <w:r w:rsidRPr="00963A01">
        <w:rPr>
          <w:rFonts w:ascii="Times New Roman" w:eastAsia="Times New Roman" w:hAnsi="Times New Roman" w:cs="Times New Roman"/>
          <w:i/>
          <w:iCs/>
          <w:sz w:val="24"/>
          <w:szCs w:val="24"/>
        </w:rPr>
        <w:t>Pigment &amp; Resin Technology</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39</w:t>
      </w:r>
      <w:r w:rsidRPr="00963A01">
        <w:rPr>
          <w:rFonts w:ascii="Times New Roman" w:eastAsia="Times New Roman" w:hAnsi="Times New Roman" w:cs="Times New Roman"/>
          <w:sz w:val="24"/>
          <w:szCs w:val="24"/>
        </w:rPr>
        <w:t xml:space="preserve">(5). </w:t>
      </w:r>
      <w:hyperlink r:id="rId49" w:history="1">
        <w:r w:rsidRPr="00963A01">
          <w:rPr>
            <w:rStyle w:val="Hyperlink"/>
            <w:rFonts w:ascii="Times New Roman" w:eastAsia="Times New Roman" w:hAnsi="Times New Roman" w:cs="Times New Roman"/>
            <w:sz w:val="24"/>
            <w:szCs w:val="24"/>
          </w:rPr>
          <w:t>https://doi.org/10.1108/prt.2010.12939eab.002</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963A01">
        <w:rPr>
          <w:rFonts w:ascii="Times New Roman" w:eastAsia="Times New Roman" w:hAnsi="Times New Roman" w:cs="Times New Roman"/>
          <w:sz w:val="24"/>
          <w:szCs w:val="24"/>
        </w:rPr>
        <w:t>Bajare</w:t>
      </w:r>
      <w:proofErr w:type="spellEnd"/>
      <w:r w:rsidRPr="00963A01">
        <w:rPr>
          <w:rFonts w:ascii="Times New Roman" w:eastAsia="Times New Roman" w:hAnsi="Times New Roman" w:cs="Times New Roman"/>
          <w:sz w:val="24"/>
          <w:szCs w:val="24"/>
        </w:rPr>
        <w:t xml:space="preserve">, D., </w:t>
      </w:r>
      <w:proofErr w:type="spellStart"/>
      <w:r w:rsidRPr="00963A01">
        <w:rPr>
          <w:rFonts w:ascii="Times New Roman" w:eastAsia="Times New Roman" w:hAnsi="Times New Roman" w:cs="Times New Roman"/>
          <w:sz w:val="24"/>
          <w:szCs w:val="24"/>
        </w:rPr>
        <w:t>Vitola</w:t>
      </w:r>
      <w:proofErr w:type="spellEnd"/>
      <w:r w:rsidRPr="00963A01">
        <w:rPr>
          <w:rFonts w:ascii="Times New Roman" w:eastAsia="Times New Roman" w:hAnsi="Times New Roman" w:cs="Times New Roman"/>
          <w:sz w:val="24"/>
          <w:szCs w:val="24"/>
        </w:rPr>
        <w:t xml:space="preserve">, L., </w:t>
      </w:r>
      <w:proofErr w:type="spellStart"/>
      <w:r w:rsidRPr="00963A01">
        <w:rPr>
          <w:rFonts w:ascii="Times New Roman" w:eastAsia="Times New Roman" w:hAnsi="Times New Roman" w:cs="Times New Roman"/>
          <w:sz w:val="24"/>
          <w:szCs w:val="24"/>
        </w:rPr>
        <w:t>Dembovska</w:t>
      </w:r>
      <w:proofErr w:type="spellEnd"/>
      <w:r w:rsidRPr="00963A01">
        <w:rPr>
          <w:rFonts w:ascii="Times New Roman" w:eastAsia="Times New Roman" w:hAnsi="Times New Roman" w:cs="Times New Roman"/>
          <w:sz w:val="24"/>
          <w:szCs w:val="24"/>
        </w:rPr>
        <w:t xml:space="preserve">, L., &amp; </w:t>
      </w:r>
      <w:proofErr w:type="spellStart"/>
      <w:r w:rsidRPr="00963A01">
        <w:rPr>
          <w:rFonts w:ascii="Times New Roman" w:eastAsia="Times New Roman" w:hAnsi="Times New Roman" w:cs="Times New Roman"/>
          <w:sz w:val="24"/>
          <w:szCs w:val="24"/>
        </w:rPr>
        <w:t>Bumanis</w:t>
      </w:r>
      <w:proofErr w:type="spellEnd"/>
      <w:r w:rsidRPr="00963A01">
        <w:rPr>
          <w:rFonts w:ascii="Times New Roman" w:eastAsia="Times New Roman" w:hAnsi="Times New Roman" w:cs="Times New Roman"/>
          <w:sz w:val="24"/>
          <w:szCs w:val="24"/>
        </w:rPr>
        <w:t xml:space="preserve">, G. (2019). Waste stream porous alkali activated materials for high temperature application. </w:t>
      </w:r>
      <w:r w:rsidRPr="00963A01">
        <w:rPr>
          <w:rFonts w:ascii="Times New Roman" w:eastAsia="Times New Roman" w:hAnsi="Times New Roman" w:cs="Times New Roman"/>
          <w:i/>
          <w:iCs/>
          <w:sz w:val="24"/>
          <w:szCs w:val="24"/>
        </w:rPr>
        <w:t>Frontiers in Materials</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6</w:t>
      </w:r>
      <w:r w:rsidRPr="00963A01">
        <w:rPr>
          <w:rFonts w:ascii="Times New Roman" w:eastAsia="Times New Roman" w:hAnsi="Times New Roman" w:cs="Times New Roman"/>
          <w:sz w:val="24"/>
          <w:szCs w:val="24"/>
        </w:rPr>
        <w:t xml:space="preserve">. </w:t>
      </w:r>
      <w:hyperlink r:id="rId50" w:history="1">
        <w:r w:rsidRPr="00963A01">
          <w:rPr>
            <w:rStyle w:val="Hyperlink"/>
            <w:rFonts w:ascii="Times New Roman" w:eastAsia="Times New Roman" w:hAnsi="Times New Roman" w:cs="Times New Roman"/>
            <w:sz w:val="24"/>
            <w:szCs w:val="24"/>
          </w:rPr>
          <w:t>https://doi.org/10.3389/fmats.2019.00092</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hAnsi="Times New Roman" w:cs="Times New Roman"/>
          <w:sz w:val="24"/>
          <w:szCs w:val="24"/>
        </w:rPr>
      </w:pPr>
      <w:proofErr w:type="spellStart"/>
      <w:r w:rsidRPr="00963A01">
        <w:rPr>
          <w:rFonts w:ascii="Times New Roman" w:eastAsia="Times New Roman" w:hAnsi="Times New Roman" w:cs="Times New Roman"/>
          <w:sz w:val="24"/>
          <w:szCs w:val="24"/>
        </w:rPr>
        <w:t>Kontogianni</w:t>
      </w:r>
      <w:proofErr w:type="spellEnd"/>
      <w:r w:rsidRPr="00963A01">
        <w:rPr>
          <w:rFonts w:ascii="Times New Roman" w:eastAsia="Times New Roman" w:hAnsi="Times New Roman" w:cs="Times New Roman"/>
          <w:sz w:val="24"/>
          <w:szCs w:val="24"/>
        </w:rPr>
        <w:t xml:space="preserve">, S., </w:t>
      </w:r>
      <w:proofErr w:type="spellStart"/>
      <w:r w:rsidRPr="00963A01">
        <w:rPr>
          <w:rFonts w:ascii="Times New Roman" w:eastAsia="Times New Roman" w:hAnsi="Times New Roman" w:cs="Times New Roman"/>
          <w:sz w:val="24"/>
          <w:szCs w:val="24"/>
        </w:rPr>
        <w:t>Moussiopoulos</w:t>
      </w:r>
      <w:proofErr w:type="spellEnd"/>
      <w:r w:rsidRPr="00963A01">
        <w:rPr>
          <w:rFonts w:ascii="Times New Roman" w:eastAsia="Times New Roman" w:hAnsi="Times New Roman" w:cs="Times New Roman"/>
          <w:sz w:val="24"/>
          <w:szCs w:val="24"/>
        </w:rPr>
        <w:t>, N., &amp; Al-</w:t>
      </w:r>
      <w:proofErr w:type="spellStart"/>
      <w:r w:rsidRPr="00963A01">
        <w:rPr>
          <w:rFonts w:ascii="Times New Roman" w:eastAsia="Times New Roman" w:hAnsi="Times New Roman" w:cs="Times New Roman"/>
          <w:sz w:val="24"/>
          <w:szCs w:val="24"/>
        </w:rPr>
        <w:t>Khatib</w:t>
      </w:r>
      <w:proofErr w:type="spellEnd"/>
      <w:r w:rsidRPr="00963A01">
        <w:rPr>
          <w:rFonts w:ascii="Times New Roman" w:eastAsia="Times New Roman" w:hAnsi="Times New Roman" w:cs="Times New Roman"/>
          <w:sz w:val="24"/>
          <w:szCs w:val="24"/>
        </w:rPr>
        <w:t xml:space="preserve">, I. A. (2020). Health hazards associated with household hazardous waste stream management along with the Municipal Waste Stream. </w:t>
      </w:r>
      <w:r w:rsidRPr="00963A01">
        <w:rPr>
          <w:rFonts w:ascii="Times New Roman" w:eastAsia="Times New Roman" w:hAnsi="Times New Roman" w:cs="Times New Roman"/>
          <w:i/>
          <w:iCs/>
          <w:sz w:val="24"/>
          <w:szCs w:val="24"/>
        </w:rPr>
        <w:t>Handbook of Environmental Materials Management</w:t>
      </w:r>
      <w:r w:rsidRPr="00963A01">
        <w:rPr>
          <w:rFonts w:ascii="Times New Roman" w:eastAsia="Times New Roman" w:hAnsi="Times New Roman" w:cs="Times New Roman"/>
          <w:sz w:val="24"/>
          <w:szCs w:val="24"/>
        </w:rPr>
        <w:t xml:space="preserve">, 1–17. </w:t>
      </w:r>
      <w:hyperlink r:id="rId51" w:history="1">
        <w:r w:rsidRPr="00963A01">
          <w:rPr>
            <w:rStyle w:val="Hyperlink"/>
            <w:rFonts w:ascii="Times New Roman" w:eastAsia="Times New Roman" w:hAnsi="Times New Roman" w:cs="Times New Roman"/>
            <w:sz w:val="24"/>
            <w:szCs w:val="24"/>
          </w:rPr>
          <w:t>https://doi.org/10.1007/978-3-319-58538-3_199-1</w:t>
        </w:r>
      </w:hyperlink>
    </w:p>
    <w:p w:rsidR="006B6C2D" w:rsidRPr="00963A01" w:rsidRDefault="006B6C2D" w:rsidP="006B6C2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3A01">
        <w:rPr>
          <w:rFonts w:ascii="Times New Roman" w:eastAsia="Times New Roman" w:hAnsi="Times New Roman" w:cs="Times New Roman"/>
          <w:sz w:val="24"/>
          <w:szCs w:val="24"/>
        </w:rPr>
        <w:t xml:space="preserve">Organic material &amp; bacterial metabolism. (2019). </w:t>
      </w:r>
      <w:r w:rsidRPr="00963A01">
        <w:rPr>
          <w:rFonts w:ascii="Times New Roman" w:eastAsia="Times New Roman" w:hAnsi="Times New Roman" w:cs="Times New Roman"/>
          <w:i/>
          <w:iCs/>
          <w:sz w:val="24"/>
          <w:szCs w:val="24"/>
        </w:rPr>
        <w:t>Anaerobic Sewage Treatment: Optimization of Process and Physical Design of Anaerobic and Complementary Processes</w:t>
      </w:r>
      <w:r w:rsidRPr="00963A01">
        <w:rPr>
          <w:rFonts w:ascii="Times New Roman" w:eastAsia="Times New Roman" w:hAnsi="Times New Roman" w:cs="Times New Roman"/>
          <w:sz w:val="24"/>
          <w:szCs w:val="24"/>
        </w:rPr>
        <w:t xml:space="preserve">, 29–60. </w:t>
      </w:r>
      <w:hyperlink r:id="rId52" w:history="1">
        <w:r w:rsidRPr="00963A01">
          <w:rPr>
            <w:rStyle w:val="Hyperlink"/>
            <w:rFonts w:ascii="Times New Roman" w:eastAsia="Times New Roman" w:hAnsi="Times New Roman" w:cs="Times New Roman"/>
            <w:sz w:val="24"/>
            <w:szCs w:val="24"/>
          </w:rPr>
          <w:t>https://doi.org/10.2166/9781780409627_0029</w:t>
        </w:r>
      </w:hyperlink>
    </w:p>
    <w:p w:rsidR="006937B1" w:rsidRPr="00963A01" w:rsidRDefault="006B6C2D" w:rsidP="00BD6308">
      <w:pPr>
        <w:pStyle w:val="ListParagraph"/>
        <w:numPr>
          <w:ilvl w:val="0"/>
          <w:numId w:val="14"/>
        </w:numPr>
        <w:spacing w:before="100" w:beforeAutospacing="1" w:after="100" w:afterAutospacing="1" w:line="240" w:lineRule="auto"/>
        <w:rPr>
          <w:rFonts w:ascii="Times New Roman" w:hAnsi="Times New Roman" w:cs="Times New Roman"/>
          <w:sz w:val="24"/>
          <w:szCs w:val="24"/>
        </w:rPr>
      </w:pPr>
      <w:proofErr w:type="spellStart"/>
      <w:r w:rsidRPr="00963A01">
        <w:rPr>
          <w:rFonts w:ascii="Times New Roman" w:eastAsia="Times New Roman" w:hAnsi="Times New Roman" w:cs="Times New Roman"/>
          <w:sz w:val="24"/>
          <w:szCs w:val="24"/>
        </w:rPr>
        <w:t>Vaneeckhaute</w:t>
      </w:r>
      <w:proofErr w:type="spellEnd"/>
      <w:r w:rsidRPr="00963A01">
        <w:rPr>
          <w:rFonts w:ascii="Times New Roman" w:eastAsia="Times New Roman" w:hAnsi="Times New Roman" w:cs="Times New Roman"/>
          <w:sz w:val="24"/>
          <w:szCs w:val="24"/>
        </w:rPr>
        <w:t xml:space="preserve">, C., &amp; </w:t>
      </w:r>
      <w:proofErr w:type="spellStart"/>
      <w:r w:rsidRPr="00963A01">
        <w:rPr>
          <w:rFonts w:ascii="Times New Roman" w:eastAsia="Times New Roman" w:hAnsi="Times New Roman" w:cs="Times New Roman"/>
          <w:sz w:val="24"/>
          <w:szCs w:val="24"/>
        </w:rPr>
        <w:t>Fazli</w:t>
      </w:r>
      <w:proofErr w:type="spellEnd"/>
      <w:r w:rsidRPr="00963A01">
        <w:rPr>
          <w:rFonts w:ascii="Times New Roman" w:eastAsia="Times New Roman" w:hAnsi="Times New Roman" w:cs="Times New Roman"/>
          <w:sz w:val="24"/>
          <w:szCs w:val="24"/>
        </w:rPr>
        <w:t xml:space="preserve">, A. (2020). Management of ship-generated food waste and sewage on the Baltic Sea: A Review. </w:t>
      </w:r>
      <w:r w:rsidRPr="00963A01">
        <w:rPr>
          <w:rFonts w:ascii="Times New Roman" w:eastAsia="Times New Roman" w:hAnsi="Times New Roman" w:cs="Times New Roman"/>
          <w:i/>
          <w:iCs/>
          <w:sz w:val="24"/>
          <w:szCs w:val="24"/>
        </w:rPr>
        <w:t>Waste Management</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102</w:t>
      </w:r>
      <w:r w:rsidRPr="00963A01">
        <w:rPr>
          <w:rFonts w:ascii="Times New Roman" w:eastAsia="Times New Roman" w:hAnsi="Times New Roman" w:cs="Times New Roman"/>
          <w:sz w:val="24"/>
          <w:szCs w:val="24"/>
        </w:rPr>
        <w:t xml:space="preserve">, 12–20. </w:t>
      </w:r>
      <w:hyperlink r:id="rId53" w:history="1">
        <w:r w:rsidR="00BD6308" w:rsidRPr="00963A01">
          <w:rPr>
            <w:rStyle w:val="Hyperlink"/>
            <w:rFonts w:ascii="Times New Roman" w:eastAsia="Times New Roman" w:hAnsi="Times New Roman" w:cs="Times New Roman"/>
            <w:sz w:val="24"/>
            <w:szCs w:val="24"/>
          </w:rPr>
          <w:t>https://doi.org/10.1016/j.wasman.2019.10.030</w:t>
        </w:r>
      </w:hyperlink>
    </w:p>
    <w:p w:rsidR="00BD6308" w:rsidRPr="00963A01" w:rsidRDefault="00C2095B" w:rsidP="00C2095B">
      <w:pPr>
        <w:pStyle w:val="ListParagraph"/>
        <w:numPr>
          <w:ilvl w:val="0"/>
          <w:numId w:val="14"/>
        </w:numPr>
        <w:spacing w:before="100" w:beforeAutospacing="1" w:after="100" w:afterAutospacing="1" w:line="240" w:lineRule="auto"/>
        <w:rPr>
          <w:rFonts w:ascii="Times New Roman" w:hAnsi="Times New Roman" w:cs="Times New Roman"/>
          <w:sz w:val="24"/>
          <w:szCs w:val="24"/>
        </w:rPr>
      </w:pPr>
      <w:r w:rsidRPr="00963A01">
        <w:rPr>
          <w:rFonts w:ascii="Times New Roman" w:eastAsia="Times New Roman" w:hAnsi="Times New Roman" w:cs="Times New Roman"/>
          <w:sz w:val="24"/>
          <w:szCs w:val="24"/>
        </w:rPr>
        <w:t xml:space="preserve">Sommer, V., </w:t>
      </w:r>
      <w:proofErr w:type="spellStart"/>
      <w:r w:rsidRPr="00963A01">
        <w:rPr>
          <w:rFonts w:ascii="Times New Roman" w:eastAsia="Times New Roman" w:hAnsi="Times New Roman" w:cs="Times New Roman"/>
          <w:sz w:val="24"/>
          <w:szCs w:val="24"/>
        </w:rPr>
        <w:t>Stockschläder</w:t>
      </w:r>
      <w:proofErr w:type="spellEnd"/>
      <w:r w:rsidRPr="00963A01">
        <w:rPr>
          <w:rFonts w:ascii="Times New Roman" w:eastAsia="Times New Roman" w:hAnsi="Times New Roman" w:cs="Times New Roman"/>
          <w:sz w:val="24"/>
          <w:szCs w:val="24"/>
        </w:rPr>
        <w:t xml:space="preserve">, J., &amp; Walther, G. (2020). Estimation of glass and carbon fiber reinforced plastic waste from end-of-life rotor blades of wind power plants within the European Union. </w:t>
      </w:r>
      <w:r w:rsidRPr="00963A01">
        <w:rPr>
          <w:rFonts w:ascii="Times New Roman" w:eastAsia="Times New Roman" w:hAnsi="Times New Roman" w:cs="Times New Roman"/>
          <w:i/>
          <w:iCs/>
          <w:sz w:val="24"/>
          <w:szCs w:val="24"/>
        </w:rPr>
        <w:t>Waste Management</w:t>
      </w:r>
      <w:r w:rsidRPr="00963A01">
        <w:rPr>
          <w:rFonts w:ascii="Times New Roman" w:eastAsia="Times New Roman" w:hAnsi="Times New Roman" w:cs="Times New Roman"/>
          <w:sz w:val="24"/>
          <w:szCs w:val="24"/>
        </w:rPr>
        <w:t xml:space="preserve">, </w:t>
      </w:r>
      <w:r w:rsidRPr="00963A01">
        <w:rPr>
          <w:rFonts w:ascii="Times New Roman" w:eastAsia="Times New Roman" w:hAnsi="Times New Roman" w:cs="Times New Roman"/>
          <w:i/>
          <w:iCs/>
          <w:sz w:val="24"/>
          <w:szCs w:val="24"/>
        </w:rPr>
        <w:t>115</w:t>
      </w:r>
      <w:r w:rsidRPr="00963A01">
        <w:rPr>
          <w:rFonts w:ascii="Times New Roman" w:eastAsia="Times New Roman" w:hAnsi="Times New Roman" w:cs="Times New Roman"/>
          <w:sz w:val="24"/>
          <w:szCs w:val="24"/>
        </w:rPr>
        <w:t xml:space="preserve">, 83–94. </w:t>
      </w:r>
      <w:hyperlink r:id="rId54" w:history="1">
        <w:r w:rsidRPr="00963A01">
          <w:rPr>
            <w:rStyle w:val="Hyperlink"/>
            <w:rFonts w:ascii="Times New Roman" w:eastAsia="Times New Roman" w:hAnsi="Times New Roman" w:cs="Times New Roman"/>
            <w:sz w:val="24"/>
            <w:szCs w:val="24"/>
          </w:rPr>
          <w:t>https://doi.org/10.1016/j.wasman.2020.06.043</w:t>
        </w:r>
      </w:hyperlink>
      <w:r w:rsidRPr="00963A01">
        <w:rPr>
          <w:rFonts w:ascii="Times New Roman" w:eastAsia="Times New Roman" w:hAnsi="Times New Roman" w:cs="Times New Roman"/>
          <w:sz w:val="24"/>
          <w:szCs w:val="24"/>
        </w:rPr>
        <w:t xml:space="preserve"> </w:t>
      </w:r>
    </w:p>
    <w:p w:rsidR="009B5F05" w:rsidRPr="00963A01" w:rsidRDefault="009B5F05" w:rsidP="009B5F05">
      <w:pPr>
        <w:pStyle w:val="NormalWeb"/>
        <w:numPr>
          <w:ilvl w:val="0"/>
          <w:numId w:val="14"/>
        </w:numPr>
      </w:pPr>
      <w:r w:rsidRPr="00963A01">
        <w:t xml:space="preserve">Foster, W., </w:t>
      </w:r>
      <w:proofErr w:type="spellStart"/>
      <w:r w:rsidRPr="00963A01">
        <w:t>Azimov</w:t>
      </w:r>
      <w:proofErr w:type="spellEnd"/>
      <w:r w:rsidRPr="00963A01">
        <w:t>, U., Gauthier-</w:t>
      </w:r>
      <w:proofErr w:type="spellStart"/>
      <w:r w:rsidRPr="00963A01">
        <w:t>Maradei</w:t>
      </w:r>
      <w:proofErr w:type="spellEnd"/>
      <w:r w:rsidRPr="00963A01">
        <w:t xml:space="preserve">, P., </w:t>
      </w:r>
      <w:proofErr w:type="spellStart"/>
      <w:r w:rsidRPr="00963A01">
        <w:t>Molano</w:t>
      </w:r>
      <w:proofErr w:type="spellEnd"/>
      <w:r w:rsidRPr="00963A01">
        <w:t xml:space="preserve">, L. C., </w:t>
      </w:r>
      <w:proofErr w:type="spellStart"/>
      <w:r w:rsidRPr="00963A01">
        <w:t>Combrinck</w:t>
      </w:r>
      <w:proofErr w:type="spellEnd"/>
      <w:r w:rsidRPr="00963A01">
        <w:t xml:space="preserve">, M., Munoz, J., </w:t>
      </w:r>
      <w:proofErr w:type="spellStart"/>
      <w:r w:rsidRPr="00963A01">
        <w:t>Esteves</w:t>
      </w:r>
      <w:proofErr w:type="spellEnd"/>
      <w:r w:rsidRPr="00963A01">
        <w:t xml:space="preserve">, J. J., &amp; </w:t>
      </w:r>
      <w:proofErr w:type="spellStart"/>
      <w:r w:rsidRPr="00963A01">
        <w:t>Patino</w:t>
      </w:r>
      <w:proofErr w:type="spellEnd"/>
      <w:r w:rsidRPr="00963A01">
        <w:t xml:space="preserve">, L. (2021). Waste-to-energy conversion technologies in the UK: Processes and barriers – A Review. </w:t>
      </w:r>
      <w:r w:rsidRPr="00963A01">
        <w:rPr>
          <w:i/>
          <w:iCs/>
        </w:rPr>
        <w:t>Renewable and Sustainable Energy Reviews</w:t>
      </w:r>
      <w:r w:rsidRPr="00963A01">
        <w:t xml:space="preserve">, </w:t>
      </w:r>
      <w:r w:rsidRPr="00963A01">
        <w:rPr>
          <w:i/>
          <w:iCs/>
        </w:rPr>
        <w:t>135</w:t>
      </w:r>
      <w:r w:rsidRPr="00963A01">
        <w:t xml:space="preserve">, 110226. </w:t>
      </w:r>
      <w:hyperlink r:id="rId55" w:history="1">
        <w:r w:rsidRPr="00963A01">
          <w:rPr>
            <w:rStyle w:val="Hyperlink"/>
          </w:rPr>
          <w:t>https://doi.org/10.1016/j.rser.2020.110226</w:t>
        </w:r>
      </w:hyperlink>
    </w:p>
    <w:p w:rsidR="009B5F05" w:rsidRPr="00963A01" w:rsidRDefault="009B5F05" w:rsidP="00680EBB">
      <w:pPr>
        <w:pStyle w:val="NormalWeb"/>
        <w:numPr>
          <w:ilvl w:val="0"/>
          <w:numId w:val="14"/>
        </w:numPr>
      </w:pPr>
      <w:r w:rsidRPr="00963A01">
        <w:rPr>
          <w:i/>
          <w:iCs/>
        </w:rPr>
        <w:t>Problems &amp; Solutions</w:t>
      </w:r>
      <w:r w:rsidRPr="00963A01">
        <w:t>. Environmental Protection Department. (</w:t>
      </w:r>
      <w:proofErr w:type="spellStart"/>
      <w:r w:rsidRPr="00963A01">
        <w:t>n.d.</w:t>
      </w:r>
      <w:proofErr w:type="spellEnd"/>
      <w:r w:rsidRPr="00963A01">
        <w:t xml:space="preserve">). Retrieved December 30, 2022, from </w:t>
      </w:r>
      <w:hyperlink r:id="rId56" w:history="1">
        <w:r w:rsidR="00680EBB" w:rsidRPr="00963A01">
          <w:rPr>
            <w:rStyle w:val="Hyperlink"/>
          </w:rPr>
          <w:t>https://www.epd.gov.hk/epd/english/environmentinhk/waste/prob_solutions/WFdev_IWMFtech.html</w:t>
        </w:r>
      </w:hyperlink>
    </w:p>
    <w:p w:rsidR="00680EBB" w:rsidRDefault="00887D24" w:rsidP="00887D24">
      <w:pPr>
        <w:pStyle w:val="NormalWeb"/>
        <w:numPr>
          <w:ilvl w:val="0"/>
          <w:numId w:val="14"/>
        </w:numPr>
      </w:pPr>
      <w:r>
        <w:t>Castillo-</w:t>
      </w:r>
      <w:proofErr w:type="spellStart"/>
      <w:r>
        <w:t>Giménez</w:t>
      </w:r>
      <w:proofErr w:type="spellEnd"/>
      <w:r>
        <w:t xml:space="preserve">, J., </w:t>
      </w:r>
      <w:proofErr w:type="spellStart"/>
      <w:r>
        <w:t>Montañés</w:t>
      </w:r>
      <w:proofErr w:type="spellEnd"/>
      <w:r>
        <w:t xml:space="preserve">, A., &amp; </w:t>
      </w:r>
      <w:proofErr w:type="spellStart"/>
      <w:r>
        <w:t>Picazo-Tadeo</w:t>
      </w:r>
      <w:proofErr w:type="spellEnd"/>
      <w:r>
        <w:t xml:space="preserve">, A. J. (2019). Performance and convergence in municipal waste treatment in the European Union. </w:t>
      </w:r>
      <w:r>
        <w:rPr>
          <w:i/>
          <w:iCs/>
        </w:rPr>
        <w:t>Waste Management</w:t>
      </w:r>
      <w:r>
        <w:t xml:space="preserve">, </w:t>
      </w:r>
      <w:r>
        <w:rPr>
          <w:i/>
          <w:iCs/>
        </w:rPr>
        <w:t>85</w:t>
      </w:r>
      <w:r>
        <w:t xml:space="preserve">, 222–231. </w:t>
      </w:r>
      <w:hyperlink r:id="rId57" w:history="1">
        <w:r w:rsidRPr="006E0E14">
          <w:rPr>
            <w:rStyle w:val="Hyperlink"/>
          </w:rPr>
          <w:t>https://doi.org/10.1016/j.wasman.2018.12.025</w:t>
        </w:r>
      </w:hyperlink>
    </w:p>
    <w:p w:rsidR="001B5CB8" w:rsidRDefault="00887D24" w:rsidP="00887D24">
      <w:pPr>
        <w:pStyle w:val="NormalWeb"/>
        <w:numPr>
          <w:ilvl w:val="0"/>
          <w:numId w:val="14"/>
        </w:numPr>
      </w:pPr>
      <w:r>
        <w:t xml:space="preserve">Waste management in the community. (2017). </w:t>
      </w:r>
      <w:r>
        <w:rPr>
          <w:i/>
          <w:iCs/>
        </w:rPr>
        <w:t>European Union Environmental Law</w:t>
      </w:r>
      <w:r>
        <w:t xml:space="preserve">, 217–268. </w:t>
      </w:r>
      <w:hyperlink r:id="rId58" w:history="1">
        <w:r w:rsidR="001B5CB8" w:rsidRPr="006E0E14">
          <w:rPr>
            <w:rStyle w:val="Hyperlink"/>
          </w:rPr>
          <w:t>https://doi.org/10.4324/9781315255835-7</w:t>
        </w:r>
      </w:hyperlink>
    </w:p>
    <w:p w:rsidR="001B5CB8" w:rsidRDefault="00887D24" w:rsidP="00887D24">
      <w:pPr>
        <w:pStyle w:val="NormalWeb"/>
        <w:numPr>
          <w:ilvl w:val="0"/>
          <w:numId w:val="14"/>
        </w:numPr>
      </w:pPr>
      <w:r>
        <w:t xml:space="preserve">Donatello, S., </w:t>
      </w:r>
      <w:proofErr w:type="spellStart"/>
      <w:r>
        <w:t>Tyrer</w:t>
      </w:r>
      <w:proofErr w:type="spellEnd"/>
      <w:r>
        <w:t xml:space="preserve">, M., &amp; Cheeseman, C. R. (2010). EU Landfill Waste Acceptance Criteria and EU hazardous waste directive compliance testing of incinerated Sewage Sludge Ash. </w:t>
      </w:r>
      <w:r>
        <w:rPr>
          <w:i/>
          <w:iCs/>
        </w:rPr>
        <w:t>Waste Management</w:t>
      </w:r>
      <w:r>
        <w:t xml:space="preserve">, </w:t>
      </w:r>
      <w:r>
        <w:rPr>
          <w:i/>
          <w:iCs/>
        </w:rPr>
        <w:t>30</w:t>
      </w:r>
      <w:r>
        <w:t xml:space="preserve">(1), 63–71. </w:t>
      </w:r>
      <w:hyperlink r:id="rId59" w:history="1">
        <w:r w:rsidR="001B5CB8" w:rsidRPr="006E0E14">
          <w:rPr>
            <w:rStyle w:val="Hyperlink"/>
          </w:rPr>
          <w:t>https://doi.org/10.1016/j.wasman.2009.09.028</w:t>
        </w:r>
      </w:hyperlink>
    </w:p>
    <w:p w:rsidR="001B5CB8" w:rsidRDefault="00887D24" w:rsidP="00887D24">
      <w:pPr>
        <w:pStyle w:val="NormalWeb"/>
        <w:numPr>
          <w:ilvl w:val="0"/>
          <w:numId w:val="14"/>
        </w:numPr>
      </w:pPr>
      <w:r>
        <w:t xml:space="preserve">Park, S.-W. (2017). Disposal of municipal solid waste and energy recovery from incinerated </w:t>
      </w:r>
      <w:proofErr w:type="gramStart"/>
      <w:r>
        <w:t>waste :</w:t>
      </w:r>
      <w:proofErr w:type="gramEnd"/>
      <w:r>
        <w:t xml:space="preserve"> Focus on OECD countries. </w:t>
      </w:r>
      <w:r>
        <w:rPr>
          <w:i/>
          <w:iCs/>
        </w:rPr>
        <w:t>Journal of Korea Society of Waste Management</w:t>
      </w:r>
      <w:r>
        <w:t xml:space="preserve">, </w:t>
      </w:r>
      <w:r>
        <w:rPr>
          <w:i/>
          <w:iCs/>
        </w:rPr>
        <w:t>34</w:t>
      </w:r>
      <w:r>
        <w:t xml:space="preserve">(1), 1–12. </w:t>
      </w:r>
      <w:hyperlink r:id="rId60" w:history="1">
        <w:r w:rsidR="001B5CB8" w:rsidRPr="006E0E14">
          <w:rPr>
            <w:rStyle w:val="Hyperlink"/>
          </w:rPr>
          <w:t>https://doi.org/10.9786/kswm.2017.34.1.1</w:t>
        </w:r>
      </w:hyperlink>
    </w:p>
    <w:p w:rsidR="00887D24" w:rsidRDefault="00887D24" w:rsidP="00887D24">
      <w:pPr>
        <w:pStyle w:val="NormalWeb"/>
        <w:numPr>
          <w:ilvl w:val="0"/>
          <w:numId w:val="14"/>
        </w:numPr>
      </w:pPr>
      <w:proofErr w:type="spellStart"/>
      <w:r>
        <w:lastRenderedPageBreak/>
        <w:t>Vehlow</w:t>
      </w:r>
      <w:proofErr w:type="spellEnd"/>
      <w:r>
        <w:t xml:space="preserve">, J., </w:t>
      </w:r>
      <w:proofErr w:type="spellStart"/>
      <w:r>
        <w:t>Bergfeldt</w:t>
      </w:r>
      <w:proofErr w:type="spellEnd"/>
      <w:r>
        <w:t xml:space="preserve">, B., </w:t>
      </w:r>
      <w:proofErr w:type="spellStart"/>
      <w:r>
        <w:t>Visser</w:t>
      </w:r>
      <w:proofErr w:type="spellEnd"/>
      <w:r>
        <w:t xml:space="preserve">, R., &amp; </w:t>
      </w:r>
      <w:proofErr w:type="spellStart"/>
      <w:r>
        <w:t>Wilén</w:t>
      </w:r>
      <w:proofErr w:type="spellEnd"/>
      <w:r>
        <w:t xml:space="preserve">, C. (2007). European Union Waste Management Strategy and the importance of biogenic waste. </w:t>
      </w:r>
      <w:r>
        <w:rPr>
          <w:i/>
          <w:iCs/>
        </w:rPr>
        <w:t>Journal of Material Cycles and Waste Management</w:t>
      </w:r>
      <w:r>
        <w:t xml:space="preserve">, </w:t>
      </w:r>
      <w:r>
        <w:rPr>
          <w:i/>
          <w:iCs/>
        </w:rPr>
        <w:t>9</w:t>
      </w:r>
      <w:r>
        <w:t xml:space="preserve">(2), 130–139. </w:t>
      </w:r>
      <w:hyperlink r:id="rId61" w:history="1">
        <w:r w:rsidR="001B5CB8" w:rsidRPr="006E0E14">
          <w:rPr>
            <w:rStyle w:val="Hyperlink"/>
          </w:rPr>
          <w:t>https://doi.org/10.1007/s10163-007-0178-9</w:t>
        </w:r>
      </w:hyperlink>
    </w:p>
    <w:p w:rsidR="001B5CB8" w:rsidRDefault="001B5CB8" w:rsidP="001B5CB8">
      <w:pPr>
        <w:pStyle w:val="NormalWeb"/>
        <w:numPr>
          <w:ilvl w:val="0"/>
          <w:numId w:val="14"/>
        </w:numPr>
      </w:pPr>
      <w:r>
        <w:t xml:space="preserve">Waste incineration. (2005). </w:t>
      </w:r>
      <w:r>
        <w:rPr>
          <w:i/>
          <w:iCs/>
        </w:rPr>
        <w:t>Waste Treatment and Disposal</w:t>
      </w:r>
      <w:r>
        <w:t xml:space="preserve">, 245–323. </w:t>
      </w:r>
      <w:hyperlink r:id="rId62" w:history="1">
        <w:r w:rsidRPr="006E0E14">
          <w:rPr>
            <w:rStyle w:val="Hyperlink"/>
          </w:rPr>
          <w:t>https://doi.org/10.1002/0470012668.ch5</w:t>
        </w:r>
      </w:hyperlink>
    </w:p>
    <w:p w:rsidR="001B5CB8" w:rsidRDefault="001B5CB8" w:rsidP="001B5CB8">
      <w:pPr>
        <w:pStyle w:val="NormalWeb"/>
        <w:numPr>
          <w:ilvl w:val="0"/>
          <w:numId w:val="14"/>
        </w:numPr>
      </w:pPr>
      <w:r>
        <w:t xml:space="preserve">Bailey, P. M. (2019). The Packaging Waste directive. </w:t>
      </w:r>
      <w:r>
        <w:rPr>
          <w:i/>
          <w:iCs/>
        </w:rPr>
        <w:t>Packaging Law Europe</w:t>
      </w:r>
      <w:r>
        <w:t xml:space="preserve">, 15–41. </w:t>
      </w:r>
      <w:hyperlink r:id="rId63" w:history="1">
        <w:r w:rsidRPr="006E0E14">
          <w:rPr>
            <w:rStyle w:val="Hyperlink"/>
          </w:rPr>
          <w:t>https://doi.org/10.4324/9780429446443-3</w:t>
        </w:r>
      </w:hyperlink>
    </w:p>
    <w:p w:rsidR="00887D24" w:rsidRDefault="001B5CB8" w:rsidP="001B5CB8">
      <w:pPr>
        <w:pStyle w:val="NormalWeb"/>
        <w:numPr>
          <w:ilvl w:val="0"/>
          <w:numId w:val="14"/>
        </w:numPr>
      </w:pPr>
      <w:r>
        <w:t xml:space="preserve">The European directive 94/62/EC on packaging and packaging waste. (2016). </w:t>
      </w:r>
      <w:r w:rsidRPr="001B5CB8">
        <w:rPr>
          <w:i/>
          <w:iCs/>
        </w:rPr>
        <w:t>Recycling and Extended Producer Responsibility</w:t>
      </w:r>
      <w:r>
        <w:t xml:space="preserve">, 39–50. </w:t>
      </w:r>
      <w:hyperlink r:id="rId64" w:history="1">
        <w:r w:rsidRPr="006E0E14">
          <w:rPr>
            <w:rStyle w:val="Hyperlink"/>
          </w:rPr>
          <w:t>https://doi.org/10.4324/9781315604121-9</w:t>
        </w:r>
      </w:hyperlink>
    </w:p>
    <w:p w:rsidR="00D04F86" w:rsidRDefault="00D04F86" w:rsidP="00D04F86">
      <w:pPr>
        <w:pStyle w:val="NormalWeb"/>
        <w:ind w:left="720"/>
      </w:pPr>
    </w:p>
    <w:p w:rsidR="00D04F86" w:rsidRDefault="00D04F86">
      <w:pPr>
        <w:rPr>
          <w:rFonts w:ascii="Times New Roman" w:eastAsia="Times New Roman" w:hAnsi="Times New Roman" w:cs="Times New Roman"/>
          <w:sz w:val="24"/>
          <w:szCs w:val="24"/>
        </w:rPr>
      </w:pPr>
      <w:r>
        <w:br w:type="page"/>
      </w:r>
    </w:p>
    <w:p w:rsidR="00D04F86" w:rsidRPr="004A1A1A" w:rsidRDefault="00D04F86" w:rsidP="00D04F86">
      <w:pPr>
        <w:ind w:left="360" w:hanging="36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12D5D8C" wp14:editId="146A83C7">
            <wp:extent cx="4906107" cy="3050931"/>
            <wp:effectExtent l="0" t="0" r="889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D04F86" w:rsidRPr="002B00DE" w:rsidRDefault="00D04F86" w:rsidP="00D04F86">
      <w:pPr>
        <w:ind w:left="360" w:hanging="360"/>
        <w:jc w:val="center"/>
        <w:rPr>
          <w:rFonts w:ascii="Times New Roman" w:hAnsi="Times New Roman" w:cs="Times New Roman"/>
          <w:sz w:val="24"/>
          <w:szCs w:val="24"/>
        </w:rPr>
      </w:pPr>
      <w:proofErr w:type="gramStart"/>
      <w:r w:rsidRPr="002B00DE">
        <w:rPr>
          <w:rFonts w:ascii="Times New Roman" w:hAnsi="Times New Roman" w:cs="Times New Roman"/>
          <w:sz w:val="24"/>
          <w:szCs w:val="24"/>
        </w:rPr>
        <w:t>Figure 1.</w:t>
      </w:r>
      <w:proofErr w:type="gramEnd"/>
      <w:r w:rsidRPr="002B00DE">
        <w:rPr>
          <w:rFonts w:ascii="Times New Roman" w:hAnsi="Times New Roman" w:cs="Times New Roman"/>
          <w:sz w:val="24"/>
          <w:szCs w:val="24"/>
        </w:rPr>
        <w:t xml:space="preserve"> The European Union population, since 1960 till 2020</w:t>
      </w:r>
    </w:p>
    <w:p w:rsidR="00D04F86" w:rsidRDefault="00D04F86" w:rsidP="00D04F86">
      <w:pPr>
        <w:spacing w:line="240" w:lineRule="auto"/>
        <w:jc w:val="both"/>
        <w:rPr>
          <w:rFonts w:ascii="Times New Roman" w:hAnsi="Times New Roman" w:cs="Times New Roman"/>
          <w:b/>
          <w:sz w:val="20"/>
          <w:szCs w:val="20"/>
        </w:rPr>
      </w:pPr>
    </w:p>
    <w:p w:rsidR="00D04F86" w:rsidRPr="006F23C5" w:rsidRDefault="00D04F86" w:rsidP="00D04F86">
      <w:pPr>
        <w:jc w:val="both"/>
        <w:rPr>
          <w:rFonts w:ascii="Times New Roman" w:hAnsi="Times New Roman" w:cs="Times New Roman"/>
          <w:sz w:val="20"/>
          <w:szCs w:val="20"/>
        </w:rPr>
      </w:pPr>
      <w:r w:rsidRPr="006F23C5">
        <w:rPr>
          <w:rFonts w:ascii="Times New Roman" w:hAnsi="Times New Roman" w:cs="Times New Roman"/>
          <w:noProof/>
          <w:sz w:val="20"/>
          <w:szCs w:val="20"/>
        </w:rPr>
        <w:drawing>
          <wp:inline distT="0" distB="0" distL="0" distR="0" wp14:anchorId="554E3173" wp14:editId="33CBDF8C">
            <wp:extent cx="6198577" cy="3930161"/>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D04F86" w:rsidRPr="002B00DE" w:rsidRDefault="00D04F86" w:rsidP="00D04F86">
      <w:pPr>
        <w:jc w:val="center"/>
        <w:rPr>
          <w:rFonts w:ascii="Times New Roman" w:hAnsi="Times New Roman" w:cs="Times New Roman"/>
          <w:sz w:val="24"/>
          <w:szCs w:val="24"/>
        </w:rPr>
      </w:pPr>
      <w:proofErr w:type="gramStart"/>
      <w:r w:rsidRPr="002B00DE">
        <w:rPr>
          <w:rFonts w:ascii="Times New Roman" w:hAnsi="Times New Roman" w:cs="Times New Roman"/>
          <w:sz w:val="24"/>
          <w:szCs w:val="24"/>
        </w:rPr>
        <w:t>Figure 2.</w:t>
      </w:r>
      <w:proofErr w:type="gramEnd"/>
      <w:r w:rsidRPr="002B00DE">
        <w:rPr>
          <w:rFonts w:ascii="Times New Roman" w:hAnsi="Times New Roman" w:cs="Times New Roman"/>
          <w:sz w:val="24"/>
          <w:szCs w:val="24"/>
        </w:rPr>
        <w:t xml:space="preserve"> Waste products generated by commercial and household activities [1]</w:t>
      </w:r>
    </w:p>
    <w:p w:rsidR="00D04F86" w:rsidRDefault="00D04F86" w:rsidP="00D04F86">
      <w:pPr>
        <w:rPr>
          <w:rFonts w:ascii="Times New Roman" w:hAnsi="Times New Roman" w:cs="Times New Roman"/>
          <w:b/>
          <w:sz w:val="20"/>
          <w:szCs w:val="20"/>
        </w:rPr>
      </w:pPr>
    </w:p>
    <w:p w:rsidR="00D04F86" w:rsidRPr="00C2095B" w:rsidRDefault="00D04F86" w:rsidP="00D04F86">
      <w:pPr>
        <w:jc w:val="center"/>
        <w:rPr>
          <w:rFonts w:ascii="Times New Roman" w:hAnsi="Times New Roman" w:cs="Times New Roman"/>
          <w:sz w:val="20"/>
          <w:szCs w:val="20"/>
        </w:rPr>
      </w:pPr>
      <w:r w:rsidRPr="00C2095B">
        <w:rPr>
          <w:rFonts w:ascii="Times New Roman" w:hAnsi="Times New Roman" w:cs="Times New Roman"/>
          <w:noProof/>
          <w:sz w:val="20"/>
          <w:szCs w:val="20"/>
        </w:rPr>
        <w:drawing>
          <wp:inline distT="0" distB="0" distL="0" distR="0" wp14:anchorId="2F4BBE60" wp14:editId="07D32B6A">
            <wp:extent cx="5521569" cy="3815862"/>
            <wp:effectExtent l="0" t="0" r="317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D04F86" w:rsidRPr="002B00DE" w:rsidRDefault="00D04F86" w:rsidP="00D04F86">
      <w:pPr>
        <w:spacing w:line="240" w:lineRule="auto"/>
        <w:jc w:val="center"/>
        <w:rPr>
          <w:rFonts w:ascii="Times New Roman" w:hAnsi="Times New Roman" w:cs="Times New Roman"/>
          <w:sz w:val="24"/>
          <w:szCs w:val="24"/>
        </w:rPr>
      </w:pPr>
      <w:proofErr w:type="gramStart"/>
      <w:r w:rsidRPr="002B00DE">
        <w:rPr>
          <w:rFonts w:ascii="Times New Roman" w:hAnsi="Times New Roman" w:cs="Times New Roman"/>
          <w:sz w:val="24"/>
          <w:szCs w:val="24"/>
        </w:rPr>
        <w:t>Figure 3.</w:t>
      </w:r>
      <w:proofErr w:type="gramEnd"/>
      <w:r w:rsidRPr="002B00DE">
        <w:rPr>
          <w:rFonts w:ascii="Times New Roman" w:hAnsi="Times New Roman" w:cs="Times New Roman"/>
          <w:sz w:val="24"/>
          <w:szCs w:val="24"/>
        </w:rPr>
        <w:t xml:space="preserve"> Waste generated in the European Union States, 2020 [1].</w:t>
      </w:r>
    </w:p>
    <w:p w:rsidR="00D04F86" w:rsidRDefault="00D04F86" w:rsidP="00D04F86">
      <w:pPr>
        <w:spacing w:line="240" w:lineRule="auto"/>
        <w:jc w:val="center"/>
        <w:rPr>
          <w:rFonts w:ascii="Times New Roman" w:hAnsi="Times New Roman" w:cs="Times New Roman"/>
          <w:sz w:val="20"/>
          <w:szCs w:val="20"/>
        </w:rPr>
      </w:pPr>
    </w:p>
    <w:p w:rsidR="00D04F86" w:rsidRPr="00C2095B" w:rsidRDefault="00D04F86" w:rsidP="00D04F86">
      <w:pPr>
        <w:spacing w:line="240" w:lineRule="auto"/>
        <w:jc w:val="center"/>
        <w:rPr>
          <w:rFonts w:ascii="Times New Roman" w:hAnsi="Times New Roman" w:cs="Times New Roman"/>
          <w:sz w:val="20"/>
          <w:szCs w:val="20"/>
        </w:rPr>
      </w:pPr>
      <w:r w:rsidRPr="00C2095B">
        <w:rPr>
          <w:rFonts w:ascii="Times New Roman" w:hAnsi="Times New Roman" w:cs="Times New Roman"/>
          <w:noProof/>
          <w:sz w:val="20"/>
          <w:szCs w:val="20"/>
        </w:rPr>
        <w:drawing>
          <wp:inline distT="0" distB="0" distL="0" distR="0" wp14:anchorId="4B35405F" wp14:editId="54F3658F">
            <wp:extent cx="3817802" cy="2171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8"/>
                    <a:srcRect r="750" b="1264"/>
                    <a:stretch/>
                  </pic:blipFill>
                  <pic:spPr bwMode="auto">
                    <a:xfrm>
                      <a:off x="0" y="0"/>
                      <a:ext cx="3855744" cy="2193283"/>
                    </a:xfrm>
                    <a:prstGeom prst="rect">
                      <a:avLst/>
                    </a:prstGeom>
                    <a:ln>
                      <a:noFill/>
                    </a:ln>
                    <a:extLst>
                      <a:ext uri="{53640926-AAD7-44D8-BBD7-CCE9431645EC}">
                        <a14:shadowObscured xmlns:a14="http://schemas.microsoft.com/office/drawing/2010/main"/>
                      </a:ext>
                    </a:extLst>
                  </pic:spPr>
                </pic:pic>
              </a:graphicData>
            </a:graphic>
          </wp:inline>
        </w:drawing>
      </w:r>
    </w:p>
    <w:p w:rsidR="00D04F86" w:rsidRPr="002B00DE" w:rsidRDefault="00D04F86" w:rsidP="00D04F86">
      <w:pPr>
        <w:tabs>
          <w:tab w:val="center" w:pos="4680"/>
          <w:tab w:val="left" w:pos="6698"/>
        </w:tabs>
        <w:rPr>
          <w:rFonts w:ascii="Times New Roman" w:hAnsi="Times New Roman" w:cs="Times New Roman"/>
          <w:sz w:val="24"/>
          <w:szCs w:val="24"/>
        </w:rPr>
      </w:pPr>
      <w:r>
        <w:rPr>
          <w:rFonts w:ascii="Times New Roman" w:hAnsi="Times New Roman" w:cs="Times New Roman"/>
          <w:sz w:val="20"/>
          <w:szCs w:val="20"/>
        </w:rPr>
        <w:tab/>
      </w:r>
      <w:proofErr w:type="gramStart"/>
      <w:r w:rsidRPr="002B00DE">
        <w:rPr>
          <w:rFonts w:ascii="Times New Roman" w:hAnsi="Times New Roman" w:cs="Times New Roman"/>
          <w:sz w:val="24"/>
          <w:szCs w:val="24"/>
        </w:rPr>
        <w:t>Figure 4.</w:t>
      </w:r>
      <w:proofErr w:type="gramEnd"/>
      <w:r w:rsidRPr="002B00DE">
        <w:rPr>
          <w:rFonts w:ascii="Times New Roman" w:hAnsi="Times New Roman" w:cs="Times New Roman"/>
          <w:sz w:val="24"/>
          <w:szCs w:val="24"/>
        </w:rPr>
        <w:t xml:space="preserve"> Domestic solid waste hierarchy</w:t>
      </w:r>
    </w:p>
    <w:p w:rsidR="00D04F86" w:rsidRPr="00CE50FB" w:rsidRDefault="00D04F86" w:rsidP="00D04F86">
      <w:pPr>
        <w:jc w:val="center"/>
        <w:rPr>
          <w:rFonts w:ascii="Times New Roman" w:hAnsi="Times New Roman" w:cs="Times New Roman"/>
          <w:sz w:val="20"/>
          <w:szCs w:val="20"/>
        </w:rPr>
      </w:pPr>
      <w:r w:rsidRPr="00CE50FB">
        <w:rPr>
          <w:rFonts w:ascii="Times New Roman" w:hAnsi="Times New Roman" w:cs="Times New Roman"/>
          <w:noProof/>
          <w:sz w:val="20"/>
          <w:szCs w:val="20"/>
        </w:rPr>
        <w:lastRenderedPageBreak/>
        <w:drawing>
          <wp:inline distT="0" distB="0" distL="0" distR="0" wp14:anchorId="188C121E" wp14:editId="509FC358">
            <wp:extent cx="4853354" cy="3410311"/>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duotone>
                        <a:schemeClr val="accent1">
                          <a:shade val="45000"/>
                          <a:satMod val="135000"/>
                        </a:schemeClr>
                        <a:prstClr val="white"/>
                      </a:duotone>
                      <a:extLst>
                        <a:ext uri="{BEBA8EAE-BF5A-486C-A8C5-ECC9F3942E4B}">
                          <a14:imgProps xmlns:a14="http://schemas.microsoft.com/office/drawing/2010/main">
                            <a14:imgLayer r:embed="rId70">
                              <a14:imgEffect>
                                <a14:sharpenSoften amount="50000"/>
                              </a14:imgEffect>
                              <a14:imgEffect>
                                <a14:saturation sat="300000"/>
                              </a14:imgEffect>
                            </a14:imgLayer>
                          </a14:imgProps>
                        </a:ext>
                      </a:extLst>
                    </a:blip>
                    <a:stretch>
                      <a:fillRect/>
                    </a:stretch>
                  </pic:blipFill>
                  <pic:spPr>
                    <a:xfrm>
                      <a:off x="0" y="0"/>
                      <a:ext cx="4865656" cy="3418956"/>
                    </a:xfrm>
                    <a:prstGeom prst="rect">
                      <a:avLst/>
                    </a:prstGeom>
                  </pic:spPr>
                </pic:pic>
              </a:graphicData>
            </a:graphic>
          </wp:inline>
        </w:drawing>
      </w:r>
    </w:p>
    <w:p w:rsidR="00D04F86" w:rsidRPr="002B00DE" w:rsidRDefault="00D04F86" w:rsidP="00D04F86">
      <w:pPr>
        <w:pStyle w:val="ListParagraph"/>
        <w:ind w:left="360" w:hanging="360"/>
        <w:jc w:val="center"/>
        <w:rPr>
          <w:rFonts w:ascii="Times New Roman" w:hAnsi="Times New Roman" w:cs="Times New Roman"/>
          <w:sz w:val="24"/>
          <w:szCs w:val="24"/>
        </w:rPr>
      </w:pPr>
      <w:proofErr w:type="gramStart"/>
      <w:r w:rsidRPr="002B00DE">
        <w:rPr>
          <w:rFonts w:ascii="Times New Roman" w:hAnsi="Times New Roman" w:cs="Times New Roman"/>
          <w:sz w:val="24"/>
          <w:szCs w:val="24"/>
        </w:rPr>
        <w:t>Figure 5.</w:t>
      </w:r>
      <w:proofErr w:type="gramEnd"/>
      <w:r w:rsidRPr="002B00DE">
        <w:rPr>
          <w:rFonts w:ascii="Times New Roman" w:hAnsi="Times New Roman" w:cs="Times New Roman"/>
          <w:sz w:val="24"/>
          <w:szCs w:val="24"/>
        </w:rPr>
        <w:t xml:space="preserve"> The scheme of energy-from-waste technologies in regards to conversion processes [51]</w:t>
      </w:r>
    </w:p>
    <w:p w:rsidR="00D04F86" w:rsidRDefault="00D04F86" w:rsidP="00D04F86">
      <w:pPr>
        <w:tabs>
          <w:tab w:val="center" w:pos="4680"/>
          <w:tab w:val="left" w:pos="6698"/>
        </w:tabs>
        <w:rPr>
          <w:rFonts w:ascii="Times New Roman" w:hAnsi="Times New Roman" w:cs="Times New Roman"/>
          <w:sz w:val="20"/>
          <w:szCs w:val="20"/>
        </w:rPr>
      </w:pPr>
    </w:p>
    <w:p w:rsidR="00D04F86" w:rsidRPr="00C2095B" w:rsidRDefault="00D04F86" w:rsidP="00D04F86">
      <w:pPr>
        <w:pStyle w:val="ListParagraph"/>
        <w:tabs>
          <w:tab w:val="center" w:pos="4680"/>
        </w:tabs>
        <w:ind w:left="360" w:hanging="360"/>
        <w:jc w:val="center"/>
        <w:rPr>
          <w:rFonts w:ascii="Times New Roman" w:hAnsi="Times New Roman" w:cs="Times New Roman"/>
          <w:sz w:val="20"/>
          <w:szCs w:val="20"/>
        </w:rPr>
      </w:pPr>
      <w:r w:rsidRPr="00C2095B">
        <w:rPr>
          <w:rFonts w:ascii="Times New Roman" w:hAnsi="Times New Roman" w:cs="Times New Roman"/>
          <w:noProof/>
          <w:sz w:val="20"/>
          <w:szCs w:val="20"/>
        </w:rPr>
        <w:drawing>
          <wp:inline distT="0" distB="0" distL="0" distR="0" wp14:anchorId="1C15D486" wp14:editId="0C86CC15">
            <wp:extent cx="4774223" cy="324677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duotone>
                        <a:schemeClr val="accent3">
                          <a:shade val="45000"/>
                          <a:satMod val="135000"/>
                        </a:schemeClr>
                        <a:prstClr val="white"/>
                      </a:duotone>
                      <a:extLst>
                        <a:ext uri="{BEBA8EAE-BF5A-486C-A8C5-ECC9F3942E4B}">
                          <a14:imgProps xmlns:a14="http://schemas.microsoft.com/office/drawing/2010/main">
                            <a14:imgLayer r:embed="rId72">
                              <a14:imgEffect>
                                <a14:sharpenSoften amount="50000"/>
                              </a14:imgEffect>
                              <a14:imgEffect>
                                <a14:saturation sat="300000"/>
                              </a14:imgEffect>
                            </a14:imgLayer>
                          </a14:imgProps>
                        </a:ext>
                      </a:extLst>
                    </a:blip>
                    <a:stretch>
                      <a:fillRect/>
                    </a:stretch>
                  </pic:blipFill>
                  <pic:spPr>
                    <a:xfrm>
                      <a:off x="0" y="0"/>
                      <a:ext cx="4780349" cy="3250942"/>
                    </a:xfrm>
                    <a:prstGeom prst="rect">
                      <a:avLst/>
                    </a:prstGeom>
                  </pic:spPr>
                </pic:pic>
              </a:graphicData>
            </a:graphic>
          </wp:inline>
        </w:drawing>
      </w:r>
    </w:p>
    <w:p w:rsidR="00D04F86" w:rsidRDefault="00D04F86" w:rsidP="00D04F86">
      <w:pPr>
        <w:pStyle w:val="ListParagraph"/>
        <w:ind w:left="360" w:hanging="360"/>
        <w:jc w:val="center"/>
        <w:rPr>
          <w:rFonts w:ascii="Times New Roman" w:hAnsi="Times New Roman" w:cs="Times New Roman"/>
          <w:sz w:val="24"/>
          <w:szCs w:val="24"/>
        </w:rPr>
      </w:pPr>
    </w:p>
    <w:p w:rsidR="00D04F86" w:rsidRPr="002B00DE" w:rsidRDefault="00D04F86" w:rsidP="00D04F86">
      <w:pPr>
        <w:pStyle w:val="ListParagraph"/>
        <w:ind w:left="360" w:hanging="360"/>
        <w:jc w:val="center"/>
        <w:rPr>
          <w:rFonts w:ascii="Times New Roman" w:hAnsi="Times New Roman" w:cs="Times New Roman"/>
          <w:sz w:val="24"/>
          <w:szCs w:val="24"/>
        </w:rPr>
      </w:pPr>
      <w:proofErr w:type="gramStart"/>
      <w:r w:rsidRPr="002B00DE">
        <w:rPr>
          <w:rFonts w:ascii="Times New Roman" w:hAnsi="Times New Roman" w:cs="Times New Roman"/>
          <w:sz w:val="24"/>
          <w:szCs w:val="24"/>
        </w:rPr>
        <w:t>Figure 6.</w:t>
      </w:r>
      <w:proofErr w:type="gramEnd"/>
      <w:r w:rsidRPr="002B00DE">
        <w:rPr>
          <w:rFonts w:ascii="Times New Roman" w:hAnsi="Times New Roman" w:cs="Times New Roman"/>
          <w:sz w:val="24"/>
          <w:szCs w:val="24"/>
        </w:rPr>
        <w:t xml:space="preserve"> Energy-from-waste technological process [52]</w:t>
      </w:r>
    </w:p>
    <w:p w:rsidR="00D04F86" w:rsidRPr="0005126F" w:rsidRDefault="00D04F86" w:rsidP="00D04F86">
      <w:pPr>
        <w:jc w:val="center"/>
        <w:rPr>
          <w:rFonts w:ascii="Times New Roman" w:hAnsi="Times New Roman" w:cs="Times New Roman"/>
          <w:sz w:val="24"/>
          <w:szCs w:val="24"/>
        </w:rPr>
      </w:pPr>
      <w:r>
        <w:rPr>
          <w:rFonts w:ascii="Times New Roman" w:hAnsi="Times New Roman" w:cs="Times New Roman"/>
          <w:b/>
          <w:sz w:val="20"/>
          <w:szCs w:val="20"/>
        </w:rPr>
        <w:br w:type="page"/>
      </w:r>
      <w:r w:rsidRPr="0005126F">
        <w:rPr>
          <w:rFonts w:ascii="Times New Roman" w:hAnsi="Times New Roman" w:cs="Times New Roman"/>
          <w:noProof/>
          <w:sz w:val="24"/>
          <w:szCs w:val="24"/>
        </w:rPr>
        <w:lastRenderedPageBreak/>
        <w:drawing>
          <wp:inline distT="0" distB="0" distL="0" distR="0" wp14:anchorId="2A500C56" wp14:editId="5BF5F663">
            <wp:extent cx="5196254" cy="2919046"/>
            <wp:effectExtent l="0" t="0" r="444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D04F86" w:rsidRPr="0005126F" w:rsidRDefault="00D04F86" w:rsidP="00D04F86">
      <w:pPr>
        <w:pStyle w:val="ListParagraph"/>
        <w:ind w:left="360" w:hanging="360"/>
        <w:jc w:val="center"/>
        <w:rPr>
          <w:rFonts w:ascii="Times New Roman" w:hAnsi="Times New Roman" w:cs="Times New Roman"/>
          <w:sz w:val="24"/>
          <w:szCs w:val="24"/>
        </w:rPr>
      </w:pPr>
      <w:proofErr w:type="gramStart"/>
      <w:r>
        <w:rPr>
          <w:rFonts w:ascii="Times New Roman" w:hAnsi="Times New Roman" w:cs="Times New Roman"/>
          <w:sz w:val="24"/>
          <w:szCs w:val="24"/>
        </w:rPr>
        <w:t>Figure 7.</w:t>
      </w:r>
      <w:proofErr w:type="gramEnd"/>
      <w:r>
        <w:rPr>
          <w:rFonts w:ascii="Times New Roman" w:hAnsi="Times New Roman" w:cs="Times New Roman"/>
          <w:sz w:val="24"/>
          <w:szCs w:val="24"/>
        </w:rPr>
        <w:t xml:space="preserve">  Baltic States waste generated reduction 2010-2020 [1]</w:t>
      </w:r>
    </w:p>
    <w:p w:rsidR="00D04F86" w:rsidRPr="00C2095B" w:rsidRDefault="00D04F86" w:rsidP="00D04F86">
      <w:pPr>
        <w:spacing w:line="240" w:lineRule="auto"/>
        <w:jc w:val="center"/>
        <w:rPr>
          <w:rFonts w:ascii="Times New Roman" w:hAnsi="Times New Roman" w:cs="Times New Roman"/>
          <w:sz w:val="20"/>
          <w:szCs w:val="20"/>
        </w:rPr>
      </w:pPr>
    </w:p>
    <w:tbl>
      <w:tblPr>
        <w:tblStyle w:val="LightShading"/>
        <w:tblW w:w="9867" w:type="dxa"/>
        <w:tblLook w:val="04A0" w:firstRow="1" w:lastRow="0" w:firstColumn="1" w:lastColumn="0" w:noHBand="0" w:noVBand="1"/>
      </w:tblPr>
      <w:tblGrid>
        <w:gridCol w:w="2326"/>
        <w:gridCol w:w="1596"/>
        <w:gridCol w:w="1987"/>
        <w:gridCol w:w="1047"/>
        <w:gridCol w:w="1520"/>
        <w:gridCol w:w="1391"/>
      </w:tblGrid>
      <w:tr w:rsidR="00D04F86" w:rsidRPr="00C2095B" w:rsidTr="0006753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tcBorders>
            <w:shd w:val="clear" w:color="auto" w:fill="BFBFBF" w:themeFill="background1" w:themeFillShade="BF"/>
          </w:tcPr>
          <w:p w:rsidR="00D04F86" w:rsidRPr="00C2095B" w:rsidRDefault="00D04F86" w:rsidP="00067530">
            <w:pPr>
              <w:spacing w:line="276" w:lineRule="auto"/>
              <w:jc w:val="center"/>
              <w:rPr>
                <w:rFonts w:ascii="Times New Roman" w:hAnsi="Times New Roman" w:cs="Times New Roman"/>
                <w:sz w:val="20"/>
                <w:szCs w:val="20"/>
              </w:rPr>
            </w:pPr>
            <w:r>
              <w:rPr>
                <w:rFonts w:ascii="Times New Roman" w:hAnsi="Times New Roman" w:cs="Times New Roman"/>
                <w:b w:val="0"/>
                <w:sz w:val="20"/>
                <w:szCs w:val="20"/>
              </w:rPr>
              <w:br w:type="page"/>
            </w:r>
            <w:r w:rsidRPr="00C2095B">
              <w:rPr>
                <w:rFonts w:ascii="Times New Roman" w:hAnsi="Times New Roman" w:cs="Times New Roman"/>
                <w:sz w:val="20"/>
                <w:szCs w:val="20"/>
              </w:rPr>
              <w:t>Targets</w:t>
            </w:r>
          </w:p>
        </w:tc>
        <w:tc>
          <w:tcPr>
            <w:tcW w:w="1596" w:type="dxa"/>
            <w:shd w:val="clear" w:color="auto" w:fill="BFBFBF" w:themeFill="background1" w:themeFillShade="BF"/>
          </w:tcPr>
          <w:p w:rsidR="00D04F86" w:rsidRPr="00C2095B" w:rsidRDefault="00D04F86" w:rsidP="0006753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2020</w:t>
            </w:r>
          </w:p>
        </w:tc>
        <w:tc>
          <w:tcPr>
            <w:tcW w:w="1987" w:type="dxa"/>
            <w:shd w:val="clear" w:color="auto" w:fill="BFBFBF" w:themeFill="background1" w:themeFillShade="BF"/>
          </w:tcPr>
          <w:p w:rsidR="00D04F86" w:rsidRPr="00C2095B" w:rsidRDefault="00D04F86" w:rsidP="0006753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2025</w:t>
            </w:r>
          </w:p>
        </w:tc>
        <w:tc>
          <w:tcPr>
            <w:tcW w:w="1047" w:type="dxa"/>
            <w:shd w:val="clear" w:color="auto" w:fill="BFBFBF" w:themeFill="background1" w:themeFillShade="BF"/>
          </w:tcPr>
          <w:p w:rsidR="00D04F86" w:rsidRPr="00C2095B" w:rsidRDefault="00D04F86" w:rsidP="0006753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2030</w:t>
            </w:r>
          </w:p>
        </w:tc>
        <w:tc>
          <w:tcPr>
            <w:tcW w:w="1520" w:type="dxa"/>
            <w:shd w:val="clear" w:color="auto" w:fill="BFBFBF" w:themeFill="background1" w:themeFillShade="BF"/>
          </w:tcPr>
          <w:p w:rsidR="00D04F86" w:rsidRPr="00C2095B" w:rsidRDefault="00D04F86" w:rsidP="0006753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2035</w:t>
            </w:r>
          </w:p>
        </w:tc>
        <w:tc>
          <w:tcPr>
            <w:tcW w:w="1391" w:type="dxa"/>
            <w:tcBorders>
              <w:right w:val="single" w:sz="4" w:space="0" w:color="auto"/>
            </w:tcBorders>
            <w:shd w:val="clear" w:color="auto" w:fill="BFBFBF" w:themeFill="background1" w:themeFillShade="BF"/>
          </w:tcPr>
          <w:p w:rsidR="00D04F86" w:rsidRPr="00C2095B" w:rsidRDefault="00D04F86" w:rsidP="0006753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Legislation</w:t>
            </w:r>
          </w:p>
        </w:tc>
      </w:tr>
      <w:tr w:rsidR="00D04F86" w:rsidRPr="00C2095B" w:rsidTr="0006753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tcBorders>
            <w:shd w:val="clear" w:color="auto" w:fill="FFFFFF" w:themeFill="background1"/>
          </w:tcPr>
          <w:p w:rsidR="00D04F86" w:rsidRPr="00C2095B" w:rsidRDefault="00D04F86" w:rsidP="00067530">
            <w:pPr>
              <w:spacing w:line="276" w:lineRule="auto"/>
              <w:jc w:val="center"/>
              <w:rPr>
                <w:rFonts w:ascii="Times New Roman" w:hAnsi="Times New Roman" w:cs="Times New Roman"/>
                <w:sz w:val="20"/>
                <w:szCs w:val="20"/>
              </w:rPr>
            </w:pPr>
            <w:r w:rsidRPr="00C2095B">
              <w:rPr>
                <w:rFonts w:ascii="Times New Roman" w:hAnsi="Times New Roman" w:cs="Times New Roman"/>
                <w:sz w:val="20"/>
                <w:szCs w:val="20"/>
              </w:rPr>
              <w:t xml:space="preserve">Hazardous waste </w:t>
            </w:r>
          </w:p>
        </w:tc>
        <w:tc>
          <w:tcPr>
            <w:tcW w:w="1596"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87"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Set up separate collection schemes*</w:t>
            </w:r>
          </w:p>
        </w:tc>
        <w:tc>
          <w:tcPr>
            <w:tcW w:w="1047"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20"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91" w:type="dxa"/>
            <w:tcBorders>
              <w:right w:val="single" w:sz="4" w:space="0" w:color="auto"/>
            </w:tcBorders>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WFD</w:t>
            </w:r>
          </w:p>
        </w:tc>
      </w:tr>
      <w:tr w:rsidR="00D04F86" w:rsidRPr="00C2095B" w:rsidTr="00067530">
        <w:trPr>
          <w:trHeight w:val="480"/>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tcBorders>
            <w:shd w:val="clear" w:color="auto" w:fill="FFFFFF" w:themeFill="background1"/>
          </w:tcPr>
          <w:p w:rsidR="00D04F86" w:rsidRPr="00C2095B" w:rsidRDefault="00D04F86" w:rsidP="00067530">
            <w:pPr>
              <w:spacing w:line="276" w:lineRule="auto"/>
              <w:jc w:val="center"/>
              <w:rPr>
                <w:rFonts w:ascii="Times New Roman" w:hAnsi="Times New Roman" w:cs="Times New Roman"/>
                <w:sz w:val="20"/>
                <w:szCs w:val="20"/>
              </w:rPr>
            </w:pPr>
            <w:r w:rsidRPr="00C2095B">
              <w:rPr>
                <w:rFonts w:ascii="Times New Roman" w:hAnsi="Times New Roman" w:cs="Times New Roman"/>
                <w:sz w:val="20"/>
                <w:szCs w:val="20"/>
              </w:rPr>
              <w:t>Bio-waste collection</w:t>
            </w:r>
          </w:p>
        </w:tc>
        <w:tc>
          <w:tcPr>
            <w:tcW w:w="1596"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87"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Set up separate collection schemes**</w:t>
            </w:r>
          </w:p>
        </w:tc>
        <w:tc>
          <w:tcPr>
            <w:tcW w:w="1047"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0"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91" w:type="dxa"/>
            <w:tcBorders>
              <w:right w:val="single" w:sz="4" w:space="0" w:color="auto"/>
            </w:tcBorders>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WFD</w:t>
            </w:r>
          </w:p>
        </w:tc>
      </w:tr>
      <w:tr w:rsidR="00D04F86" w:rsidRPr="00C2095B" w:rsidTr="0006753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tcBorders>
            <w:shd w:val="clear" w:color="auto" w:fill="FFFFFF" w:themeFill="background1"/>
          </w:tcPr>
          <w:p w:rsidR="00D04F86" w:rsidRPr="00C2095B" w:rsidRDefault="00D04F86" w:rsidP="00067530">
            <w:pPr>
              <w:spacing w:line="276" w:lineRule="auto"/>
              <w:jc w:val="center"/>
              <w:rPr>
                <w:rFonts w:ascii="Times New Roman" w:hAnsi="Times New Roman" w:cs="Times New Roman"/>
                <w:sz w:val="20"/>
                <w:szCs w:val="20"/>
              </w:rPr>
            </w:pPr>
            <w:r w:rsidRPr="00C2095B">
              <w:rPr>
                <w:rFonts w:ascii="Times New Roman" w:hAnsi="Times New Roman" w:cs="Times New Roman"/>
                <w:sz w:val="20"/>
                <w:szCs w:val="20"/>
              </w:rPr>
              <w:t xml:space="preserve">Aluminum packaging recycling </w:t>
            </w:r>
          </w:p>
        </w:tc>
        <w:tc>
          <w:tcPr>
            <w:tcW w:w="1596"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87" w:type="dxa"/>
            <w:shd w:val="clear" w:color="auto" w:fill="FFFFFF" w:themeFill="background1"/>
          </w:tcPr>
          <w:p w:rsidR="00D04F86" w:rsidRPr="00C2095B" w:rsidRDefault="00D04F86" w:rsidP="00067530">
            <w:pPr>
              <w:tabs>
                <w:tab w:val="left" w:pos="519"/>
                <w:tab w:val="center" w:pos="84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50%</w:t>
            </w:r>
          </w:p>
        </w:tc>
        <w:tc>
          <w:tcPr>
            <w:tcW w:w="1047"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60%</w:t>
            </w:r>
          </w:p>
        </w:tc>
        <w:tc>
          <w:tcPr>
            <w:tcW w:w="1520"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91" w:type="dxa"/>
            <w:tcBorders>
              <w:right w:val="single" w:sz="4" w:space="0" w:color="auto"/>
            </w:tcBorders>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PPWD</w:t>
            </w:r>
          </w:p>
        </w:tc>
      </w:tr>
      <w:tr w:rsidR="00D04F86" w:rsidRPr="00C2095B" w:rsidTr="00067530">
        <w:trPr>
          <w:trHeight w:val="316"/>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tcBorders>
            <w:shd w:val="clear" w:color="auto" w:fill="FFFFFF" w:themeFill="background1"/>
          </w:tcPr>
          <w:p w:rsidR="00D04F86" w:rsidRPr="00C2095B" w:rsidRDefault="00D04F86" w:rsidP="00067530">
            <w:pPr>
              <w:spacing w:line="276" w:lineRule="auto"/>
              <w:jc w:val="center"/>
              <w:rPr>
                <w:rFonts w:ascii="Times New Roman" w:hAnsi="Times New Roman" w:cs="Times New Roman"/>
                <w:sz w:val="20"/>
                <w:szCs w:val="20"/>
              </w:rPr>
            </w:pPr>
            <w:r w:rsidRPr="00C2095B">
              <w:rPr>
                <w:rFonts w:ascii="Times New Roman" w:hAnsi="Times New Roman" w:cs="Times New Roman"/>
                <w:sz w:val="20"/>
                <w:szCs w:val="20"/>
              </w:rPr>
              <w:t>Domestic waste recycling</w:t>
            </w:r>
          </w:p>
        </w:tc>
        <w:tc>
          <w:tcPr>
            <w:tcW w:w="1596"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50%</w:t>
            </w:r>
          </w:p>
        </w:tc>
        <w:tc>
          <w:tcPr>
            <w:tcW w:w="1987"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55%</w:t>
            </w:r>
          </w:p>
        </w:tc>
        <w:tc>
          <w:tcPr>
            <w:tcW w:w="1047"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60%</w:t>
            </w:r>
          </w:p>
        </w:tc>
        <w:tc>
          <w:tcPr>
            <w:tcW w:w="1520"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65%</w:t>
            </w:r>
          </w:p>
        </w:tc>
        <w:tc>
          <w:tcPr>
            <w:tcW w:w="1391" w:type="dxa"/>
            <w:tcBorders>
              <w:right w:val="single" w:sz="4" w:space="0" w:color="auto"/>
            </w:tcBorders>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WFD</w:t>
            </w:r>
          </w:p>
        </w:tc>
      </w:tr>
      <w:tr w:rsidR="00D04F86" w:rsidRPr="00C2095B" w:rsidTr="0006753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tcBorders>
            <w:shd w:val="clear" w:color="auto" w:fill="FFFFFF" w:themeFill="background1"/>
          </w:tcPr>
          <w:p w:rsidR="00D04F86" w:rsidRPr="00C2095B" w:rsidRDefault="00D04F86" w:rsidP="00067530">
            <w:pPr>
              <w:spacing w:line="276" w:lineRule="auto"/>
              <w:jc w:val="center"/>
              <w:rPr>
                <w:rFonts w:ascii="Times New Roman" w:hAnsi="Times New Roman" w:cs="Times New Roman"/>
                <w:sz w:val="20"/>
                <w:szCs w:val="20"/>
              </w:rPr>
            </w:pPr>
            <w:r w:rsidRPr="00C2095B">
              <w:rPr>
                <w:rFonts w:ascii="Times New Roman" w:hAnsi="Times New Roman" w:cs="Times New Roman"/>
                <w:sz w:val="20"/>
                <w:szCs w:val="20"/>
              </w:rPr>
              <w:t>Ferrous metals packaging recycling</w:t>
            </w:r>
          </w:p>
        </w:tc>
        <w:tc>
          <w:tcPr>
            <w:tcW w:w="1596"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87"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70%</w:t>
            </w:r>
          </w:p>
        </w:tc>
        <w:tc>
          <w:tcPr>
            <w:tcW w:w="1047"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80%</w:t>
            </w:r>
          </w:p>
        </w:tc>
        <w:tc>
          <w:tcPr>
            <w:tcW w:w="1520"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91" w:type="dxa"/>
            <w:tcBorders>
              <w:right w:val="single" w:sz="4" w:space="0" w:color="auto"/>
            </w:tcBorders>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PPWD</w:t>
            </w:r>
          </w:p>
        </w:tc>
      </w:tr>
      <w:tr w:rsidR="00D04F86" w:rsidRPr="00C2095B" w:rsidTr="00067530">
        <w:trPr>
          <w:trHeight w:val="326"/>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tcBorders>
            <w:shd w:val="clear" w:color="auto" w:fill="FFFFFF" w:themeFill="background1"/>
          </w:tcPr>
          <w:p w:rsidR="00D04F86" w:rsidRPr="00C2095B" w:rsidRDefault="00D04F86" w:rsidP="00067530">
            <w:pPr>
              <w:spacing w:line="276" w:lineRule="auto"/>
              <w:jc w:val="center"/>
              <w:rPr>
                <w:rFonts w:ascii="Times New Roman" w:hAnsi="Times New Roman" w:cs="Times New Roman"/>
                <w:sz w:val="20"/>
                <w:szCs w:val="20"/>
              </w:rPr>
            </w:pPr>
            <w:r w:rsidRPr="00C2095B">
              <w:rPr>
                <w:rFonts w:ascii="Times New Roman" w:hAnsi="Times New Roman" w:cs="Times New Roman"/>
                <w:sz w:val="20"/>
                <w:szCs w:val="20"/>
              </w:rPr>
              <w:t>Cardboard and Paper packaging recycling</w:t>
            </w:r>
          </w:p>
        </w:tc>
        <w:tc>
          <w:tcPr>
            <w:tcW w:w="1596"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87"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75%</w:t>
            </w:r>
          </w:p>
        </w:tc>
        <w:tc>
          <w:tcPr>
            <w:tcW w:w="1047"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85%</w:t>
            </w:r>
          </w:p>
        </w:tc>
        <w:tc>
          <w:tcPr>
            <w:tcW w:w="1520"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91" w:type="dxa"/>
            <w:tcBorders>
              <w:right w:val="single" w:sz="4" w:space="0" w:color="auto"/>
            </w:tcBorders>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PPWD</w:t>
            </w:r>
          </w:p>
        </w:tc>
      </w:tr>
      <w:tr w:rsidR="00D04F86" w:rsidRPr="00C2095B" w:rsidTr="0006753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tcBorders>
            <w:shd w:val="clear" w:color="auto" w:fill="FFFFFF" w:themeFill="background1"/>
          </w:tcPr>
          <w:p w:rsidR="00D04F86" w:rsidRPr="00C2095B" w:rsidRDefault="00D04F86" w:rsidP="00067530">
            <w:pPr>
              <w:spacing w:line="276" w:lineRule="auto"/>
              <w:jc w:val="center"/>
              <w:rPr>
                <w:rFonts w:ascii="Times New Roman" w:hAnsi="Times New Roman" w:cs="Times New Roman"/>
                <w:sz w:val="20"/>
                <w:szCs w:val="20"/>
              </w:rPr>
            </w:pPr>
            <w:r w:rsidRPr="00C2095B">
              <w:rPr>
                <w:rFonts w:ascii="Times New Roman" w:hAnsi="Times New Roman" w:cs="Times New Roman"/>
                <w:sz w:val="20"/>
                <w:szCs w:val="20"/>
              </w:rPr>
              <w:t>Glass packaging recycling</w:t>
            </w:r>
          </w:p>
        </w:tc>
        <w:tc>
          <w:tcPr>
            <w:tcW w:w="1596"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87"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70%</w:t>
            </w:r>
          </w:p>
        </w:tc>
        <w:tc>
          <w:tcPr>
            <w:tcW w:w="1047"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75%</w:t>
            </w:r>
          </w:p>
        </w:tc>
        <w:tc>
          <w:tcPr>
            <w:tcW w:w="1520"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91" w:type="dxa"/>
            <w:tcBorders>
              <w:right w:val="single" w:sz="4" w:space="0" w:color="auto"/>
            </w:tcBorders>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PPWD</w:t>
            </w:r>
          </w:p>
        </w:tc>
      </w:tr>
      <w:tr w:rsidR="00D04F86" w:rsidRPr="00C2095B" w:rsidTr="00067530">
        <w:trPr>
          <w:trHeight w:val="326"/>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tcBorders>
            <w:shd w:val="clear" w:color="auto" w:fill="FFFFFF" w:themeFill="background1"/>
          </w:tcPr>
          <w:p w:rsidR="00D04F86" w:rsidRPr="00C2095B" w:rsidRDefault="00D04F86" w:rsidP="00067530">
            <w:pPr>
              <w:spacing w:line="276" w:lineRule="auto"/>
              <w:jc w:val="center"/>
              <w:rPr>
                <w:rFonts w:ascii="Times New Roman" w:hAnsi="Times New Roman" w:cs="Times New Roman"/>
                <w:sz w:val="20"/>
                <w:szCs w:val="20"/>
              </w:rPr>
            </w:pPr>
            <w:r w:rsidRPr="00C2095B">
              <w:rPr>
                <w:rFonts w:ascii="Times New Roman" w:hAnsi="Times New Roman" w:cs="Times New Roman"/>
                <w:sz w:val="20"/>
                <w:szCs w:val="20"/>
              </w:rPr>
              <w:t>Textile collection</w:t>
            </w:r>
          </w:p>
        </w:tc>
        <w:tc>
          <w:tcPr>
            <w:tcW w:w="1596"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87"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Set up separate collection schemes</w:t>
            </w:r>
          </w:p>
        </w:tc>
        <w:tc>
          <w:tcPr>
            <w:tcW w:w="1047"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0" w:type="dxa"/>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91" w:type="dxa"/>
            <w:tcBorders>
              <w:right w:val="single" w:sz="4" w:space="0" w:color="auto"/>
            </w:tcBorders>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WFD</w:t>
            </w:r>
          </w:p>
        </w:tc>
      </w:tr>
      <w:tr w:rsidR="00D04F86" w:rsidRPr="00C2095B" w:rsidTr="00067530">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tcBorders>
            <w:shd w:val="clear" w:color="auto" w:fill="FFFFFF" w:themeFill="background1"/>
          </w:tcPr>
          <w:p w:rsidR="00D04F86" w:rsidRPr="00C2095B" w:rsidRDefault="00D04F86" w:rsidP="00067530">
            <w:pPr>
              <w:spacing w:line="276" w:lineRule="auto"/>
              <w:jc w:val="center"/>
              <w:rPr>
                <w:rFonts w:ascii="Times New Roman" w:hAnsi="Times New Roman" w:cs="Times New Roman"/>
                <w:sz w:val="20"/>
                <w:szCs w:val="20"/>
              </w:rPr>
            </w:pPr>
            <w:r w:rsidRPr="00C2095B">
              <w:rPr>
                <w:rFonts w:ascii="Times New Roman" w:hAnsi="Times New Roman" w:cs="Times New Roman"/>
                <w:sz w:val="20"/>
                <w:szCs w:val="20"/>
              </w:rPr>
              <w:t>Domestic landfilling waste</w:t>
            </w:r>
          </w:p>
        </w:tc>
        <w:tc>
          <w:tcPr>
            <w:tcW w:w="1596"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Zero landfilling of separately collected waste</w:t>
            </w:r>
          </w:p>
        </w:tc>
        <w:tc>
          <w:tcPr>
            <w:tcW w:w="1987"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47"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20" w:type="dxa"/>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Maximum 10% of total generated waste</w:t>
            </w:r>
          </w:p>
        </w:tc>
        <w:tc>
          <w:tcPr>
            <w:tcW w:w="1391" w:type="dxa"/>
            <w:tcBorders>
              <w:right w:val="single" w:sz="4" w:space="0" w:color="auto"/>
            </w:tcBorders>
            <w:shd w:val="clear" w:color="auto" w:fill="FFFFFF" w:themeFill="background1"/>
          </w:tcPr>
          <w:p w:rsidR="00D04F86" w:rsidRPr="00C2095B" w:rsidRDefault="00D04F86" w:rsidP="000675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LD</w:t>
            </w:r>
          </w:p>
        </w:tc>
      </w:tr>
      <w:tr w:rsidR="00D04F86" w:rsidRPr="00C2095B" w:rsidTr="00067530">
        <w:trPr>
          <w:trHeight w:val="326"/>
        </w:trPr>
        <w:tc>
          <w:tcPr>
            <w:cnfStyle w:val="001000000000" w:firstRow="0" w:lastRow="0" w:firstColumn="1" w:lastColumn="0" w:oddVBand="0" w:evenVBand="0" w:oddHBand="0" w:evenHBand="0" w:firstRowFirstColumn="0" w:firstRowLastColumn="0" w:lastRowFirstColumn="0" w:lastRowLastColumn="0"/>
            <w:tcW w:w="2326" w:type="dxa"/>
            <w:tcBorders>
              <w:left w:val="single" w:sz="4" w:space="0" w:color="auto"/>
              <w:bottom w:val="single" w:sz="8" w:space="0" w:color="000000" w:themeColor="text1"/>
            </w:tcBorders>
            <w:shd w:val="clear" w:color="auto" w:fill="FFFFFF" w:themeFill="background1"/>
          </w:tcPr>
          <w:p w:rsidR="00D04F86" w:rsidRPr="00C2095B" w:rsidRDefault="00D04F86" w:rsidP="00067530">
            <w:pPr>
              <w:spacing w:line="276" w:lineRule="auto"/>
              <w:jc w:val="center"/>
              <w:rPr>
                <w:rFonts w:ascii="Times New Roman" w:hAnsi="Times New Roman" w:cs="Times New Roman"/>
                <w:sz w:val="20"/>
                <w:szCs w:val="20"/>
              </w:rPr>
            </w:pPr>
            <w:r w:rsidRPr="00C2095B">
              <w:rPr>
                <w:rFonts w:ascii="Times New Roman" w:hAnsi="Times New Roman" w:cs="Times New Roman"/>
                <w:sz w:val="20"/>
                <w:szCs w:val="20"/>
              </w:rPr>
              <w:t>Plastic bottles collection</w:t>
            </w:r>
          </w:p>
        </w:tc>
        <w:tc>
          <w:tcPr>
            <w:tcW w:w="1596" w:type="dxa"/>
            <w:tcBorders>
              <w:bottom w:val="single" w:sz="8" w:space="0" w:color="000000" w:themeColor="text1"/>
            </w:tcBorders>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87" w:type="dxa"/>
            <w:tcBorders>
              <w:bottom w:val="single" w:sz="8" w:space="0" w:color="000000" w:themeColor="text1"/>
            </w:tcBorders>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77%</w:t>
            </w:r>
          </w:p>
        </w:tc>
        <w:tc>
          <w:tcPr>
            <w:tcW w:w="1047" w:type="dxa"/>
            <w:tcBorders>
              <w:bottom w:val="single" w:sz="8" w:space="0" w:color="000000" w:themeColor="text1"/>
            </w:tcBorders>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90%***</w:t>
            </w:r>
          </w:p>
        </w:tc>
        <w:tc>
          <w:tcPr>
            <w:tcW w:w="1520" w:type="dxa"/>
            <w:tcBorders>
              <w:bottom w:val="single" w:sz="8" w:space="0" w:color="000000" w:themeColor="text1"/>
            </w:tcBorders>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91" w:type="dxa"/>
            <w:tcBorders>
              <w:bottom w:val="single" w:sz="8" w:space="0" w:color="000000" w:themeColor="text1"/>
              <w:right w:val="single" w:sz="4" w:space="0" w:color="auto"/>
            </w:tcBorders>
            <w:shd w:val="clear" w:color="auto" w:fill="FFFFFF" w:themeFill="background1"/>
          </w:tcPr>
          <w:p w:rsidR="00D04F86" w:rsidRPr="00C2095B" w:rsidRDefault="00D04F86" w:rsidP="000675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95B">
              <w:rPr>
                <w:rFonts w:ascii="Times New Roman" w:hAnsi="Times New Roman" w:cs="Times New Roman"/>
                <w:sz w:val="20"/>
                <w:szCs w:val="20"/>
              </w:rPr>
              <w:t>SUP</w:t>
            </w:r>
          </w:p>
        </w:tc>
      </w:tr>
    </w:tbl>
    <w:p w:rsidR="00D04F86" w:rsidRPr="00C2095B" w:rsidRDefault="00D04F86" w:rsidP="00D04F86">
      <w:pPr>
        <w:jc w:val="both"/>
        <w:rPr>
          <w:rFonts w:ascii="Times New Roman" w:hAnsi="Times New Roman" w:cs="Times New Roman"/>
          <w:sz w:val="20"/>
          <w:szCs w:val="20"/>
        </w:rPr>
      </w:pPr>
      <w:r w:rsidRPr="00C2095B">
        <w:rPr>
          <w:rFonts w:ascii="Times New Roman" w:hAnsi="Times New Roman" w:cs="Times New Roman"/>
          <w:sz w:val="20"/>
          <w:szCs w:val="20"/>
        </w:rPr>
        <w:t xml:space="preserve">***Deadline is 2029, **Deadline 2023, *Deadline is </w:t>
      </w:r>
      <w:proofErr w:type="gramStart"/>
      <w:r w:rsidRPr="00C2095B">
        <w:rPr>
          <w:rFonts w:ascii="Times New Roman" w:hAnsi="Times New Roman" w:cs="Times New Roman"/>
          <w:sz w:val="20"/>
          <w:szCs w:val="20"/>
        </w:rPr>
        <w:t>2022,</w:t>
      </w:r>
      <w:proofErr w:type="gramEnd"/>
      <w:r w:rsidRPr="00C2095B">
        <w:rPr>
          <w:rFonts w:ascii="Times New Roman" w:hAnsi="Times New Roman" w:cs="Times New Roman"/>
          <w:sz w:val="20"/>
          <w:szCs w:val="20"/>
        </w:rPr>
        <w:t xml:space="preserve"> Waste Framework Directive (WFD), Packaging and Packaging waste Directive (PPWD), Single-Use Plastic (SUP), Landfill Directive</w:t>
      </w:r>
      <w:r>
        <w:rPr>
          <w:rFonts w:ascii="Times New Roman" w:hAnsi="Times New Roman" w:cs="Times New Roman"/>
          <w:sz w:val="20"/>
          <w:szCs w:val="20"/>
        </w:rPr>
        <w:t xml:space="preserve"> (LD)</w:t>
      </w:r>
      <w:r w:rsidRPr="00C2095B">
        <w:rPr>
          <w:rFonts w:ascii="Times New Roman" w:hAnsi="Times New Roman" w:cs="Times New Roman"/>
          <w:sz w:val="20"/>
          <w:szCs w:val="20"/>
        </w:rPr>
        <w:t>.</w:t>
      </w:r>
    </w:p>
    <w:p w:rsidR="00D04F86" w:rsidRPr="002B00DE" w:rsidRDefault="00D04F86" w:rsidP="00D04F86">
      <w:pPr>
        <w:jc w:val="center"/>
        <w:rPr>
          <w:rFonts w:ascii="Times New Roman" w:hAnsi="Times New Roman" w:cs="Times New Roman"/>
          <w:sz w:val="24"/>
          <w:szCs w:val="24"/>
        </w:rPr>
      </w:pPr>
      <w:proofErr w:type="gramStart"/>
      <w:r w:rsidRPr="002B00DE">
        <w:rPr>
          <w:rFonts w:ascii="Times New Roman" w:hAnsi="Times New Roman" w:cs="Times New Roman"/>
          <w:sz w:val="24"/>
          <w:szCs w:val="24"/>
        </w:rPr>
        <w:t>Table 1.</w:t>
      </w:r>
      <w:proofErr w:type="gramEnd"/>
      <w:r w:rsidRPr="002B00DE">
        <w:rPr>
          <w:rFonts w:ascii="Times New Roman" w:hAnsi="Times New Roman" w:cs="Times New Roman"/>
          <w:sz w:val="24"/>
          <w:szCs w:val="24"/>
        </w:rPr>
        <w:t xml:space="preserve"> The European Union legislative scheme for domestic solid waste management</w:t>
      </w:r>
    </w:p>
    <w:tbl>
      <w:tblPr>
        <w:tblStyle w:val="LightShading"/>
        <w:tblW w:w="9935" w:type="dxa"/>
        <w:tblLayout w:type="fixed"/>
        <w:tblLook w:val="04A0" w:firstRow="1" w:lastRow="0" w:firstColumn="1" w:lastColumn="0" w:noHBand="0" w:noVBand="1"/>
      </w:tblPr>
      <w:tblGrid>
        <w:gridCol w:w="1798"/>
        <w:gridCol w:w="712"/>
        <w:gridCol w:w="712"/>
        <w:gridCol w:w="712"/>
        <w:gridCol w:w="712"/>
        <w:gridCol w:w="712"/>
        <w:gridCol w:w="712"/>
        <w:gridCol w:w="712"/>
        <w:gridCol w:w="758"/>
        <w:gridCol w:w="756"/>
        <w:gridCol w:w="1639"/>
      </w:tblGrid>
      <w:tr w:rsidR="00D04F86" w:rsidRPr="0005126F" w:rsidTr="00067530">
        <w:trPr>
          <w:cnfStyle w:val="100000000000" w:firstRow="1" w:lastRow="0" w:firstColumn="0" w:lastColumn="0" w:oddVBand="0" w:evenVBand="0" w:oddHBand="0"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1798" w:type="dxa"/>
            <w:tcBorders>
              <w:left w:val="single" w:sz="4" w:space="0" w:color="auto"/>
            </w:tcBorders>
            <w:shd w:val="clear" w:color="auto" w:fill="DDD9C3" w:themeFill="background2" w:themeFillShade="E6"/>
          </w:tcPr>
          <w:p w:rsidR="00D04F86" w:rsidRPr="000E2BCE" w:rsidRDefault="00D04F86" w:rsidP="00067530">
            <w:pPr>
              <w:spacing w:line="480" w:lineRule="auto"/>
              <w:jc w:val="center"/>
              <w:rPr>
                <w:rFonts w:ascii="Times New Roman" w:hAnsi="Times New Roman" w:cs="Times New Roman"/>
                <w:sz w:val="20"/>
                <w:szCs w:val="20"/>
              </w:rPr>
            </w:pPr>
          </w:p>
        </w:tc>
        <w:tc>
          <w:tcPr>
            <w:tcW w:w="712" w:type="dxa"/>
            <w:shd w:val="clear" w:color="auto" w:fill="DDD9C3" w:themeFill="background2" w:themeFillShade="E6"/>
          </w:tcPr>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2004</w:t>
            </w:r>
          </w:p>
        </w:tc>
        <w:tc>
          <w:tcPr>
            <w:tcW w:w="712" w:type="dxa"/>
            <w:shd w:val="clear" w:color="auto" w:fill="DDD9C3" w:themeFill="background2" w:themeFillShade="E6"/>
          </w:tcPr>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2006</w:t>
            </w:r>
          </w:p>
        </w:tc>
        <w:tc>
          <w:tcPr>
            <w:tcW w:w="712" w:type="dxa"/>
            <w:shd w:val="clear" w:color="auto" w:fill="DDD9C3" w:themeFill="background2" w:themeFillShade="E6"/>
          </w:tcPr>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2008</w:t>
            </w:r>
          </w:p>
        </w:tc>
        <w:tc>
          <w:tcPr>
            <w:tcW w:w="712" w:type="dxa"/>
            <w:shd w:val="clear" w:color="auto" w:fill="DDD9C3" w:themeFill="background2" w:themeFillShade="E6"/>
          </w:tcPr>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2010</w:t>
            </w:r>
          </w:p>
        </w:tc>
        <w:tc>
          <w:tcPr>
            <w:tcW w:w="712" w:type="dxa"/>
            <w:shd w:val="clear" w:color="auto" w:fill="DDD9C3" w:themeFill="background2" w:themeFillShade="E6"/>
          </w:tcPr>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2012</w:t>
            </w:r>
          </w:p>
        </w:tc>
        <w:tc>
          <w:tcPr>
            <w:tcW w:w="712" w:type="dxa"/>
            <w:shd w:val="clear" w:color="auto" w:fill="DDD9C3" w:themeFill="background2" w:themeFillShade="E6"/>
          </w:tcPr>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2014</w:t>
            </w:r>
          </w:p>
        </w:tc>
        <w:tc>
          <w:tcPr>
            <w:tcW w:w="712" w:type="dxa"/>
            <w:shd w:val="clear" w:color="auto" w:fill="DDD9C3" w:themeFill="background2" w:themeFillShade="E6"/>
          </w:tcPr>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2016</w:t>
            </w:r>
          </w:p>
        </w:tc>
        <w:tc>
          <w:tcPr>
            <w:tcW w:w="758" w:type="dxa"/>
            <w:shd w:val="clear" w:color="auto" w:fill="DDD9C3" w:themeFill="background2" w:themeFillShade="E6"/>
          </w:tcPr>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2018</w:t>
            </w:r>
          </w:p>
        </w:tc>
        <w:tc>
          <w:tcPr>
            <w:tcW w:w="756" w:type="dxa"/>
            <w:shd w:val="clear" w:color="auto" w:fill="DDD9C3" w:themeFill="background2" w:themeFillShade="E6"/>
          </w:tcPr>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2020</w:t>
            </w:r>
          </w:p>
        </w:tc>
        <w:tc>
          <w:tcPr>
            <w:tcW w:w="1639" w:type="dxa"/>
            <w:tcBorders>
              <w:right w:val="single" w:sz="4" w:space="0" w:color="auto"/>
            </w:tcBorders>
            <w:shd w:val="clear" w:color="auto" w:fill="DDD9C3" w:themeFill="background2" w:themeFillShade="E6"/>
          </w:tcPr>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Change</w:t>
            </w:r>
          </w:p>
          <w:p w:rsidR="00D04F86" w:rsidRPr="000E2BCE" w:rsidRDefault="00D04F86" w:rsidP="0006753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2BCE">
              <w:rPr>
                <w:rFonts w:ascii="Times New Roman" w:hAnsi="Times New Roman" w:cs="Times New Roman"/>
                <w:sz w:val="20"/>
                <w:szCs w:val="20"/>
              </w:rPr>
              <w:t>2020/2004(%)</w:t>
            </w:r>
          </w:p>
        </w:tc>
      </w:tr>
      <w:tr w:rsidR="00D04F86" w:rsidRPr="0005126F" w:rsidTr="00067530">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798" w:type="dxa"/>
            <w:tcBorders>
              <w:left w:val="single" w:sz="4" w:space="0" w:color="auto"/>
            </w:tcBorders>
            <w:shd w:val="clear" w:color="auto" w:fill="FFFFFF" w:themeFill="background1"/>
          </w:tcPr>
          <w:p w:rsidR="00D04F86" w:rsidRPr="00EB07DC" w:rsidRDefault="00D04F86" w:rsidP="00067530">
            <w:pPr>
              <w:spacing w:line="480" w:lineRule="auto"/>
              <w:jc w:val="center"/>
              <w:rPr>
                <w:rFonts w:ascii="Times New Roman" w:hAnsi="Times New Roman" w:cs="Times New Roman"/>
                <w:sz w:val="20"/>
                <w:szCs w:val="20"/>
              </w:rPr>
            </w:pPr>
            <w:r w:rsidRPr="00EB07DC">
              <w:rPr>
                <w:rFonts w:ascii="Times New Roman" w:hAnsi="Times New Roman" w:cs="Times New Roman"/>
                <w:sz w:val="20"/>
                <w:szCs w:val="20"/>
              </w:rPr>
              <w:t>Households</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174.1</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179.2</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181.6</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186.0</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180.7</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175.9</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181.4</w:t>
            </w:r>
          </w:p>
        </w:tc>
        <w:tc>
          <w:tcPr>
            <w:tcW w:w="758"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186.1</w:t>
            </w:r>
          </w:p>
        </w:tc>
        <w:tc>
          <w:tcPr>
            <w:tcW w:w="756"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195.9</w:t>
            </w:r>
          </w:p>
        </w:tc>
        <w:tc>
          <w:tcPr>
            <w:tcW w:w="1639" w:type="dxa"/>
            <w:tcBorders>
              <w:right w:val="single" w:sz="4" w:space="0" w:color="auto"/>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12.5</w:t>
            </w:r>
          </w:p>
        </w:tc>
      </w:tr>
      <w:tr w:rsidR="00D04F86" w:rsidRPr="0005126F" w:rsidTr="00067530">
        <w:trPr>
          <w:trHeight w:val="586"/>
        </w:trPr>
        <w:tc>
          <w:tcPr>
            <w:cnfStyle w:val="001000000000" w:firstRow="0" w:lastRow="0" w:firstColumn="1" w:lastColumn="0" w:oddVBand="0" w:evenVBand="0" w:oddHBand="0" w:evenHBand="0" w:firstRowFirstColumn="0" w:firstRowLastColumn="0" w:lastRowFirstColumn="0" w:lastRowLastColumn="0"/>
            <w:tcW w:w="1798" w:type="dxa"/>
            <w:tcBorders>
              <w:left w:val="single" w:sz="4" w:space="0" w:color="auto"/>
            </w:tcBorders>
            <w:shd w:val="clear" w:color="auto" w:fill="FFFFFF" w:themeFill="background1"/>
          </w:tcPr>
          <w:p w:rsidR="00D04F86" w:rsidRPr="00EB07DC" w:rsidRDefault="00D04F86" w:rsidP="00067530">
            <w:pPr>
              <w:spacing w:line="480" w:lineRule="auto"/>
              <w:jc w:val="center"/>
              <w:rPr>
                <w:rFonts w:ascii="Times New Roman" w:hAnsi="Times New Roman" w:cs="Times New Roman"/>
                <w:sz w:val="20"/>
                <w:szCs w:val="20"/>
              </w:rPr>
            </w:pPr>
            <w:r w:rsidRPr="00EB07DC">
              <w:rPr>
                <w:rFonts w:ascii="Times New Roman" w:hAnsi="Times New Roman" w:cs="Times New Roman"/>
                <w:sz w:val="20"/>
                <w:szCs w:val="20"/>
              </w:rPr>
              <w:t>Waste/water</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75.1</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83.3</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98.9</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129.9</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155.0</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180.7</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196.9</w:t>
            </w:r>
          </w:p>
        </w:tc>
        <w:tc>
          <w:tcPr>
            <w:tcW w:w="758"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208.5</w:t>
            </w:r>
          </w:p>
        </w:tc>
        <w:tc>
          <w:tcPr>
            <w:tcW w:w="756"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211.0</w:t>
            </w:r>
          </w:p>
        </w:tc>
        <w:tc>
          <w:tcPr>
            <w:tcW w:w="1639" w:type="dxa"/>
            <w:tcBorders>
              <w:right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180.4</w:t>
            </w:r>
          </w:p>
        </w:tc>
      </w:tr>
      <w:tr w:rsidR="00D04F86" w:rsidRPr="0005126F" w:rsidTr="00067530">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798" w:type="dxa"/>
            <w:tcBorders>
              <w:left w:val="single" w:sz="4" w:space="0" w:color="auto"/>
            </w:tcBorders>
            <w:shd w:val="clear" w:color="auto" w:fill="FFFFFF" w:themeFill="background1"/>
          </w:tcPr>
          <w:p w:rsidR="00D04F86" w:rsidRPr="00EB07DC" w:rsidRDefault="00D04F86" w:rsidP="00067530">
            <w:pPr>
              <w:spacing w:line="480" w:lineRule="auto"/>
              <w:jc w:val="center"/>
              <w:rPr>
                <w:rFonts w:ascii="Times New Roman" w:hAnsi="Times New Roman" w:cs="Times New Roman"/>
                <w:sz w:val="20"/>
                <w:szCs w:val="20"/>
              </w:rPr>
            </w:pPr>
            <w:r w:rsidRPr="00EB07DC">
              <w:rPr>
                <w:rFonts w:ascii="Times New Roman" w:hAnsi="Times New Roman" w:cs="Times New Roman"/>
                <w:sz w:val="20"/>
                <w:szCs w:val="20"/>
              </w:rPr>
              <w:t>Agriculture</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62.3</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56.7</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45.5</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20.2</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20.4</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17.7</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19.7</w:t>
            </w:r>
          </w:p>
        </w:tc>
        <w:tc>
          <w:tcPr>
            <w:tcW w:w="758"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19.4</w:t>
            </w:r>
          </w:p>
        </w:tc>
        <w:tc>
          <w:tcPr>
            <w:tcW w:w="756"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20.9</w:t>
            </w:r>
          </w:p>
        </w:tc>
        <w:tc>
          <w:tcPr>
            <w:tcW w:w="1639" w:type="dxa"/>
            <w:tcBorders>
              <w:right w:val="single" w:sz="4" w:space="0" w:color="auto"/>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-66.5</w:t>
            </w:r>
          </w:p>
        </w:tc>
      </w:tr>
      <w:tr w:rsidR="00D04F86" w:rsidRPr="0005126F" w:rsidTr="00067530">
        <w:trPr>
          <w:trHeight w:val="731"/>
        </w:trPr>
        <w:tc>
          <w:tcPr>
            <w:cnfStyle w:val="001000000000" w:firstRow="0" w:lastRow="0" w:firstColumn="1" w:lastColumn="0" w:oddVBand="0" w:evenVBand="0" w:oddHBand="0" w:evenHBand="0" w:firstRowFirstColumn="0" w:firstRowLastColumn="0" w:lastRowFirstColumn="0" w:lastRowLastColumn="0"/>
            <w:tcW w:w="1798" w:type="dxa"/>
            <w:tcBorders>
              <w:left w:val="single" w:sz="4" w:space="0" w:color="auto"/>
            </w:tcBorders>
            <w:shd w:val="clear" w:color="auto" w:fill="FFFFFF" w:themeFill="background1"/>
          </w:tcPr>
          <w:p w:rsidR="00D04F86" w:rsidRPr="00EB07DC" w:rsidRDefault="00D04F86" w:rsidP="00067530">
            <w:pPr>
              <w:spacing w:line="480" w:lineRule="auto"/>
              <w:jc w:val="center"/>
              <w:rPr>
                <w:rFonts w:ascii="Times New Roman" w:hAnsi="Times New Roman" w:cs="Times New Roman"/>
                <w:sz w:val="20"/>
                <w:szCs w:val="20"/>
              </w:rPr>
            </w:pPr>
            <w:r w:rsidRPr="00EB07DC">
              <w:rPr>
                <w:rFonts w:ascii="Times New Roman" w:hAnsi="Times New Roman" w:cs="Times New Roman"/>
                <w:sz w:val="20"/>
                <w:szCs w:val="20"/>
              </w:rPr>
              <w:t>Mining and quarrying</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10.4</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7.1</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10.0</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7.9</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7.5</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7.7</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6.9</w:t>
            </w:r>
          </w:p>
        </w:tc>
        <w:tc>
          <w:tcPr>
            <w:tcW w:w="758"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8.1</w:t>
            </w:r>
          </w:p>
        </w:tc>
        <w:tc>
          <w:tcPr>
            <w:tcW w:w="756"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7.5</w:t>
            </w:r>
          </w:p>
        </w:tc>
        <w:tc>
          <w:tcPr>
            <w:tcW w:w="1639" w:type="dxa"/>
            <w:tcBorders>
              <w:right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-28.1</w:t>
            </w:r>
          </w:p>
        </w:tc>
      </w:tr>
      <w:tr w:rsidR="00D04F86" w:rsidRPr="0005126F" w:rsidTr="0006753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98" w:type="dxa"/>
            <w:tcBorders>
              <w:left w:val="single" w:sz="4" w:space="0" w:color="auto"/>
            </w:tcBorders>
            <w:shd w:val="clear" w:color="auto" w:fill="FFFFFF" w:themeFill="background1"/>
          </w:tcPr>
          <w:p w:rsidR="00D04F86" w:rsidRPr="00EB07DC" w:rsidRDefault="00D04F86" w:rsidP="00067530">
            <w:pPr>
              <w:spacing w:line="480" w:lineRule="auto"/>
              <w:jc w:val="center"/>
              <w:rPr>
                <w:rFonts w:ascii="Times New Roman" w:hAnsi="Times New Roman" w:cs="Times New Roman"/>
                <w:sz w:val="20"/>
                <w:szCs w:val="20"/>
              </w:rPr>
            </w:pPr>
            <w:r w:rsidRPr="00EB07DC">
              <w:rPr>
                <w:rFonts w:ascii="Times New Roman" w:hAnsi="Times New Roman" w:cs="Times New Roman"/>
                <w:sz w:val="20"/>
                <w:szCs w:val="20"/>
              </w:rPr>
              <w:t>Manufacturing</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239.9</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225.8</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216.8</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190.5</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176.4</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175.9</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178.9</w:t>
            </w:r>
          </w:p>
        </w:tc>
        <w:tc>
          <w:tcPr>
            <w:tcW w:w="758"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180.0</w:t>
            </w:r>
          </w:p>
        </w:tc>
        <w:tc>
          <w:tcPr>
            <w:tcW w:w="756"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170.7</w:t>
            </w:r>
          </w:p>
        </w:tc>
        <w:tc>
          <w:tcPr>
            <w:tcW w:w="1639" w:type="dxa"/>
            <w:tcBorders>
              <w:right w:val="single" w:sz="4" w:space="0" w:color="auto"/>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-28.8</w:t>
            </w:r>
          </w:p>
        </w:tc>
      </w:tr>
      <w:tr w:rsidR="00D04F86" w:rsidRPr="0005126F" w:rsidTr="00067530">
        <w:trPr>
          <w:trHeight w:val="472"/>
        </w:trPr>
        <w:tc>
          <w:tcPr>
            <w:cnfStyle w:val="001000000000" w:firstRow="0" w:lastRow="0" w:firstColumn="1" w:lastColumn="0" w:oddVBand="0" w:evenVBand="0" w:oddHBand="0" w:evenHBand="0" w:firstRowFirstColumn="0" w:firstRowLastColumn="0" w:lastRowFirstColumn="0" w:lastRowLastColumn="0"/>
            <w:tcW w:w="1798" w:type="dxa"/>
            <w:tcBorders>
              <w:left w:val="single" w:sz="4" w:space="0" w:color="auto"/>
            </w:tcBorders>
            <w:shd w:val="clear" w:color="auto" w:fill="FFFFFF" w:themeFill="background1"/>
          </w:tcPr>
          <w:p w:rsidR="00D04F86" w:rsidRPr="00EB07DC" w:rsidRDefault="00D04F86" w:rsidP="00067530">
            <w:pPr>
              <w:spacing w:line="480" w:lineRule="auto"/>
              <w:jc w:val="center"/>
              <w:rPr>
                <w:rFonts w:ascii="Times New Roman" w:hAnsi="Times New Roman" w:cs="Times New Roman"/>
                <w:sz w:val="20"/>
                <w:szCs w:val="20"/>
              </w:rPr>
            </w:pPr>
            <w:r w:rsidRPr="00EB07DC">
              <w:rPr>
                <w:rFonts w:ascii="Times New Roman" w:hAnsi="Times New Roman" w:cs="Times New Roman"/>
                <w:sz w:val="20"/>
                <w:szCs w:val="20"/>
              </w:rPr>
              <w:t>Construction</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34.4</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33.4</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34.8</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42.5</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39.8</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38.6</w:t>
            </w:r>
          </w:p>
        </w:tc>
        <w:tc>
          <w:tcPr>
            <w:tcW w:w="712"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37.8</w:t>
            </w:r>
          </w:p>
        </w:tc>
        <w:tc>
          <w:tcPr>
            <w:tcW w:w="758"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41.3</w:t>
            </w:r>
          </w:p>
        </w:tc>
        <w:tc>
          <w:tcPr>
            <w:tcW w:w="756" w:type="dxa"/>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38.4</w:t>
            </w:r>
          </w:p>
        </w:tc>
        <w:tc>
          <w:tcPr>
            <w:tcW w:w="1639" w:type="dxa"/>
            <w:tcBorders>
              <w:right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11.6</w:t>
            </w:r>
          </w:p>
        </w:tc>
      </w:tr>
      <w:tr w:rsidR="00D04F86" w:rsidRPr="0005126F" w:rsidTr="00067530">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98" w:type="dxa"/>
            <w:tcBorders>
              <w:left w:val="single" w:sz="4" w:space="0" w:color="auto"/>
            </w:tcBorders>
            <w:shd w:val="clear" w:color="auto" w:fill="FFFFFF" w:themeFill="background1"/>
          </w:tcPr>
          <w:p w:rsidR="00D04F86" w:rsidRPr="00EB07DC" w:rsidRDefault="00D04F86" w:rsidP="00067530">
            <w:pPr>
              <w:spacing w:line="480" w:lineRule="auto"/>
              <w:jc w:val="center"/>
              <w:rPr>
                <w:rFonts w:ascii="Times New Roman" w:hAnsi="Times New Roman" w:cs="Times New Roman"/>
                <w:sz w:val="20"/>
                <w:szCs w:val="20"/>
              </w:rPr>
            </w:pPr>
            <w:r w:rsidRPr="00EB07DC">
              <w:rPr>
                <w:rFonts w:ascii="Times New Roman" w:hAnsi="Times New Roman" w:cs="Times New Roman"/>
                <w:sz w:val="20"/>
                <w:szCs w:val="20"/>
              </w:rPr>
              <w:t>Energy</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85.4</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93.3</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84.1</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78.6</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88.8</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87.4</w:t>
            </w:r>
          </w:p>
        </w:tc>
        <w:tc>
          <w:tcPr>
            <w:tcW w:w="712"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74.7</w:t>
            </w:r>
          </w:p>
        </w:tc>
        <w:tc>
          <w:tcPr>
            <w:tcW w:w="758"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75.7</w:t>
            </w:r>
          </w:p>
        </w:tc>
        <w:tc>
          <w:tcPr>
            <w:tcW w:w="756" w:type="dxa"/>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45.8</w:t>
            </w:r>
          </w:p>
        </w:tc>
        <w:tc>
          <w:tcPr>
            <w:tcW w:w="1639" w:type="dxa"/>
            <w:tcBorders>
              <w:right w:val="single" w:sz="4" w:space="0" w:color="auto"/>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-46.4</w:t>
            </w:r>
          </w:p>
        </w:tc>
      </w:tr>
      <w:tr w:rsidR="00D04F86" w:rsidRPr="0005126F" w:rsidTr="00067530">
        <w:trPr>
          <w:trHeight w:val="631"/>
        </w:trPr>
        <w:tc>
          <w:tcPr>
            <w:cnfStyle w:val="001000000000" w:firstRow="0" w:lastRow="0" w:firstColumn="1" w:lastColumn="0" w:oddVBand="0" w:evenVBand="0" w:oddHBand="0" w:evenHBand="0" w:firstRowFirstColumn="0" w:firstRowLastColumn="0" w:lastRowFirstColumn="0" w:lastRowLastColumn="0"/>
            <w:tcW w:w="1798" w:type="dxa"/>
            <w:tcBorders>
              <w:left w:val="single" w:sz="4" w:space="0" w:color="auto"/>
              <w:bottom w:val="single" w:sz="4" w:space="0" w:color="auto"/>
            </w:tcBorders>
            <w:shd w:val="clear" w:color="auto" w:fill="FFFFFF" w:themeFill="background1"/>
          </w:tcPr>
          <w:p w:rsidR="00D04F86" w:rsidRPr="00EB07DC" w:rsidRDefault="00D04F86" w:rsidP="00067530">
            <w:pPr>
              <w:spacing w:line="480" w:lineRule="auto"/>
              <w:jc w:val="center"/>
              <w:rPr>
                <w:rFonts w:ascii="Times New Roman" w:hAnsi="Times New Roman" w:cs="Times New Roman"/>
                <w:sz w:val="20"/>
                <w:szCs w:val="20"/>
              </w:rPr>
            </w:pPr>
            <w:r w:rsidRPr="00EB07DC">
              <w:rPr>
                <w:rFonts w:ascii="Times New Roman" w:hAnsi="Times New Roman" w:cs="Times New Roman"/>
                <w:sz w:val="20"/>
                <w:szCs w:val="20"/>
              </w:rPr>
              <w:t>Other sectors</w:t>
            </w:r>
          </w:p>
        </w:tc>
        <w:tc>
          <w:tcPr>
            <w:tcW w:w="712" w:type="dxa"/>
            <w:tcBorders>
              <w:bottom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97.7</w:t>
            </w:r>
          </w:p>
        </w:tc>
        <w:tc>
          <w:tcPr>
            <w:tcW w:w="712" w:type="dxa"/>
            <w:tcBorders>
              <w:bottom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111.2</w:t>
            </w:r>
          </w:p>
        </w:tc>
        <w:tc>
          <w:tcPr>
            <w:tcW w:w="712" w:type="dxa"/>
            <w:tcBorders>
              <w:bottom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88.8</w:t>
            </w:r>
          </w:p>
        </w:tc>
        <w:tc>
          <w:tcPr>
            <w:tcW w:w="712" w:type="dxa"/>
            <w:tcBorders>
              <w:bottom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102.3</w:t>
            </w:r>
          </w:p>
        </w:tc>
        <w:tc>
          <w:tcPr>
            <w:tcW w:w="712" w:type="dxa"/>
            <w:tcBorders>
              <w:bottom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88.9</w:t>
            </w:r>
          </w:p>
        </w:tc>
        <w:tc>
          <w:tcPr>
            <w:tcW w:w="712" w:type="dxa"/>
            <w:tcBorders>
              <w:bottom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85.1</w:t>
            </w:r>
          </w:p>
        </w:tc>
        <w:tc>
          <w:tcPr>
            <w:tcW w:w="712" w:type="dxa"/>
            <w:tcBorders>
              <w:bottom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88.5</w:t>
            </w:r>
          </w:p>
        </w:tc>
        <w:tc>
          <w:tcPr>
            <w:tcW w:w="758" w:type="dxa"/>
            <w:tcBorders>
              <w:bottom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94.1</w:t>
            </w:r>
          </w:p>
        </w:tc>
        <w:tc>
          <w:tcPr>
            <w:tcW w:w="756" w:type="dxa"/>
            <w:tcBorders>
              <w:bottom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90.6</w:t>
            </w:r>
          </w:p>
        </w:tc>
        <w:tc>
          <w:tcPr>
            <w:tcW w:w="1639" w:type="dxa"/>
            <w:tcBorders>
              <w:bottom w:val="single" w:sz="4" w:space="0" w:color="auto"/>
              <w:right w:val="single" w:sz="4" w:space="0" w:color="auto"/>
            </w:tcBorders>
            <w:shd w:val="clear" w:color="auto" w:fill="FFFFFF" w:themeFill="background1"/>
          </w:tcPr>
          <w:p w:rsidR="00D04F86" w:rsidRPr="0005126F" w:rsidRDefault="00D04F86" w:rsidP="0006753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sz w:val="20"/>
                <w:szCs w:val="20"/>
              </w:rPr>
              <w:t>-7.3</w:t>
            </w:r>
          </w:p>
        </w:tc>
      </w:tr>
      <w:tr w:rsidR="00D04F86" w:rsidRPr="0005126F" w:rsidTr="00067530">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auto"/>
              <w:left w:val="single" w:sz="4" w:space="0" w:color="auto"/>
              <w:bottom w:val="single" w:sz="8" w:space="0" w:color="000000" w:themeColor="text1"/>
            </w:tcBorders>
            <w:shd w:val="clear" w:color="auto" w:fill="FFFFFF" w:themeFill="background1"/>
          </w:tcPr>
          <w:p w:rsidR="00D04F86" w:rsidRPr="00EB07DC" w:rsidRDefault="00D04F86" w:rsidP="00067530">
            <w:pPr>
              <w:spacing w:line="480" w:lineRule="auto"/>
              <w:jc w:val="center"/>
              <w:rPr>
                <w:rFonts w:ascii="Times New Roman" w:hAnsi="Times New Roman" w:cs="Times New Roman"/>
                <w:sz w:val="20"/>
                <w:szCs w:val="20"/>
              </w:rPr>
            </w:pPr>
            <w:r w:rsidRPr="00EB07DC">
              <w:rPr>
                <w:rFonts w:ascii="Times New Roman" w:hAnsi="Times New Roman" w:cs="Times New Roman"/>
                <w:sz w:val="20"/>
                <w:szCs w:val="20"/>
              </w:rPr>
              <w:t>Total</w:t>
            </w:r>
          </w:p>
        </w:tc>
        <w:tc>
          <w:tcPr>
            <w:tcW w:w="712" w:type="dxa"/>
            <w:tcBorders>
              <w:top w:val="single" w:sz="4" w:space="0" w:color="auto"/>
              <w:bottom w:val="single" w:sz="8" w:space="0" w:color="000000" w:themeColor="text1"/>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b/>
                <w:sz w:val="20"/>
                <w:szCs w:val="20"/>
              </w:rPr>
              <w:t>779.5</w:t>
            </w:r>
          </w:p>
        </w:tc>
        <w:tc>
          <w:tcPr>
            <w:tcW w:w="712" w:type="dxa"/>
            <w:tcBorders>
              <w:top w:val="single" w:sz="4" w:space="0" w:color="auto"/>
              <w:bottom w:val="single" w:sz="8" w:space="0" w:color="000000" w:themeColor="text1"/>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b/>
                <w:sz w:val="20"/>
                <w:szCs w:val="20"/>
              </w:rPr>
              <w:t>789.9</w:t>
            </w:r>
          </w:p>
        </w:tc>
        <w:tc>
          <w:tcPr>
            <w:tcW w:w="712" w:type="dxa"/>
            <w:tcBorders>
              <w:top w:val="single" w:sz="4" w:space="0" w:color="auto"/>
              <w:bottom w:val="single" w:sz="8" w:space="0" w:color="000000" w:themeColor="text1"/>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b/>
                <w:sz w:val="20"/>
                <w:szCs w:val="20"/>
              </w:rPr>
              <w:t>760.5</w:t>
            </w:r>
          </w:p>
        </w:tc>
        <w:tc>
          <w:tcPr>
            <w:tcW w:w="712" w:type="dxa"/>
            <w:tcBorders>
              <w:top w:val="single" w:sz="4" w:space="0" w:color="auto"/>
              <w:bottom w:val="single" w:sz="8" w:space="0" w:color="000000" w:themeColor="text1"/>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b/>
                <w:sz w:val="20"/>
                <w:szCs w:val="20"/>
              </w:rPr>
              <w:t>758.7</w:t>
            </w:r>
          </w:p>
        </w:tc>
        <w:tc>
          <w:tcPr>
            <w:tcW w:w="712" w:type="dxa"/>
            <w:tcBorders>
              <w:top w:val="single" w:sz="4" w:space="0" w:color="auto"/>
              <w:bottom w:val="single" w:sz="8" w:space="0" w:color="000000" w:themeColor="text1"/>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b/>
                <w:sz w:val="20"/>
                <w:szCs w:val="20"/>
              </w:rPr>
              <w:t>758.0</w:t>
            </w:r>
          </w:p>
        </w:tc>
        <w:tc>
          <w:tcPr>
            <w:tcW w:w="712" w:type="dxa"/>
            <w:tcBorders>
              <w:top w:val="single" w:sz="4" w:space="0" w:color="auto"/>
              <w:bottom w:val="single" w:sz="8" w:space="0" w:color="000000" w:themeColor="text1"/>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b/>
                <w:sz w:val="20"/>
                <w:szCs w:val="20"/>
              </w:rPr>
              <w:t>769.0</w:t>
            </w:r>
          </w:p>
        </w:tc>
        <w:tc>
          <w:tcPr>
            <w:tcW w:w="712" w:type="dxa"/>
            <w:tcBorders>
              <w:top w:val="single" w:sz="4" w:space="0" w:color="auto"/>
              <w:bottom w:val="single" w:sz="8" w:space="0" w:color="000000" w:themeColor="text1"/>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b/>
                <w:sz w:val="20"/>
                <w:szCs w:val="20"/>
              </w:rPr>
              <w:t>784.7</w:t>
            </w:r>
          </w:p>
        </w:tc>
        <w:tc>
          <w:tcPr>
            <w:tcW w:w="758" w:type="dxa"/>
            <w:tcBorders>
              <w:top w:val="single" w:sz="4" w:space="0" w:color="auto"/>
              <w:bottom w:val="single" w:sz="8" w:space="0" w:color="000000" w:themeColor="text1"/>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b/>
                <w:sz w:val="20"/>
                <w:szCs w:val="20"/>
              </w:rPr>
              <w:t>813.2</w:t>
            </w:r>
          </w:p>
        </w:tc>
        <w:tc>
          <w:tcPr>
            <w:tcW w:w="756" w:type="dxa"/>
            <w:tcBorders>
              <w:top w:val="single" w:sz="4" w:space="0" w:color="auto"/>
              <w:bottom w:val="single" w:sz="8" w:space="0" w:color="000000" w:themeColor="text1"/>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b/>
                <w:sz w:val="20"/>
                <w:szCs w:val="20"/>
              </w:rPr>
              <w:t>780.7</w:t>
            </w:r>
          </w:p>
        </w:tc>
        <w:tc>
          <w:tcPr>
            <w:tcW w:w="1639" w:type="dxa"/>
            <w:tcBorders>
              <w:top w:val="single" w:sz="4" w:space="0" w:color="auto"/>
              <w:bottom w:val="single" w:sz="8" w:space="0" w:color="000000" w:themeColor="text1"/>
              <w:right w:val="single" w:sz="4" w:space="0" w:color="auto"/>
            </w:tcBorders>
            <w:shd w:val="clear" w:color="auto" w:fill="FFFFFF" w:themeFill="background1"/>
          </w:tcPr>
          <w:p w:rsidR="00D04F86" w:rsidRPr="0005126F" w:rsidRDefault="00D04F86" w:rsidP="0006753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26F">
              <w:rPr>
                <w:rFonts w:ascii="Times New Roman" w:hAnsi="Times New Roman" w:cs="Times New Roman"/>
                <w:b/>
                <w:sz w:val="20"/>
                <w:szCs w:val="20"/>
              </w:rPr>
              <w:t>0.2</w:t>
            </w:r>
          </w:p>
        </w:tc>
      </w:tr>
    </w:tbl>
    <w:p w:rsidR="00D04F86" w:rsidRPr="0005126F" w:rsidRDefault="00D04F86" w:rsidP="00D04F86">
      <w:pPr>
        <w:jc w:val="center"/>
        <w:rPr>
          <w:rFonts w:ascii="Times New Roman" w:hAnsi="Times New Roman" w:cs="Times New Roman"/>
          <w:sz w:val="24"/>
          <w:szCs w:val="24"/>
        </w:rPr>
      </w:pPr>
    </w:p>
    <w:p w:rsidR="00D04F86" w:rsidRPr="0005126F" w:rsidRDefault="00D04F86" w:rsidP="00D04F86">
      <w:pPr>
        <w:pStyle w:val="ListParagraph"/>
        <w:ind w:left="360" w:hanging="360"/>
        <w:jc w:val="center"/>
        <w:rPr>
          <w:rFonts w:ascii="Times New Roman" w:hAnsi="Times New Roman" w:cs="Times New Roman"/>
          <w:sz w:val="24"/>
          <w:szCs w:val="24"/>
        </w:rPr>
      </w:pPr>
      <w:proofErr w:type="gramStart"/>
      <w:r>
        <w:rPr>
          <w:rFonts w:ascii="Times New Roman" w:hAnsi="Times New Roman" w:cs="Times New Roman"/>
          <w:sz w:val="24"/>
          <w:szCs w:val="24"/>
        </w:rPr>
        <w:t>Table 2</w:t>
      </w:r>
      <w:r w:rsidRPr="0005126F">
        <w:rPr>
          <w:rFonts w:ascii="Times New Roman" w:hAnsi="Times New Roman" w:cs="Times New Roman"/>
          <w:sz w:val="24"/>
          <w:szCs w:val="24"/>
        </w:rPr>
        <w:t>.</w:t>
      </w:r>
      <w:proofErr w:type="gramEnd"/>
      <w:r w:rsidRPr="0005126F">
        <w:rPr>
          <w:rFonts w:ascii="Times New Roman" w:hAnsi="Times New Roman" w:cs="Times New Roman"/>
          <w:sz w:val="24"/>
          <w:szCs w:val="24"/>
        </w:rPr>
        <w:t xml:space="preserve"> Waste generated in the European Union disbarring extensive mineral waste product, 2004-2020</w:t>
      </w:r>
      <w:r>
        <w:rPr>
          <w:rFonts w:ascii="Times New Roman" w:hAnsi="Times New Roman" w:cs="Times New Roman"/>
          <w:sz w:val="24"/>
          <w:szCs w:val="24"/>
        </w:rPr>
        <w:t xml:space="preserve"> [1]</w:t>
      </w:r>
      <w:r w:rsidRPr="0005126F">
        <w:rPr>
          <w:rFonts w:ascii="Times New Roman" w:hAnsi="Times New Roman" w:cs="Times New Roman"/>
          <w:sz w:val="24"/>
          <w:szCs w:val="24"/>
        </w:rPr>
        <w:t>.</w:t>
      </w:r>
    </w:p>
    <w:tbl>
      <w:tblPr>
        <w:tblStyle w:val="TableGrid"/>
        <w:tblW w:w="9854" w:type="dxa"/>
        <w:tblLook w:val="04A0" w:firstRow="1" w:lastRow="0" w:firstColumn="1" w:lastColumn="0" w:noHBand="0" w:noVBand="1"/>
      </w:tblPr>
      <w:tblGrid>
        <w:gridCol w:w="1408"/>
        <w:gridCol w:w="1337"/>
        <w:gridCol w:w="1314"/>
        <w:gridCol w:w="1366"/>
        <w:gridCol w:w="4429"/>
      </w:tblGrid>
      <w:tr w:rsidR="00D04F86" w:rsidRPr="00C2095B" w:rsidTr="00067530">
        <w:trPr>
          <w:trHeight w:val="680"/>
        </w:trPr>
        <w:tc>
          <w:tcPr>
            <w:tcW w:w="1408" w:type="dxa"/>
            <w:shd w:val="clear" w:color="auto" w:fill="DDD9C3" w:themeFill="background2" w:themeFillShade="E6"/>
          </w:tcPr>
          <w:p w:rsidR="00D04F86" w:rsidRPr="00C2095B" w:rsidRDefault="00D04F86" w:rsidP="00067530">
            <w:pPr>
              <w:rPr>
                <w:rStyle w:val="markedcontent"/>
                <w:rFonts w:ascii="Times New Roman" w:hAnsi="Times New Roman" w:cs="Times New Roman"/>
                <w:b/>
                <w:sz w:val="20"/>
                <w:szCs w:val="20"/>
              </w:rPr>
            </w:pPr>
            <w:r w:rsidRPr="00C2095B">
              <w:rPr>
                <w:rStyle w:val="markedcontent"/>
                <w:rFonts w:ascii="Times New Roman" w:hAnsi="Times New Roman" w:cs="Times New Roman"/>
                <w:b/>
                <w:sz w:val="20"/>
                <w:szCs w:val="20"/>
              </w:rPr>
              <w:t>Baltic States</w:t>
            </w:r>
          </w:p>
        </w:tc>
        <w:tc>
          <w:tcPr>
            <w:tcW w:w="1337" w:type="dxa"/>
            <w:shd w:val="clear" w:color="auto" w:fill="DDD9C3" w:themeFill="background2" w:themeFillShade="E6"/>
          </w:tcPr>
          <w:p w:rsidR="00D04F86" w:rsidRPr="00C2095B" w:rsidRDefault="00D04F86" w:rsidP="00067530">
            <w:pPr>
              <w:rPr>
                <w:rStyle w:val="markedcontent"/>
                <w:rFonts w:ascii="Times New Roman" w:hAnsi="Times New Roman" w:cs="Times New Roman"/>
                <w:b/>
                <w:sz w:val="20"/>
                <w:szCs w:val="20"/>
              </w:rPr>
            </w:pPr>
            <w:r w:rsidRPr="00C2095B">
              <w:rPr>
                <w:rStyle w:val="markedcontent"/>
                <w:rFonts w:ascii="Times New Roman" w:hAnsi="Times New Roman" w:cs="Times New Roman"/>
                <w:b/>
                <w:sz w:val="20"/>
                <w:szCs w:val="20"/>
              </w:rPr>
              <w:t>Plans for furniture waste</w:t>
            </w:r>
          </w:p>
        </w:tc>
        <w:tc>
          <w:tcPr>
            <w:tcW w:w="1314" w:type="dxa"/>
            <w:shd w:val="clear" w:color="auto" w:fill="DDD9C3" w:themeFill="background2" w:themeFillShade="E6"/>
          </w:tcPr>
          <w:p w:rsidR="00D04F86" w:rsidRPr="00C2095B" w:rsidRDefault="00D04F86" w:rsidP="00067530">
            <w:pPr>
              <w:rPr>
                <w:rStyle w:val="markedcontent"/>
                <w:rFonts w:ascii="Times New Roman" w:hAnsi="Times New Roman" w:cs="Times New Roman"/>
                <w:b/>
                <w:sz w:val="20"/>
                <w:szCs w:val="20"/>
              </w:rPr>
            </w:pPr>
            <w:r w:rsidRPr="00C2095B">
              <w:rPr>
                <w:rStyle w:val="markedcontent"/>
                <w:rFonts w:ascii="Times New Roman" w:hAnsi="Times New Roman" w:cs="Times New Roman"/>
                <w:b/>
                <w:sz w:val="20"/>
                <w:szCs w:val="20"/>
              </w:rPr>
              <w:t>Plans for bio-waste</w:t>
            </w:r>
          </w:p>
        </w:tc>
        <w:tc>
          <w:tcPr>
            <w:tcW w:w="1366" w:type="dxa"/>
            <w:shd w:val="clear" w:color="auto" w:fill="DDD9C3" w:themeFill="background2" w:themeFillShade="E6"/>
          </w:tcPr>
          <w:p w:rsidR="00D04F86" w:rsidRPr="00C2095B" w:rsidRDefault="00D04F86" w:rsidP="00067530">
            <w:pPr>
              <w:rPr>
                <w:rStyle w:val="markedcontent"/>
                <w:rFonts w:ascii="Times New Roman" w:hAnsi="Times New Roman" w:cs="Times New Roman"/>
                <w:b/>
                <w:sz w:val="20"/>
                <w:szCs w:val="20"/>
              </w:rPr>
            </w:pPr>
            <w:r w:rsidRPr="00C2095B">
              <w:rPr>
                <w:rStyle w:val="markedcontent"/>
                <w:rFonts w:ascii="Times New Roman" w:hAnsi="Times New Roman" w:cs="Times New Roman"/>
                <w:b/>
                <w:sz w:val="20"/>
                <w:szCs w:val="20"/>
              </w:rPr>
              <w:t>Plans for textile waste</w:t>
            </w:r>
          </w:p>
        </w:tc>
        <w:tc>
          <w:tcPr>
            <w:tcW w:w="4429" w:type="dxa"/>
            <w:shd w:val="clear" w:color="auto" w:fill="DDD9C3" w:themeFill="background2" w:themeFillShade="E6"/>
          </w:tcPr>
          <w:p w:rsidR="00D04F86" w:rsidRPr="00C2095B" w:rsidRDefault="00D04F86" w:rsidP="00067530">
            <w:pPr>
              <w:rPr>
                <w:rStyle w:val="markedcontent"/>
                <w:rFonts w:ascii="Times New Roman" w:hAnsi="Times New Roman" w:cs="Times New Roman"/>
                <w:b/>
                <w:sz w:val="20"/>
                <w:szCs w:val="20"/>
              </w:rPr>
            </w:pPr>
            <w:r w:rsidRPr="00C2095B">
              <w:rPr>
                <w:rStyle w:val="markedcontent"/>
                <w:rFonts w:ascii="Times New Roman" w:hAnsi="Times New Roman" w:cs="Times New Roman"/>
                <w:b/>
                <w:sz w:val="20"/>
                <w:szCs w:val="20"/>
              </w:rPr>
              <w:t>Important Information</w:t>
            </w:r>
          </w:p>
        </w:tc>
      </w:tr>
      <w:tr w:rsidR="00D04F86" w:rsidRPr="00C2095B" w:rsidTr="00067530">
        <w:trPr>
          <w:trHeight w:val="917"/>
        </w:trPr>
        <w:tc>
          <w:tcPr>
            <w:tcW w:w="1408" w:type="dxa"/>
          </w:tcPr>
          <w:p w:rsidR="00D04F86" w:rsidRPr="00C2095B" w:rsidRDefault="00D04F86" w:rsidP="00067530">
            <w:pPr>
              <w:jc w:val="both"/>
              <w:rPr>
                <w:rStyle w:val="markedcontent"/>
                <w:rFonts w:ascii="Times New Roman" w:hAnsi="Times New Roman" w:cs="Times New Roman"/>
                <w:b/>
                <w:sz w:val="20"/>
                <w:szCs w:val="20"/>
              </w:rPr>
            </w:pPr>
            <w:r w:rsidRPr="00C2095B">
              <w:rPr>
                <w:rStyle w:val="markedcontent"/>
                <w:rFonts w:ascii="Times New Roman" w:hAnsi="Times New Roman" w:cs="Times New Roman"/>
                <w:b/>
                <w:sz w:val="20"/>
                <w:szCs w:val="20"/>
              </w:rPr>
              <w:t>Estonia</w:t>
            </w:r>
          </w:p>
        </w:tc>
        <w:tc>
          <w:tcPr>
            <w:tcW w:w="1337" w:type="dxa"/>
          </w:tcPr>
          <w:p w:rsidR="00D04F86" w:rsidRPr="00C2095B" w:rsidRDefault="00D04F86" w:rsidP="00067530">
            <w:pPr>
              <w:jc w:val="center"/>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t>x</w:t>
            </w:r>
          </w:p>
        </w:tc>
        <w:tc>
          <w:tcPr>
            <w:tcW w:w="1314" w:type="dxa"/>
          </w:tcPr>
          <w:p w:rsidR="00D04F86" w:rsidRPr="00C2095B" w:rsidRDefault="00D04F86" w:rsidP="00067530">
            <w:pPr>
              <w:jc w:val="center"/>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sym w:font="Marlett" w:char="F061"/>
            </w:r>
          </w:p>
        </w:tc>
        <w:tc>
          <w:tcPr>
            <w:tcW w:w="1366" w:type="dxa"/>
          </w:tcPr>
          <w:p w:rsidR="00D04F86" w:rsidRPr="00C2095B" w:rsidRDefault="00D04F86" w:rsidP="00067530">
            <w:pPr>
              <w:jc w:val="center"/>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sym w:font="Marlett" w:char="F061"/>
            </w:r>
          </w:p>
        </w:tc>
        <w:tc>
          <w:tcPr>
            <w:tcW w:w="4429" w:type="dxa"/>
          </w:tcPr>
          <w:p w:rsidR="00D04F86" w:rsidRPr="00C2095B" w:rsidRDefault="00D04F86" w:rsidP="00067530">
            <w:pPr>
              <w:pStyle w:val="ListParagraph"/>
              <w:numPr>
                <w:ilvl w:val="0"/>
                <w:numId w:val="11"/>
              </w:numPr>
              <w:ind w:left="155" w:hanging="180"/>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t>According to European Union waste management publications, Estonia plans to upgrade its existing waste management system and reduce domestic solid wastes in 2023.</w:t>
            </w:r>
          </w:p>
        </w:tc>
      </w:tr>
      <w:tr w:rsidR="00D04F86" w:rsidRPr="00C2095B" w:rsidTr="00067530">
        <w:trPr>
          <w:trHeight w:val="809"/>
        </w:trPr>
        <w:tc>
          <w:tcPr>
            <w:tcW w:w="1408" w:type="dxa"/>
          </w:tcPr>
          <w:p w:rsidR="00D04F86" w:rsidRPr="00C2095B" w:rsidRDefault="00D04F86" w:rsidP="00067530">
            <w:pPr>
              <w:jc w:val="both"/>
              <w:rPr>
                <w:rStyle w:val="markedcontent"/>
                <w:rFonts w:ascii="Times New Roman" w:hAnsi="Times New Roman" w:cs="Times New Roman"/>
                <w:b/>
                <w:sz w:val="20"/>
                <w:szCs w:val="20"/>
              </w:rPr>
            </w:pPr>
            <w:r w:rsidRPr="00C2095B">
              <w:rPr>
                <w:rStyle w:val="markedcontent"/>
                <w:rFonts w:ascii="Times New Roman" w:hAnsi="Times New Roman" w:cs="Times New Roman"/>
                <w:b/>
                <w:sz w:val="20"/>
                <w:szCs w:val="20"/>
              </w:rPr>
              <w:t>Latvia</w:t>
            </w:r>
          </w:p>
        </w:tc>
        <w:tc>
          <w:tcPr>
            <w:tcW w:w="1337" w:type="dxa"/>
          </w:tcPr>
          <w:p w:rsidR="00D04F86" w:rsidRPr="00C2095B" w:rsidRDefault="00D04F86" w:rsidP="00067530">
            <w:pPr>
              <w:jc w:val="center"/>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sym w:font="Marlett" w:char="F061"/>
            </w:r>
          </w:p>
        </w:tc>
        <w:tc>
          <w:tcPr>
            <w:tcW w:w="1314" w:type="dxa"/>
          </w:tcPr>
          <w:p w:rsidR="00D04F86" w:rsidRPr="00C2095B" w:rsidRDefault="00D04F86" w:rsidP="00067530">
            <w:pPr>
              <w:jc w:val="center"/>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sym w:font="Marlett" w:char="F061"/>
            </w:r>
          </w:p>
        </w:tc>
        <w:tc>
          <w:tcPr>
            <w:tcW w:w="1366" w:type="dxa"/>
          </w:tcPr>
          <w:p w:rsidR="00D04F86" w:rsidRPr="00C2095B" w:rsidRDefault="00D04F86" w:rsidP="00067530">
            <w:pPr>
              <w:jc w:val="center"/>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sym w:font="Marlett" w:char="F061"/>
            </w:r>
          </w:p>
        </w:tc>
        <w:tc>
          <w:tcPr>
            <w:tcW w:w="4429" w:type="dxa"/>
          </w:tcPr>
          <w:p w:rsidR="00D04F86" w:rsidRPr="00C2095B" w:rsidRDefault="00D04F86" w:rsidP="00067530">
            <w:pPr>
              <w:pStyle w:val="ListParagraph"/>
              <w:numPr>
                <w:ilvl w:val="0"/>
                <w:numId w:val="11"/>
              </w:numPr>
              <w:ind w:left="155" w:hanging="180"/>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t>Latvian local governments in collaboration with waste management sector determine to prioritize separate collection of bio-degradable waste in 2023.</w:t>
            </w:r>
          </w:p>
        </w:tc>
      </w:tr>
      <w:tr w:rsidR="00D04F86" w:rsidRPr="00C2095B" w:rsidTr="00067530">
        <w:trPr>
          <w:trHeight w:val="1844"/>
        </w:trPr>
        <w:tc>
          <w:tcPr>
            <w:tcW w:w="1408" w:type="dxa"/>
          </w:tcPr>
          <w:p w:rsidR="00D04F86" w:rsidRPr="00C2095B" w:rsidRDefault="00D04F86" w:rsidP="00067530">
            <w:pPr>
              <w:jc w:val="both"/>
              <w:rPr>
                <w:rStyle w:val="markedcontent"/>
                <w:rFonts w:ascii="Times New Roman" w:hAnsi="Times New Roman" w:cs="Times New Roman"/>
                <w:b/>
                <w:sz w:val="20"/>
                <w:szCs w:val="20"/>
              </w:rPr>
            </w:pPr>
            <w:r w:rsidRPr="00C2095B">
              <w:rPr>
                <w:rStyle w:val="markedcontent"/>
                <w:rFonts w:ascii="Times New Roman" w:hAnsi="Times New Roman" w:cs="Times New Roman"/>
                <w:b/>
                <w:sz w:val="20"/>
                <w:szCs w:val="20"/>
              </w:rPr>
              <w:t>Lithuania</w:t>
            </w:r>
          </w:p>
        </w:tc>
        <w:tc>
          <w:tcPr>
            <w:tcW w:w="1337" w:type="dxa"/>
          </w:tcPr>
          <w:p w:rsidR="00D04F86" w:rsidRPr="00C2095B" w:rsidRDefault="00D04F86" w:rsidP="00067530">
            <w:pPr>
              <w:jc w:val="center"/>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sym w:font="Marlett" w:char="F061"/>
            </w:r>
          </w:p>
        </w:tc>
        <w:tc>
          <w:tcPr>
            <w:tcW w:w="1314" w:type="dxa"/>
          </w:tcPr>
          <w:p w:rsidR="00D04F86" w:rsidRPr="00C2095B" w:rsidRDefault="00D04F86" w:rsidP="00067530">
            <w:pPr>
              <w:jc w:val="center"/>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sym w:font="Marlett" w:char="F061"/>
            </w:r>
          </w:p>
        </w:tc>
        <w:tc>
          <w:tcPr>
            <w:tcW w:w="1366" w:type="dxa"/>
          </w:tcPr>
          <w:p w:rsidR="00D04F86" w:rsidRPr="00C2095B" w:rsidRDefault="00D04F86" w:rsidP="00067530">
            <w:pPr>
              <w:jc w:val="center"/>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sym w:font="Marlett" w:char="F061"/>
            </w:r>
          </w:p>
        </w:tc>
        <w:tc>
          <w:tcPr>
            <w:tcW w:w="4429" w:type="dxa"/>
          </w:tcPr>
          <w:p w:rsidR="00D04F86" w:rsidRPr="00C2095B" w:rsidRDefault="00D04F86" w:rsidP="00067530">
            <w:pPr>
              <w:jc w:val="both"/>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t>-  Lithuanian government has increased the number of containers for the collection of textile wastes.</w:t>
            </w:r>
          </w:p>
          <w:p w:rsidR="00D04F86" w:rsidRPr="00C2095B" w:rsidRDefault="00D04F86" w:rsidP="00067530">
            <w:pPr>
              <w:jc w:val="both"/>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t>-  Approximately €70 million European Union fund is allocated to waste recycling and re-use sector.</w:t>
            </w:r>
          </w:p>
          <w:p w:rsidR="00D04F86" w:rsidRPr="00C2095B" w:rsidRDefault="00D04F86" w:rsidP="00067530">
            <w:pPr>
              <w:jc w:val="both"/>
              <w:rPr>
                <w:rStyle w:val="markedcontent"/>
                <w:rFonts w:ascii="Times New Roman" w:hAnsi="Times New Roman" w:cs="Times New Roman"/>
                <w:sz w:val="20"/>
                <w:szCs w:val="20"/>
              </w:rPr>
            </w:pPr>
            <w:r w:rsidRPr="00C2095B">
              <w:rPr>
                <w:rStyle w:val="markedcontent"/>
                <w:rFonts w:ascii="Times New Roman" w:hAnsi="Times New Roman" w:cs="Times New Roman"/>
                <w:sz w:val="20"/>
                <w:szCs w:val="20"/>
              </w:rPr>
              <w:t>-  Lithuanian government is planning to provide urge waste collection site for citizen across municipalities to ensure proper collection of textile and furniture wastes by the of 2023</w:t>
            </w:r>
          </w:p>
        </w:tc>
      </w:tr>
    </w:tbl>
    <w:p w:rsidR="00D04F86" w:rsidRPr="00C2095B" w:rsidRDefault="00D04F86" w:rsidP="00D04F86">
      <w:pPr>
        <w:pStyle w:val="ListParagraph"/>
        <w:ind w:left="360" w:hanging="360"/>
        <w:rPr>
          <w:rFonts w:ascii="Times New Roman" w:hAnsi="Times New Roman" w:cs="Times New Roman"/>
          <w:sz w:val="20"/>
          <w:szCs w:val="20"/>
        </w:rPr>
      </w:pPr>
    </w:p>
    <w:p w:rsidR="00D04F86" w:rsidRPr="002B00DE" w:rsidRDefault="00D04F86" w:rsidP="00D04F86">
      <w:pPr>
        <w:pStyle w:val="ListParagraph"/>
        <w:ind w:left="360" w:hanging="360"/>
        <w:jc w:val="center"/>
        <w:rPr>
          <w:rFonts w:ascii="Times New Roman" w:hAnsi="Times New Roman" w:cs="Times New Roman"/>
          <w:sz w:val="24"/>
          <w:szCs w:val="24"/>
        </w:rPr>
      </w:pPr>
      <w:proofErr w:type="gramStart"/>
      <w:r w:rsidRPr="002B00DE">
        <w:rPr>
          <w:rStyle w:val="markedcontent"/>
          <w:rFonts w:ascii="Times New Roman" w:hAnsi="Times New Roman" w:cs="Times New Roman"/>
          <w:sz w:val="24"/>
          <w:szCs w:val="24"/>
        </w:rPr>
        <w:t>Table 3.</w:t>
      </w:r>
      <w:proofErr w:type="gramEnd"/>
      <w:r w:rsidRPr="002B00DE">
        <w:rPr>
          <w:rStyle w:val="markedcontent"/>
          <w:rFonts w:ascii="Times New Roman" w:hAnsi="Times New Roman" w:cs="Times New Roman"/>
          <w:sz w:val="24"/>
          <w:szCs w:val="24"/>
        </w:rPr>
        <w:t xml:space="preserve"> Baltic States future plans for waste management system</w:t>
      </w:r>
    </w:p>
    <w:sectPr w:rsidR="00D04F86" w:rsidRPr="002B0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327E3"/>
    <w:multiLevelType w:val="hybridMultilevel"/>
    <w:tmpl w:val="C994E0EE"/>
    <w:lvl w:ilvl="0" w:tplc="17B6F7C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51F01"/>
    <w:multiLevelType w:val="hybridMultilevel"/>
    <w:tmpl w:val="255A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EEB2E1B"/>
    <w:multiLevelType w:val="hybridMultilevel"/>
    <w:tmpl w:val="7C44A8A4"/>
    <w:lvl w:ilvl="0" w:tplc="1E1EB7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D52FB"/>
    <w:multiLevelType w:val="hybridMultilevel"/>
    <w:tmpl w:val="4BD4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3854C8"/>
    <w:multiLevelType w:val="hybridMultilevel"/>
    <w:tmpl w:val="72A0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60CAD"/>
    <w:multiLevelType w:val="multilevel"/>
    <w:tmpl w:val="088A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976939"/>
    <w:multiLevelType w:val="hybridMultilevel"/>
    <w:tmpl w:val="0856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2B4A97"/>
    <w:multiLevelType w:val="hybridMultilevel"/>
    <w:tmpl w:val="79BA4E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66C4B"/>
    <w:multiLevelType w:val="hybridMultilevel"/>
    <w:tmpl w:val="7D6C0B20"/>
    <w:lvl w:ilvl="0" w:tplc="1E1EB7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2541AE"/>
    <w:multiLevelType w:val="multilevel"/>
    <w:tmpl w:val="EFB0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3830C5"/>
    <w:multiLevelType w:val="multilevel"/>
    <w:tmpl w:val="61DA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D6366"/>
    <w:multiLevelType w:val="hybridMultilevel"/>
    <w:tmpl w:val="16A08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51D77"/>
    <w:multiLevelType w:val="hybridMultilevel"/>
    <w:tmpl w:val="E79A7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F54648"/>
    <w:multiLevelType w:val="multilevel"/>
    <w:tmpl w:val="1C3E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601786"/>
    <w:multiLevelType w:val="multilevel"/>
    <w:tmpl w:val="6822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882436"/>
    <w:multiLevelType w:val="hybridMultilevel"/>
    <w:tmpl w:val="A6F0C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11"/>
  </w:num>
  <w:num w:numId="5">
    <w:abstractNumId w:val="4"/>
  </w:num>
  <w:num w:numId="6">
    <w:abstractNumId w:val="6"/>
  </w:num>
  <w:num w:numId="7">
    <w:abstractNumId w:val="12"/>
  </w:num>
  <w:num w:numId="8">
    <w:abstractNumId w:val="2"/>
  </w:num>
  <w:num w:numId="9">
    <w:abstractNumId w:val="15"/>
  </w:num>
  <w:num w:numId="10">
    <w:abstractNumId w:val="0"/>
  </w:num>
  <w:num w:numId="11">
    <w:abstractNumId w:val="8"/>
  </w:num>
  <w:num w:numId="12">
    <w:abstractNumId w:val="14"/>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12"/>
    <w:rsid w:val="00011236"/>
    <w:rsid w:val="00016A05"/>
    <w:rsid w:val="00025E1D"/>
    <w:rsid w:val="00042B37"/>
    <w:rsid w:val="00064AF7"/>
    <w:rsid w:val="00087BBC"/>
    <w:rsid w:val="000A185C"/>
    <w:rsid w:val="000C2F7C"/>
    <w:rsid w:val="000D0C33"/>
    <w:rsid w:val="000D3F50"/>
    <w:rsid w:val="000D4108"/>
    <w:rsid w:val="000E4BB8"/>
    <w:rsid w:val="000E7B10"/>
    <w:rsid w:val="00117938"/>
    <w:rsid w:val="00120718"/>
    <w:rsid w:val="001354B9"/>
    <w:rsid w:val="00166997"/>
    <w:rsid w:val="001960BE"/>
    <w:rsid w:val="001A7C6F"/>
    <w:rsid w:val="001B5CB8"/>
    <w:rsid w:val="001D469B"/>
    <w:rsid w:val="001D7AF9"/>
    <w:rsid w:val="001E341A"/>
    <w:rsid w:val="001E66F4"/>
    <w:rsid w:val="001E744B"/>
    <w:rsid w:val="001F590C"/>
    <w:rsid w:val="00206F0E"/>
    <w:rsid w:val="00210238"/>
    <w:rsid w:val="00220923"/>
    <w:rsid w:val="00223E40"/>
    <w:rsid w:val="00223EDC"/>
    <w:rsid w:val="00257EF1"/>
    <w:rsid w:val="0027020C"/>
    <w:rsid w:val="00270973"/>
    <w:rsid w:val="00275A7D"/>
    <w:rsid w:val="0027643F"/>
    <w:rsid w:val="002928F9"/>
    <w:rsid w:val="00293707"/>
    <w:rsid w:val="002965E3"/>
    <w:rsid w:val="002B00DE"/>
    <w:rsid w:val="002B7D0A"/>
    <w:rsid w:val="002D7A1F"/>
    <w:rsid w:val="002F1DED"/>
    <w:rsid w:val="00305AF2"/>
    <w:rsid w:val="0032153E"/>
    <w:rsid w:val="003373E4"/>
    <w:rsid w:val="00364397"/>
    <w:rsid w:val="003748F7"/>
    <w:rsid w:val="0038295B"/>
    <w:rsid w:val="003842D7"/>
    <w:rsid w:val="00386AC8"/>
    <w:rsid w:val="00390F80"/>
    <w:rsid w:val="003A68D9"/>
    <w:rsid w:val="003A796E"/>
    <w:rsid w:val="003B22D5"/>
    <w:rsid w:val="003B27BC"/>
    <w:rsid w:val="003D19CC"/>
    <w:rsid w:val="00435912"/>
    <w:rsid w:val="00460FB3"/>
    <w:rsid w:val="004A1A1A"/>
    <w:rsid w:val="004A4E0D"/>
    <w:rsid w:val="004D2C8A"/>
    <w:rsid w:val="004E2034"/>
    <w:rsid w:val="004F2E6D"/>
    <w:rsid w:val="004F7E5A"/>
    <w:rsid w:val="00513785"/>
    <w:rsid w:val="00525C5E"/>
    <w:rsid w:val="005375DB"/>
    <w:rsid w:val="00545C4D"/>
    <w:rsid w:val="00546B61"/>
    <w:rsid w:val="00561DAE"/>
    <w:rsid w:val="0057114B"/>
    <w:rsid w:val="00586D8E"/>
    <w:rsid w:val="005A2F18"/>
    <w:rsid w:val="005B2E41"/>
    <w:rsid w:val="005B65F7"/>
    <w:rsid w:val="005C08C5"/>
    <w:rsid w:val="005D2D4D"/>
    <w:rsid w:val="005D5D31"/>
    <w:rsid w:val="005F25B8"/>
    <w:rsid w:val="005F71E3"/>
    <w:rsid w:val="00640CDF"/>
    <w:rsid w:val="00680EBB"/>
    <w:rsid w:val="006937B1"/>
    <w:rsid w:val="00693BAF"/>
    <w:rsid w:val="006968B6"/>
    <w:rsid w:val="006B3D41"/>
    <w:rsid w:val="006B6C2D"/>
    <w:rsid w:val="006C50C8"/>
    <w:rsid w:val="006D603E"/>
    <w:rsid w:val="006F23C5"/>
    <w:rsid w:val="006F3A91"/>
    <w:rsid w:val="007121DF"/>
    <w:rsid w:val="00715DC1"/>
    <w:rsid w:val="0072116E"/>
    <w:rsid w:val="00723E75"/>
    <w:rsid w:val="00724B61"/>
    <w:rsid w:val="00735333"/>
    <w:rsid w:val="00746297"/>
    <w:rsid w:val="00746CA3"/>
    <w:rsid w:val="0076350B"/>
    <w:rsid w:val="007A36D2"/>
    <w:rsid w:val="007B50D0"/>
    <w:rsid w:val="007E0925"/>
    <w:rsid w:val="00805FD1"/>
    <w:rsid w:val="0083122D"/>
    <w:rsid w:val="008413E3"/>
    <w:rsid w:val="0084586B"/>
    <w:rsid w:val="008466A9"/>
    <w:rsid w:val="008518C3"/>
    <w:rsid w:val="0086765A"/>
    <w:rsid w:val="008679C0"/>
    <w:rsid w:val="008857B3"/>
    <w:rsid w:val="00885826"/>
    <w:rsid w:val="00887D24"/>
    <w:rsid w:val="008C034A"/>
    <w:rsid w:val="008D4548"/>
    <w:rsid w:val="008F48DD"/>
    <w:rsid w:val="00913B7C"/>
    <w:rsid w:val="009272BF"/>
    <w:rsid w:val="009274B8"/>
    <w:rsid w:val="00930798"/>
    <w:rsid w:val="009318D0"/>
    <w:rsid w:val="009348DA"/>
    <w:rsid w:val="0095631E"/>
    <w:rsid w:val="00963A01"/>
    <w:rsid w:val="009643C1"/>
    <w:rsid w:val="00965AD6"/>
    <w:rsid w:val="0097034F"/>
    <w:rsid w:val="0099402D"/>
    <w:rsid w:val="00996EE3"/>
    <w:rsid w:val="009972B0"/>
    <w:rsid w:val="009A4DAD"/>
    <w:rsid w:val="009B5F05"/>
    <w:rsid w:val="009C2ADA"/>
    <w:rsid w:val="009F2111"/>
    <w:rsid w:val="009F58E2"/>
    <w:rsid w:val="00A1046E"/>
    <w:rsid w:val="00A43229"/>
    <w:rsid w:val="00A4480C"/>
    <w:rsid w:val="00A62513"/>
    <w:rsid w:val="00A62BD2"/>
    <w:rsid w:val="00A63D74"/>
    <w:rsid w:val="00A90B6A"/>
    <w:rsid w:val="00A97A88"/>
    <w:rsid w:val="00A97B59"/>
    <w:rsid w:val="00AA4BB0"/>
    <w:rsid w:val="00AB4C0C"/>
    <w:rsid w:val="00AD32BB"/>
    <w:rsid w:val="00AD7DAB"/>
    <w:rsid w:val="00AE232C"/>
    <w:rsid w:val="00AE395E"/>
    <w:rsid w:val="00AE6E39"/>
    <w:rsid w:val="00AF4903"/>
    <w:rsid w:val="00B00E01"/>
    <w:rsid w:val="00B0668F"/>
    <w:rsid w:val="00B07678"/>
    <w:rsid w:val="00B137AD"/>
    <w:rsid w:val="00B2129D"/>
    <w:rsid w:val="00B267E7"/>
    <w:rsid w:val="00B312AB"/>
    <w:rsid w:val="00B401A7"/>
    <w:rsid w:val="00B65082"/>
    <w:rsid w:val="00B65DC7"/>
    <w:rsid w:val="00B672FE"/>
    <w:rsid w:val="00B70469"/>
    <w:rsid w:val="00B7704D"/>
    <w:rsid w:val="00B82FB3"/>
    <w:rsid w:val="00B87732"/>
    <w:rsid w:val="00B94824"/>
    <w:rsid w:val="00BA0023"/>
    <w:rsid w:val="00BB7839"/>
    <w:rsid w:val="00BD3A12"/>
    <w:rsid w:val="00BD6308"/>
    <w:rsid w:val="00BE729A"/>
    <w:rsid w:val="00C2095B"/>
    <w:rsid w:val="00C4405C"/>
    <w:rsid w:val="00C52294"/>
    <w:rsid w:val="00C87478"/>
    <w:rsid w:val="00CA7BB6"/>
    <w:rsid w:val="00CB0D32"/>
    <w:rsid w:val="00CB4255"/>
    <w:rsid w:val="00CC1786"/>
    <w:rsid w:val="00CC1CF2"/>
    <w:rsid w:val="00CC6172"/>
    <w:rsid w:val="00D041D2"/>
    <w:rsid w:val="00D04F86"/>
    <w:rsid w:val="00D07850"/>
    <w:rsid w:val="00D12BB0"/>
    <w:rsid w:val="00D15F54"/>
    <w:rsid w:val="00D1604D"/>
    <w:rsid w:val="00D16F15"/>
    <w:rsid w:val="00D24E92"/>
    <w:rsid w:val="00D274D0"/>
    <w:rsid w:val="00D33660"/>
    <w:rsid w:val="00D55865"/>
    <w:rsid w:val="00D72C0B"/>
    <w:rsid w:val="00D74E89"/>
    <w:rsid w:val="00D824E8"/>
    <w:rsid w:val="00D859C6"/>
    <w:rsid w:val="00D872F6"/>
    <w:rsid w:val="00D8798E"/>
    <w:rsid w:val="00DB49C5"/>
    <w:rsid w:val="00DB62C0"/>
    <w:rsid w:val="00DC3164"/>
    <w:rsid w:val="00DD0C97"/>
    <w:rsid w:val="00DD27E2"/>
    <w:rsid w:val="00DF0B4B"/>
    <w:rsid w:val="00E213D1"/>
    <w:rsid w:val="00E23496"/>
    <w:rsid w:val="00E560AB"/>
    <w:rsid w:val="00E723D0"/>
    <w:rsid w:val="00E726CC"/>
    <w:rsid w:val="00E829A3"/>
    <w:rsid w:val="00EA255B"/>
    <w:rsid w:val="00EA2A3B"/>
    <w:rsid w:val="00EB3DEC"/>
    <w:rsid w:val="00F00A8B"/>
    <w:rsid w:val="00F11D7B"/>
    <w:rsid w:val="00F1209A"/>
    <w:rsid w:val="00F30EB4"/>
    <w:rsid w:val="00F32B93"/>
    <w:rsid w:val="00F3555C"/>
    <w:rsid w:val="00F40F15"/>
    <w:rsid w:val="00F45401"/>
    <w:rsid w:val="00F54117"/>
    <w:rsid w:val="00F577FA"/>
    <w:rsid w:val="00F6461C"/>
    <w:rsid w:val="00F65C67"/>
    <w:rsid w:val="00F67A87"/>
    <w:rsid w:val="00F7140A"/>
    <w:rsid w:val="00F71CE1"/>
    <w:rsid w:val="00F73862"/>
    <w:rsid w:val="00F82D97"/>
    <w:rsid w:val="00FA50E5"/>
    <w:rsid w:val="00FA5E9F"/>
    <w:rsid w:val="00FB0EDD"/>
    <w:rsid w:val="00FE5E12"/>
    <w:rsid w:val="00FF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4B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34F"/>
    <w:rPr>
      <w:color w:val="0000FF"/>
      <w:u w:val="single"/>
    </w:rPr>
  </w:style>
  <w:style w:type="paragraph" w:styleId="ListParagraph">
    <w:name w:val="List Paragraph"/>
    <w:basedOn w:val="Normal"/>
    <w:uiPriority w:val="34"/>
    <w:qFormat/>
    <w:rsid w:val="0097034F"/>
    <w:pPr>
      <w:ind w:left="720"/>
      <w:contextualSpacing/>
    </w:pPr>
  </w:style>
  <w:style w:type="character" w:customStyle="1" w:styleId="Heading2Char">
    <w:name w:val="Heading 2 Char"/>
    <w:basedOn w:val="DefaultParagraphFont"/>
    <w:link w:val="Heading2"/>
    <w:uiPriority w:val="9"/>
    <w:rsid w:val="00AA4BB0"/>
    <w:rPr>
      <w:rFonts w:ascii="Times New Roman" w:eastAsia="Times New Roman" w:hAnsi="Times New Roman" w:cs="Times New Roman"/>
      <w:b/>
      <w:bCs/>
      <w:sz w:val="36"/>
      <w:szCs w:val="36"/>
    </w:rPr>
  </w:style>
  <w:style w:type="character" w:customStyle="1" w:styleId="markedcontent">
    <w:name w:val="markedcontent"/>
    <w:basedOn w:val="DefaultParagraphFont"/>
    <w:rsid w:val="00AA4BB0"/>
  </w:style>
  <w:style w:type="paragraph" w:styleId="BalloonText">
    <w:name w:val="Balloon Text"/>
    <w:basedOn w:val="Normal"/>
    <w:link w:val="BalloonTextChar"/>
    <w:uiPriority w:val="99"/>
    <w:semiHidden/>
    <w:unhideWhenUsed/>
    <w:rsid w:val="00223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E40"/>
    <w:rPr>
      <w:rFonts w:ascii="Tahoma" w:hAnsi="Tahoma" w:cs="Tahoma"/>
      <w:sz w:val="16"/>
      <w:szCs w:val="16"/>
    </w:rPr>
  </w:style>
  <w:style w:type="table" w:styleId="LightShading">
    <w:name w:val="Light Shading"/>
    <w:basedOn w:val="TableNormal"/>
    <w:uiPriority w:val="60"/>
    <w:rsid w:val="00AE232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1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3E3"/>
    <w:rPr>
      <w:b/>
      <w:bCs/>
    </w:rPr>
  </w:style>
  <w:style w:type="character" w:styleId="Emphasis">
    <w:name w:val="Emphasis"/>
    <w:basedOn w:val="DefaultParagraphFont"/>
    <w:uiPriority w:val="20"/>
    <w:qFormat/>
    <w:rsid w:val="001354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4B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34F"/>
    <w:rPr>
      <w:color w:val="0000FF"/>
      <w:u w:val="single"/>
    </w:rPr>
  </w:style>
  <w:style w:type="paragraph" w:styleId="ListParagraph">
    <w:name w:val="List Paragraph"/>
    <w:basedOn w:val="Normal"/>
    <w:uiPriority w:val="34"/>
    <w:qFormat/>
    <w:rsid w:val="0097034F"/>
    <w:pPr>
      <w:ind w:left="720"/>
      <w:contextualSpacing/>
    </w:pPr>
  </w:style>
  <w:style w:type="character" w:customStyle="1" w:styleId="Heading2Char">
    <w:name w:val="Heading 2 Char"/>
    <w:basedOn w:val="DefaultParagraphFont"/>
    <w:link w:val="Heading2"/>
    <w:uiPriority w:val="9"/>
    <w:rsid w:val="00AA4BB0"/>
    <w:rPr>
      <w:rFonts w:ascii="Times New Roman" w:eastAsia="Times New Roman" w:hAnsi="Times New Roman" w:cs="Times New Roman"/>
      <w:b/>
      <w:bCs/>
      <w:sz w:val="36"/>
      <w:szCs w:val="36"/>
    </w:rPr>
  </w:style>
  <w:style w:type="character" w:customStyle="1" w:styleId="markedcontent">
    <w:name w:val="markedcontent"/>
    <w:basedOn w:val="DefaultParagraphFont"/>
    <w:rsid w:val="00AA4BB0"/>
  </w:style>
  <w:style w:type="paragraph" w:styleId="BalloonText">
    <w:name w:val="Balloon Text"/>
    <w:basedOn w:val="Normal"/>
    <w:link w:val="BalloonTextChar"/>
    <w:uiPriority w:val="99"/>
    <w:semiHidden/>
    <w:unhideWhenUsed/>
    <w:rsid w:val="00223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E40"/>
    <w:rPr>
      <w:rFonts w:ascii="Tahoma" w:hAnsi="Tahoma" w:cs="Tahoma"/>
      <w:sz w:val="16"/>
      <w:szCs w:val="16"/>
    </w:rPr>
  </w:style>
  <w:style w:type="table" w:styleId="LightShading">
    <w:name w:val="Light Shading"/>
    <w:basedOn w:val="TableNormal"/>
    <w:uiPriority w:val="60"/>
    <w:rsid w:val="00AE232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1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3E3"/>
    <w:rPr>
      <w:b/>
      <w:bCs/>
    </w:rPr>
  </w:style>
  <w:style w:type="character" w:styleId="Emphasis">
    <w:name w:val="Emphasis"/>
    <w:basedOn w:val="DefaultParagraphFont"/>
    <w:uiPriority w:val="20"/>
    <w:qFormat/>
    <w:rsid w:val="001354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921">
      <w:bodyDiv w:val="1"/>
      <w:marLeft w:val="0"/>
      <w:marRight w:val="0"/>
      <w:marTop w:val="0"/>
      <w:marBottom w:val="0"/>
      <w:divBdr>
        <w:top w:val="none" w:sz="0" w:space="0" w:color="auto"/>
        <w:left w:val="none" w:sz="0" w:space="0" w:color="auto"/>
        <w:bottom w:val="none" w:sz="0" w:space="0" w:color="auto"/>
        <w:right w:val="none" w:sz="0" w:space="0" w:color="auto"/>
      </w:divBdr>
    </w:div>
    <w:div w:id="64568185">
      <w:bodyDiv w:val="1"/>
      <w:marLeft w:val="0"/>
      <w:marRight w:val="0"/>
      <w:marTop w:val="0"/>
      <w:marBottom w:val="0"/>
      <w:divBdr>
        <w:top w:val="none" w:sz="0" w:space="0" w:color="auto"/>
        <w:left w:val="none" w:sz="0" w:space="0" w:color="auto"/>
        <w:bottom w:val="none" w:sz="0" w:space="0" w:color="auto"/>
        <w:right w:val="none" w:sz="0" w:space="0" w:color="auto"/>
      </w:divBdr>
    </w:div>
    <w:div w:id="113327857">
      <w:bodyDiv w:val="1"/>
      <w:marLeft w:val="0"/>
      <w:marRight w:val="0"/>
      <w:marTop w:val="0"/>
      <w:marBottom w:val="0"/>
      <w:divBdr>
        <w:top w:val="none" w:sz="0" w:space="0" w:color="auto"/>
        <w:left w:val="none" w:sz="0" w:space="0" w:color="auto"/>
        <w:bottom w:val="none" w:sz="0" w:space="0" w:color="auto"/>
        <w:right w:val="none" w:sz="0" w:space="0" w:color="auto"/>
      </w:divBdr>
    </w:div>
    <w:div w:id="118186994">
      <w:bodyDiv w:val="1"/>
      <w:marLeft w:val="0"/>
      <w:marRight w:val="0"/>
      <w:marTop w:val="0"/>
      <w:marBottom w:val="0"/>
      <w:divBdr>
        <w:top w:val="none" w:sz="0" w:space="0" w:color="auto"/>
        <w:left w:val="none" w:sz="0" w:space="0" w:color="auto"/>
        <w:bottom w:val="none" w:sz="0" w:space="0" w:color="auto"/>
        <w:right w:val="none" w:sz="0" w:space="0" w:color="auto"/>
      </w:divBdr>
    </w:div>
    <w:div w:id="242497807">
      <w:bodyDiv w:val="1"/>
      <w:marLeft w:val="0"/>
      <w:marRight w:val="0"/>
      <w:marTop w:val="0"/>
      <w:marBottom w:val="0"/>
      <w:divBdr>
        <w:top w:val="none" w:sz="0" w:space="0" w:color="auto"/>
        <w:left w:val="none" w:sz="0" w:space="0" w:color="auto"/>
        <w:bottom w:val="none" w:sz="0" w:space="0" w:color="auto"/>
        <w:right w:val="none" w:sz="0" w:space="0" w:color="auto"/>
      </w:divBdr>
    </w:div>
    <w:div w:id="246574014">
      <w:bodyDiv w:val="1"/>
      <w:marLeft w:val="0"/>
      <w:marRight w:val="0"/>
      <w:marTop w:val="0"/>
      <w:marBottom w:val="0"/>
      <w:divBdr>
        <w:top w:val="none" w:sz="0" w:space="0" w:color="auto"/>
        <w:left w:val="none" w:sz="0" w:space="0" w:color="auto"/>
        <w:bottom w:val="none" w:sz="0" w:space="0" w:color="auto"/>
        <w:right w:val="none" w:sz="0" w:space="0" w:color="auto"/>
      </w:divBdr>
    </w:div>
    <w:div w:id="344669674">
      <w:bodyDiv w:val="1"/>
      <w:marLeft w:val="0"/>
      <w:marRight w:val="0"/>
      <w:marTop w:val="0"/>
      <w:marBottom w:val="0"/>
      <w:divBdr>
        <w:top w:val="none" w:sz="0" w:space="0" w:color="auto"/>
        <w:left w:val="none" w:sz="0" w:space="0" w:color="auto"/>
        <w:bottom w:val="none" w:sz="0" w:space="0" w:color="auto"/>
        <w:right w:val="none" w:sz="0" w:space="0" w:color="auto"/>
      </w:divBdr>
    </w:div>
    <w:div w:id="388724797">
      <w:bodyDiv w:val="1"/>
      <w:marLeft w:val="0"/>
      <w:marRight w:val="0"/>
      <w:marTop w:val="0"/>
      <w:marBottom w:val="0"/>
      <w:divBdr>
        <w:top w:val="none" w:sz="0" w:space="0" w:color="auto"/>
        <w:left w:val="none" w:sz="0" w:space="0" w:color="auto"/>
        <w:bottom w:val="none" w:sz="0" w:space="0" w:color="auto"/>
        <w:right w:val="none" w:sz="0" w:space="0" w:color="auto"/>
      </w:divBdr>
    </w:div>
    <w:div w:id="434254827">
      <w:bodyDiv w:val="1"/>
      <w:marLeft w:val="0"/>
      <w:marRight w:val="0"/>
      <w:marTop w:val="0"/>
      <w:marBottom w:val="0"/>
      <w:divBdr>
        <w:top w:val="none" w:sz="0" w:space="0" w:color="auto"/>
        <w:left w:val="none" w:sz="0" w:space="0" w:color="auto"/>
        <w:bottom w:val="none" w:sz="0" w:space="0" w:color="auto"/>
        <w:right w:val="none" w:sz="0" w:space="0" w:color="auto"/>
      </w:divBdr>
    </w:div>
    <w:div w:id="462387946">
      <w:bodyDiv w:val="1"/>
      <w:marLeft w:val="0"/>
      <w:marRight w:val="0"/>
      <w:marTop w:val="0"/>
      <w:marBottom w:val="0"/>
      <w:divBdr>
        <w:top w:val="none" w:sz="0" w:space="0" w:color="auto"/>
        <w:left w:val="none" w:sz="0" w:space="0" w:color="auto"/>
        <w:bottom w:val="none" w:sz="0" w:space="0" w:color="auto"/>
        <w:right w:val="none" w:sz="0" w:space="0" w:color="auto"/>
      </w:divBdr>
    </w:div>
    <w:div w:id="520704112">
      <w:bodyDiv w:val="1"/>
      <w:marLeft w:val="0"/>
      <w:marRight w:val="0"/>
      <w:marTop w:val="0"/>
      <w:marBottom w:val="0"/>
      <w:divBdr>
        <w:top w:val="none" w:sz="0" w:space="0" w:color="auto"/>
        <w:left w:val="none" w:sz="0" w:space="0" w:color="auto"/>
        <w:bottom w:val="none" w:sz="0" w:space="0" w:color="auto"/>
        <w:right w:val="none" w:sz="0" w:space="0" w:color="auto"/>
      </w:divBdr>
    </w:div>
    <w:div w:id="906108052">
      <w:bodyDiv w:val="1"/>
      <w:marLeft w:val="0"/>
      <w:marRight w:val="0"/>
      <w:marTop w:val="0"/>
      <w:marBottom w:val="0"/>
      <w:divBdr>
        <w:top w:val="none" w:sz="0" w:space="0" w:color="auto"/>
        <w:left w:val="none" w:sz="0" w:space="0" w:color="auto"/>
        <w:bottom w:val="none" w:sz="0" w:space="0" w:color="auto"/>
        <w:right w:val="none" w:sz="0" w:space="0" w:color="auto"/>
      </w:divBdr>
    </w:div>
    <w:div w:id="1024552385">
      <w:bodyDiv w:val="1"/>
      <w:marLeft w:val="0"/>
      <w:marRight w:val="0"/>
      <w:marTop w:val="0"/>
      <w:marBottom w:val="0"/>
      <w:divBdr>
        <w:top w:val="none" w:sz="0" w:space="0" w:color="auto"/>
        <w:left w:val="none" w:sz="0" w:space="0" w:color="auto"/>
        <w:bottom w:val="none" w:sz="0" w:space="0" w:color="auto"/>
        <w:right w:val="none" w:sz="0" w:space="0" w:color="auto"/>
      </w:divBdr>
    </w:div>
    <w:div w:id="1173763292">
      <w:bodyDiv w:val="1"/>
      <w:marLeft w:val="0"/>
      <w:marRight w:val="0"/>
      <w:marTop w:val="0"/>
      <w:marBottom w:val="0"/>
      <w:divBdr>
        <w:top w:val="none" w:sz="0" w:space="0" w:color="auto"/>
        <w:left w:val="none" w:sz="0" w:space="0" w:color="auto"/>
        <w:bottom w:val="none" w:sz="0" w:space="0" w:color="auto"/>
        <w:right w:val="none" w:sz="0" w:space="0" w:color="auto"/>
      </w:divBdr>
    </w:div>
    <w:div w:id="1212571180">
      <w:bodyDiv w:val="1"/>
      <w:marLeft w:val="0"/>
      <w:marRight w:val="0"/>
      <w:marTop w:val="0"/>
      <w:marBottom w:val="0"/>
      <w:divBdr>
        <w:top w:val="none" w:sz="0" w:space="0" w:color="auto"/>
        <w:left w:val="none" w:sz="0" w:space="0" w:color="auto"/>
        <w:bottom w:val="none" w:sz="0" w:space="0" w:color="auto"/>
        <w:right w:val="none" w:sz="0" w:space="0" w:color="auto"/>
      </w:divBdr>
    </w:div>
    <w:div w:id="1323242684">
      <w:bodyDiv w:val="1"/>
      <w:marLeft w:val="0"/>
      <w:marRight w:val="0"/>
      <w:marTop w:val="0"/>
      <w:marBottom w:val="0"/>
      <w:divBdr>
        <w:top w:val="none" w:sz="0" w:space="0" w:color="auto"/>
        <w:left w:val="none" w:sz="0" w:space="0" w:color="auto"/>
        <w:bottom w:val="none" w:sz="0" w:space="0" w:color="auto"/>
        <w:right w:val="none" w:sz="0" w:space="0" w:color="auto"/>
      </w:divBdr>
    </w:div>
    <w:div w:id="1414619270">
      <w:bodyDiv w:val="1"/>
      <w:marLeft w:val="0"/>
      <w:marRight w:val="0"/>
      <w:marTop w:val="0"/>
      <w:marBottom w:val="0"/>
      <w:divBdr>
        <w:top w:val="none" w:sz="0" w:space="0" w:color="auto"/>
        <w:left w:val="none" w:sz="0" w:space="0" w:color="auto"/>
        <w:bottom w:val="none" w:sz="0" w:space="0" w:color="auto"/>
        <w:right w:val="none" w:sz="0" w:space="0" w:color="auto"/>
      </w:divBdr>
    </w:div>
    <w:div w:id="1487865714">
      <w:bodyDiv w:val="1"/>
      <w:marLeft w:val="0"/>
      <w:marRight w:val="0"/>
      <w:marTop w:val="0"/>
      <w:marBottom w:val="0"/>
      <w:divBdr>
        <w:top w:val="none" w:sz="0" w:space="0" w:color="auto"/>
        <w:left w:val="none" w:sz="0" w:space="0" w:color="auto"/>
        <w:bottom w:val="none" w:sz="0" w:space="0" w:color="auto"/>
        <w:right w:val="none" w:sz="0" w:space="0" w:color="auto"/>
      </w:divBdr>
    </w:div>
    <w:div w:id="1594583735">
      <w:bodyDiv w:val="1"/>
      <w:marLeft w:val="0"/>
      <w:marRight w:val="0"/>
      <w:marTop w:val="0"/>
      <w:marBottom w:val="0"/>
      <w:divBdr>
        <w:top w:val="none" w:sz="0" w:space="0" w:color="auto"/>
        <w:left w:val="none" w:sz="0" w:space="0" w:color="auto"/>
        <w:bottom w:val="none" w:sz="0" w:space="0" w:color="auto"/>
        <w:right w:val="none" w:sz="0" w:space="0" w:color="auto"/>
      </w:divBdr>
    </w:div>
    <w:div w:id="1652903860">
      <w:bodyDiv w:val="1"/>
      <w:marLeft w:val="0"/>
      <w:marRight w:val="0"/>
      <w:marTop w:val="0"/>
      <w:marBottom w:val="0"/>
      <w:divBdr>
        <w:top w:val="none" w:sz="0" w:space="0" w:color="auto"/>
        <w:left w:val="none" w:sz="0" w:space="0" w:color="auto"/>
        <w:bottom w:val="none" w:sz="0" w:space="0" w:color="auto"/>
        <w:right w:val="none" w:sz="0" w:space="0" w:color="auto"/>
      </w:divBdr>
    </w:div>
    <w:div w:id="1761371833">
      <w:bodyDiv w:val="1"/>
      <w:marLeft w:val="0"/>
      <w:marRight w:val="0"/>
      <w:marTop w:val="0"/>
      <w:marBottom w:val="0"/>
      <w:divBdr>
        <w:top w:val="none" w:sz="0" w:space="0" w:color="auto"/>
        <w:left w:val="none" w:sz="0" w:space="0" w:color="auto"/>
        <w:bottom w:val="none" w:sz="0" w:space="0" w:color="auto"/>
        <w:right w:val="none" w:sz="0" w:space="0" w:color="auto"/>
      </w:divBdr>
    </w:div>
    <w:div w:id="1884705058">
      <w:bodyDiv w:val="1"/>
      <w:marLeft w:val="0"/>
      <w:marRight w:val="0"/>
      <w:marTop w:val="0"/>
      <w:marBottom w:val="0"/>
      <w:divBdr>
        <w:top w:val="none" w:sz="0" w:space="0" w:color="auto"/>
        <w:left w:val="none" w:sz="0" w:space="0" w:color="auto"/>
        <w:bottom w:val="none" w:sz="0" w:space="0" w:color="auto"/>
        <w:right w:val="none" w:sz="0" w:space="0" w:color="auto"/>
      </w:divBdr>
    </w:div>
    <w:div w:id="1900245695">
      <w:bodyDiv w:val="1"/>
      <w:marLeft w:val="0"/>
      <w:marRight w:val="0"/>
      <w:marTop w:val="0"/>
      <w:marBottom w:val="0"/>
      <w:divBdr>
        <w:top w:val="none" w:sz="0" w:space="0" w:color="auto"/>
        <w:left w:val="none" w:sz="0" w:space="0" w:color="auto"/>
        <w:bottom w:val="none" w:sz="0" w:space="0" w:color="auto"/>
        <w:right w:val="none" w:sz="0" w:space="0" w:color="auto"/>
      </w:divBdr>
    </w:div>
    <w:div w:id="1903519089">
      <w:bodyDiv w:val="1"/>
      <w:marLeft w:val="0"/>
      <w:marRight w:val="0"/>
      <w:marTop w:val="0"/>
      <w:marBottom w:val="0"/>
      <w:divBdr>
        <w:top w:val="none" w:sz="0" w:space="0" w:color="auto"/>
        <w:left w:val="none" w:sz="0" w:space="0" w:color="auto"/>
        <w:bottom w:val="none" w:sz="0" w:space="0" w:color="auto"/>
        <w:right w:val="none" w:sz="0" w:space="0" w:color="auto"/>
      </w:divBdr>
    </w:div>
    <w:div w:id="1925190475">
      <w:bodyDiv w:val="1"/>
      <w:marLeft w:val="0"/>
      <w:marRight w:val="0"/>
      <w:marTop w:val="0"/>
      <w:marBottom w:val="0"/>
      <w:divBdr>
        <w:top w:val="none" w:sz="0" w:space="0" w:color="auto"/>
        <w:left w:val="none" w:sz="0" w:space="0" w:color="auto"/>
        <w:bottom w:val="none" w:sz="0" w:space="0" w:color="auto"/>
        <w:right w:val="none" w:sz="0" w:space="0" w:color="auto"/>
      </w:divBdr>
    </w:div>
    <w:div w:id="2025129013">
      <w:bodyDiv w:val="1"/>
      <w:marLeft w:val="0"/>
      <w:marRight w:val="0"/>
      <w:marTop w:val="0"/>
      <w:marBottom w:val="0"/>
      <w:divBdr>
        <w:top w:val="none" w:sz="0" w:space="0" w:color="auto"/>
        <w:left w:val="none" w:sz="0" w:space="0" w:color="auto"/>
        <w:bottom w:val="none" w:sz="0" w:space="0" w:color="auto"/>
        <w:right w:val="none" w:sz="0" w:space="0" w:color="auto"/>
      </w:divBdr>
    </w:div>
    <w:div w:id="20971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wasman.2021.03.013" TargetMode="External"/><Relationship Id="rId18" Type="http://schemas.openxmlformats.org/officeDocument/2006/relationships/hyperlink" Target="https://doi.org/10.4324/9781315686523-9" TargetMode="External"/><Relationship Id="rId26" Type="http://schemas.openxmlformats.org/officeDocument/2006/relationships/hyperlink" Target="https://doi.org/10.1787/itcs-v2016-6-table610-en" TargetMode="External"/><Relationship Id="rId39" Type="http://schemas.openxmlformats.org/officeDocument/2006/relationships/hyperlink" Target="https://www.worldbank.org/en/topic/urbandevelopment/brief/solid-waste-management" TargetMode="External"/><Relationship Id="rId21" Type="http://schemas.openxmlformats.org/officeDocument/2006/relationships/hyperlink" Target="https://doi.org/10.4018/978-1-7998-1210-4.ch010" TargetMode="External"/><Relationship Id="rId34" Type="http://schemas.openxmlformats.org/officeDocument/2006/relationships/hyperlink" Target="https://doi.org/10.1002/9781118921487.ch2-1" TargetMode="External"/><Relationship Id="rId42" Type="http://schemas.openxmlformats.org/officeDocument/2006/relationships/hyperlink" Target="https://doi.org/10.1017/cbo9780511753848.011" TargetMode="External"/><Relationship Id="rId47" Type="http://schemas.openxmlformats.org/officeDocument/2006/relationships/hyperlink" Target="https://doi.org/10.1016/j.energy.2010.03.001" TargetMode="External"/><Relationship Id="rId50" Type="http://schemas.openxmlformats.org/officeDocument/2006/relationships/hyperlink" Target="https://doi.org/10.3389/fmats.2019.00092" TargetMode="External"/><Relationship Id="rId55" Type="http://schemas.openxmlformats.org/officeDocument/2006/relationships/hyperlink" Target="https://doi.org/10.1016/j.rser.2020.110226" TargetMode="External"/><Relationship Id="rId63" Type="http://schemas.openxmlformats.org/officeDocument/2006/relationships/hyperlink" Target="https://doi.org/10.4324/9780429446443-3" TargetMode="External"/><Relationship Id="rId68" Type="http://schemas.openxmlformats.org/officeDocument/2006/relationships/image" Target="media/image1.png"/><Relationship Id="rId7" Type="http://schemas.openxmlformats.org/officeDocument/2006/relationships/hyperlink" Target="https://ec.europa.eu/eurostat/statistics-explained/index.php?title=Municipal_waste_statistics" TargetMode="External"/><Relationship Id="rId71"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lumi.guide/6-ways-to-create-an-efficient-waste-management-system/" TargetMode="External"/><Relationship Id="rId29" Type="http://schemas.openxmlformats.org/officeDocument/2006/relationships/hyperlink" Target="https://doi.org/10.1016/j.wasman.2018.11.014" TargetMode="External"/><Relationship Id="rId11" Type="http://schemas.openxmlformats.org/officeDocument/2006/relationships/hyperlink" Target="https://doi.org/10.4324/9781315659602-30" TargetMode="External"/><Relationship Id="rId24" Type="http://schemas.openxmlformats.org/officeDocument/2006/relationships/hyperlink" Target="https://doi.org/10.1787/a3f3f0ee-en" TargetMode="External"/><Relationship Id="rId32" Type="http://schemas.openxmlformats.org/officeDocument/2006/relationships/hyperlink" Target="https://www.eea.europa.eu/publications/the-case-for-increasing-recycling" TargetMode="External"/><Relationship Id="rId37" Type="http://schemas.openxmlformats.org/officeDocument/2006/relationships/hyperlink" Target="https://doi.org/10.1201/9781420037517.ch16" TargetMode="External"/><Relationship Id="rId40" Type="http://schemas.openxmlformats.org/officeDocument/2006/relationships/hyperlink" Target="https://doi.org/10.1016/j.wasman.2020.06.043" TargetMode="External"/><Relationship Id="rId45" Type="http://schemas.openxmlformats.org/officeDocument/2006/relationships/hyperlink" Target="https://doi.org/10.1017/9781108643849.006" TargetMode="External"/><Relationship Id="rId53" Type="http://schemas.openxmlformats.org/officeDocument/2006/relationships/hyperlink" Target="https://doi.org/10.1016/j.wasman.2019.10.030" TargetMode="External"/><Relationship Id="rId58" Type="http://schemas.openxmlformats.org/officeDocument/2006/relationships/hyperlink" Target="https://doi.org/10.4324/9781315255835-7" TargetMode="External"/><Relationship Id="rId66" Type="http://schemas.openxmlformats.org/officeDocument/2006/relationships/chart" Target="charts/chart2.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787/factbook-2009-table96-en" TargetMode="External"/><Relationship Id="rId23" Type="http://schemas.openxmlformats.org/officeDocument/2006/relationships/hyperlink" Target="https://doi.org/10.1787/9789264268203-graph14-en" TargetMode="External"/><Relationship Id="rId28" Type="http://schemas.openxmlformats.org/officeDocument/2006/relationships/hyperlink" Target="https://doi.org/10.1177/0734242x19894622" TargetMode="External"/><Relationship Id="rId36" Type="http://schemas.openxmlformats.org/officeDocument/2006/relationships/hyperlink" Target="https://doi.org/10.46850/elni.2010.001" TargetMode="External"/><Relationship Id="rId49" Type="http://schemas.openxmlformats.org/officeDocument/2006/relationships/hyperlink" Target="https://doi.org/10.1108/prt.2010.12939eab.002" TargetMode="External"/><Relationship Id="rId57" Type="http://schemas.openxmlformats.org/officeDocument/2006/relationships/hyperlink" Target="https://doi.org/10.1016/j.wasman.2018.12.025" TargetMode="External"/><Relationship Id="rId61" Type="http://schemas.openxmlformats.org/officeDocument/2006/relationships/hyperlink" Target="https://doi.org/10.1007/s10163-007-0178-9" TargetMode="External"/><Relationship Id="rId10" Type="http://schemas.openxmlformats.org/officeDocument/2006/relationships/hyperlink" Target="https://doi.org/10.1016/j.enpol.2019.111108" TargetMode="External"/><Relationship Id="rId19" Type="http://schemas.openxmlformats.org/officeDocument/2006/relationships/hyperlink" Target="https://doi.org/10.1002/slct.202001521" TargetMode="External"/><Relationship Id="rId31" Type="http://schemas.openxmlformats.org/officeDocument/2006/relationships/hyperlink" Target="https://doi.org/10.1016/j.wasman.2020.01.005" TargetMode="External"/><Relationship Id="rId44" Type="http://schemas.openxmlformats.org/officeDocument/2006/relationships/hyperlink" Target="https://doi.org/10.4324/9780429446443-2" TargetMode="External"/><Relationship Id="rId52" Type="http://schemas.openxmlformats.org/officeDocument/2006/relationships/hyperlink" Target="https://doi.org/10.2166/9781780409627_0029" TargetMode="External"/><Relationship Id="rId60" Type="http://schemas.openxmlformats.org/officeDocument/2006/relationships/hyperlink" Target="https://doi.org/10.9786/kswm.2017.34.1.1" TargetMode="External"/><Relationship Id="rId65" Type="http://schemas.openxmlformats.org/officeDocument/2006/relationships/chart" Target="charts/chart1.xml"/><Relationship Id="rId73"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doi:10.1016/j.wasman.2018.12.025" TargetMode="External"/><Relationship Id="rId14" Type="http://schemas.openxmlformats.org/officeDocument/2006/relationships/hyperlink" Target="https://doi.org/10.1787/9789264311800-graph36-en" TargetMode="External"/><Relationship Id="rId22" Type="http://schemas.openxmlformats.org/officeDocument/2006/relationships/hyperlink" Target="https://doi.org/10.1002/slct.202001521" TargetMode="External"/><Relationship Id="rId27" Type="http://schemas.openxmlformats.org/officeDocument/2006/relationships/hyperlink" Target="https://doi.org/10.4135/9781452218526.n97" TargetMode="External"/><Relationship Id="rId30" Type="http://schemas.openxmlformats.org/officeDocument/2006/relationships/hyperlink" Target="https://www.irishstatutebook.ie/eli/2020/si/323/made/en/print" TargetMode="External"/><Relationship Id="rId35" Type="http://schemas.openxmlformats.org/officeDocument/2006/relationships/hyperlink" Target="https://doi.org/10.1201/9781315269061-4" TargetMode="External"/><Relationship Id="rId43" Type="http://schemas.openxmlformats.org/officeDocument/2006/relationships/hyperlink" Target="https://www.exssa.com/directives-2018-851-on-waste-and-2018-852-on-packaging-and-packaging-waste/" TargetMode="External"/><Relationship Id="rId48" Type="http://schemas.openxmlformats.org/officeDocument/2006/relationships/hyperlink" Target="https://doi.org/10.1093/he/9780198858942.003.0002" TargetMode="External"/><Relationship Id="rId56" Type="http://schemas.openxmlformats.org/officeDocument/2006/relationships/hyperlink" Target="https://www.epd.gov.hk/epd/english/environmentinhk/waste/prob_solutions/WFdev_IWMFtech.html" TargetMode="External"/><Relationship Id="rId64" Type="http://schemas.openxmlformats.org/officeDocument/2006/relationships/hyperlink" Target="https://doi.org/10.4324/9781315604121-9" TargetMode="External"/><Relationship Id="rId69" Type="http://schemas.openxmlformats.org/officeDocument/2006/relationships/image" Target="media/image2.png"/><Relationship Id="rId8" Type="http://schemas.openxmlformats.org/officeDocument/2006/relationships/hyperlink" Target="https://environment.ec.europa.eu/topics/waste-and-recycling/waste-framework-directive_en" TargetMode="External"/><Relationship Id="rId51" Type="http://schemas.openxmlformats.org/officeDocument/2006/relationships/hyperlink" Target="https://doi.org/10.1007/978-3-319-58538-3_199-1" TargetMode="External"/><Relationship Id="rId72" Type="http://schemas.microsoft.com/office/2007/relationships/hdphoto" Target="media/hdphoto2.wdp"/><Relationship Id="rId3" Type="http://schemas.microsoft.com/office/2007/relationships/stylesWithEffects" Target="stylesWithEffects.xml"/><Relationship Id="rId12" Type="http://schemas.openxmlformats.org/officeDocument/2006/relationships/hyperlink" Target="https://doi.org/10.1109/isgteurope.2019.8905660" TargetMode="External"/><Relationship Id="rId17" Type="http://schemas.openxmlformats.org/officeDocument/2006/relationships/hyperlink" Target="https://wasteadvantagemag.com/best-practices-for-efficient-waste-and-recycling-collection-and-transport/" TargetMode="External"/><Relationship Id="rId25" Type="http://schemas.openxmlformats.org/officeDocument/2006/relationships/hyperlink" Target="https://doi.org/10.1016/j.wasman.2018.12.025" TargetMode="External"/><Relationship Id="rId33" Type="http://schemas.openxmlformats.org/officeDocument/2006/relationships/hyperlink" Target="https://www.exssa.com/directives-2018-851-on-waste-and-2018-852-on-packaging-and-packaging-waste/" TargetMode="External"/><Relationship Id="rId38" Type="http://schemas.openxmlformats.org/officeDocument/2006/relationships/hyperlink" Target="https://www.eea.europa.eu/themes/waste/waste-management" TargetMode="External"/><Relationship Id="rId46" Type="http://schemas.openxmlformats.org/officeDocument/2006/relationships/hyperlink" Target="https://doi.org/10.17104/9783406759093-1411" TargetMode="External"/><Relationship Id="rId59" Type="http://schemas.openxmlformats.org/officeDocument/2006/relationships/hyperlink" Target="https://doi.org/10.1016/j.wasman.2009.09.028" TargetMode="External"/><Relationship Id="rId67" Type="http://schemas.openxmlformats.org/officeDocument/2006/relationships/chart" Target="charts/chart3.xml"/><Relationship Id="rId20" Type="http://schemas.openxmlformats.org/officeDocument/2006/relationships/hyperlink" Target="https://doi.org/10.4324/9781315070377-8" TargetMode="External"/><Relationship Id="rId41" Type="http://schemas.openxmlformats.org/officeDocument/2006/relationships/hyperlink" Target="https://doi.org/10.1515/9783110644142-201" TargetMode="External"/><Relationship Id="rId54" Type="http://schemas.openxmlformats.org/officeDocument/2006/relationships/hyperlink" Target="https://doi.org/10.1016/j.wasman.2020.06.043" TargetMode="External"/><Relationship Id="rId62" Type="http://schemas.openxmlformats.org/officeDocument/2006/relationships/hyperlink" Target="https://doi.org/10.1002/0470012668.ch5" TargetMode="External"/><Relationship Id="rId70" Type="http://schemas.microsoft.com/office/2007/relationships/hdphoto" Target="media/hdphoto1.wdp"/><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europa.eu/eurostat/statistics-explained/index.php?title=Waste_statistic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Sheet1!$B$1</c:f>
              <c:strCache>
                <c:ptCount val="1"/>
                <c:pt idx="0">
                  <c:v>Series 1</c:v>
                </c:pt>
              </c:strCache>
            </c:strRef>
          </c:tx>
          <c:marker>
            <c:symbol val="none"/>
          </c:marker>
          <c:cat>
            <c:numRef>
              <c:f>Sheet1!$A$2:$A$8</c:f>
              <c:numCache>
                <c:formatCode>General</c:formatCode>
                <c:ptCount val="7"/>
                <c:pt idx="0">
                  <c:v>1960</c:v>
                </c:pt>
                <c:pt idx="1">
                  <c:v>1970</c:v>
                </c:pt>
                <c:pt idx="2">
                  <c:v>1980</c:v>
                </c:pt>
                <c:pt idx="3">
                  <c:v>1990</c:v>
                </c:pt>
                <c:pt idx="4">
                  <c:v>2000</c:v>
                </c:pt>
                <c:pt idx="5">
                  <c:v>2010</c:v>
                </c:pt>
                <c:pt idx="6">
                  <c:v>2020</c:v>
                </c:pt>
              </c:numCache>
            </c:numRef>
          </c:cat>
          <c:val>
            <c:numRef>
              <c:f>Sheet1!$B$2:$B$8</c:f>
              <c:numCache>
                <c:formatCode>General</c:formatCode>
                <c:ptCount val="7"/>
                <c:pt idx="0">
                  <c:v>350</c:v>
                </c:pt>
                <c:pt idx="1">
                  <c:v>370</c:v>
                </c:pt>
                <c:pt idx="2">
                  <c:v>390</c:v>
                </c:pt>
                <c:pt idx="3">
                  <c:v>410</c:v>
                </c:pt>
                <c:pt idx="4">
                  <c:v>425</c:v>
                </c:pt>
                <c:pt idx="5">
                  <c:v>435</c:v>
                </c:pt>
                <c:pt idx="6">
                  <c:v>440</c:v>
                </c:pt>
              </c:numCache>
            </c:numRef>
          </c:val>
          <c:smooth val="0"/>
        </c:ser>
        <c:dLbls>
          <c:showLegendKey val="0"/>
          <c:showVal val="0"/>
          <c:showCatName val="0"/>
          <c:showSerName val="0"/>
          <c:showPercent val="0"/>
          <c:showBubbleSize val="0"/>
        </c:dLbls>
        <c:dropLines/>
        <c:marker val="1"/>
        <c:smooth val="0"/>
        <c:axId val="349553024"/>
        <c:axId val="349860992"/>
      </c:lineChart>
      <c:catAx>
        <c:axId val="349553024"/>
        <c:scaling>
          <c:orientation val="minMax"/>
        </c:scaling>
        <c:delete val="0"/>
        <c:axPos val="b"/>
        <c:title>
          <c:tx>
            <c:rich>
              <a:bodyPr/>
              <a:lstStyle/>
              <a:p>
                <a:pPr>
                  <a:defRPr/>
                </a:pPr>
                <a:r>
                  <a:rPr lang="en-US"/>
                  <a:t>Year</a:t>
                </a:r>
              </a:p>
            </c:rich>
          </c:tx>
          <c:overlay val="0"/>
        </c:title>
        <c:numFmt formatCode="General" sourceLinked="1"/>
        <c:majorTickMark val="none"/>
        <c:minorTickMark val="none"/>
        <c:tickLblPos val="nextTo"/>
        <c:crossAx val="349860992"/>
        <c:crosses val="autoZero"/>
        <c:auto val="1"/>
        <c:lblAlgn val="ctr"/>
        <c:lblOffset val="100"/>
        <c:noMultiLvlLbl val="0"/>
      </c:catAx>
      <c:valAx>
        <c:axId val="349860992"/>
        <c:scaling>
          <c:orientation val="minMax"/>
          <c:max val="450"/>
          <c:min val="350"/>
        </c:scaling>
        <c:delete val="0"/>
        <c:axPos val="l"/>
        <c:title>
          <c:tx>
            <c:rich>
              <a:bodyPr/>
              <a:lstStyle/>
              <a:p>
                <a:pPr>
                  <a:defRPr/>
                </a:pPr>
                <a:r>
                  <a:rPr lang="en-US"/>
                  <a:t>Population</a:t>
                </a:r>
              </a:p>
            </c:rich>
          </c:tx>
          <c:overlay val="0"/>
        </c:title>
        <c:numFmt formatCode="General" sourceLinked="1"/>
        <c:majorTickMark val="out"/>
        <c:minorTickMark val="none"/>
        <c:tickLblPos val="nextTo"/>
        <c:crossAx val="34955302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38"/>
      <c:rAngAx val="0"/>
      <c:perspective val="30"/>
    </c:view3D>
    <c:floor>
      <c:thickness val="0"/>
    </c:floor>
    <c:sideWall>
      <c:thickness val="0"/>
    </c:sideWall>
    <c:backWall>
      <c:thickness val="0"/>
    </c:backWall>
    <c:plotArea>
      <c:layout>
        <c:manualLayout>
          <c:layoutTarget val="inner"/>
          <c:xMode val="edge"/>
          <c:yMode val="edge"/>
          <c:x val="3.9963688440104887E-2"/>
          <c:y val="0.22111315096761713"/>
          <c:w val="0.91496143660251672"/>
          <c:h val="0.7218338861302056"/>
        </c:manualLayout>
      </c:layout>
      <c:pie3DChart>
        <c:varyColors val="1"/>
        <c:ser>
          <c:idx val="0"/>
          <c:order val="0"/>
          <c:tx>
            <c:strRef>
              <c:f>Sheet1!$B$1</c:f>
              <c:strCache>
                <c:ptCount val="1"/>
                <c:pt idx="0">
                  <c:v>Sales</c:v>
                </c:pt>
              </c:strCache>
            </c:strRef>
          </c:tx>
          <c:dLbls>
            <c:dLbl>
              <c:idx val="0"/>
              <c:layout>
                <c:manualLayout>
                  <c:x val="-5.1124314499924738E-2"/>
                  <c:y val="-0.19189819656288978"/>
                </c:manualLayout>
              </c:layout>
              <c:tx>
                <c:rich>
                  <a:bodyPr/>
                  <a:lstStyle/>
                  <a:p>
                    <a:r>
                      <a:rPr lang="en-US"/>
                      <a:t>1.0%</a:t>
                    </a:r>
                  </a:p>
                </c:rich>
              </c:tx>
              <c:showLegendKey val="0"/>
              <c:showVal val="0"/>
              <c:showCatName val="0"/>
              <c:showSerName val="0"/>
              <c:showPercent val="1"/>
              <c:showBubbleSize val="0"/>
            </c:dLbl>
            <c:dLbl>
              <c:idx val="1"/>
              <c:layout>
                <c:manualLayout>
                  <c:x val="-4.5151976009977772E-2"/>
                  <c:y val="-0.18203168215457785"/>
                </c:manualLayout>
              </c:layout>
              <c:tx>
                <c:rich>
                  <a:bodyPr/>
                  <a:lstStyle/>
                  <a:p>
                    <a:r>
                      <a:rPr lang="en-US"/>
                      <a:t>2.3%</a:t>
                    </a:r>
                  </a:p>
                </c:rich>
              </c:tx>
              <c:showLegendKey val="0"/>
              <c:showVal val="0"/>
              <c:showCatName val="0"/>
              <c:showSerName val="0"/>
              <c:showPercent val="1"/>
              <c:showBubbleSize val="0"/>
            </c:dLbl>
            <c:dLbl>
              <c:idx val="2"/>
              <c:tx>
                <c:rich>
                  <a:bodyPr/>
                  <a:lstStyle/>
                  <a:p>
                    <a:r>
                      <a:rPr lang="en-US"/>
                      <a:t>4.5%</a:t>
                    </a:r>
                  </a:p>
                </c:rich>
              </c:tx>
              <c:showLegendKey val="0"/>
              <c:showVal val="0"/>
              <c:showCatName val="0"/>
              <c:showSerName val="0"/>
              <c:showPercent val="1"/>
              <c:showBubbleSize val="0"/>
            </c:dLbl>
            <c:dLbl>
              <c:idx val="3"/>
              <c:tx>
                <c:rich>
                  <a:bodyPr/>
                  <a:lstStyle/>
                  <a:p>
                    <a:r>
                      <a:rPr lang="en-US"/>
                      <a:t>9.5%</a:t>
                    </a:r>
                  </a:p>
                </c:rich>
              </c:tx>
              <c:showLegendKey val="0"/>
              <c:showVal val="0"/>
              <c:showCatName val="0"/>
              <c:showSerName val="0"/>
              <c:showPercent val="1"/>
              <c:showBubbleSize val="0"/>
            </c:dLbl>
            <c:dLbl>
              <c:idx val="4"/>
              <c:tx>
                <c:rich>
                  <a:bodyPr/>
                  <a:lstStyle/>
                  <a:p>
                    <a:r>
                      <a:rPr lang="en-US"/>
                      <a:t>10.7%</a:t>
                    </a:r>
                  </a:p>
                </c:rich>
              </c:tx>
              <c:showLegendKey val="0"/>
              <c:showVal val="0"/>
              <c:showCatName val="0"/>
              <c:showSerName val="0"/>
              <c:showPercent val="1"/>
              <c:showBubbleSize val="0"/>
            </c:dLbl>
            <c:dLbl>
              <c:idx val="5"/>
              <c:tx>
                <c:rich>
                  <a:bodyPr/>
                  <a:lstStyle/>
                  <a:p>
                    <a:r>
                      <a:rPr lang="en-US"/>
                      <a:t>10.9%</a:t>
                    </a:r>
                  </a:p>
                </c:rich>
              </c:tx>
              <c:showLegendKey val="0"/>
              <c:showVal val="0"/>
              <c:showCatName val="0"/>
              <c:showSerName val="0"/>
              <c:showPercent val="1"/>
              <c:showBubbleSize val="0"/>
            </c:dLbl>
            <c:dLbl>
              <c:idx val="6"/>
              <c:tx>
                <c:rich>
                  <a:bodyPr/>
                  <a:lstStyle/>
                  <a:p>
                    <a:r>
                      <a:rPr lang="en-US"/>
                      <a:t>23.4%</a:t>
                    </a:r>
                  </a:p>
                </c:rich>
              </c:tx>
              <c:showLegendKey val="0"/>
              <c:showVal val="0"/>
              <c:showCatName val="0"/>
              <c:showSerName val="0"/>
              <c:showPercent val="1"/>
              <c:showBubbleSize val="0"/>
            </c:dLbl>
            <c:dLbl>
              <c:idx val="7"/>
              <c:tx>
                <c:rich>
                  <a:bodyPr/>
                  <a:lstStyle/>
                  <a:p>
                    <a:r>
                      <a:rPr lang="en-US"/>
                      <a:t>37.1%</a:t>
                    </a:r>
                  </a:p>
                </c:rich>
              </c:tx>
              <c:showLegendKey val="0"/>
              <c:showVal val="0"/>
              <c:showCatName val="0"/>
              <c:showSerName val="0"/>
              <c:showPercent val="1"/>
              <c:showBubbleSize val="0"/>
            </c:dLbl>
            <c:dLbl>
              <c:idx val="8"/>
              <c:layout>
                <c:manualLayout>
                  <c:x val="-9.2176317241844372E-2"/>
                  <c:y val="-0.21296246821377846"/>
                </c:manualLayout>
              </c:layout>
              <c:tx>
                <c:rich>
                  <a:bodyPr/>
                  <a:lstStyle/>
                  <a:p>
                    <a:r>
                      <a:rPr lang="en-US"/>
                      <a:t>0.5%</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Sheet1!$A$2:$A$10</c:f>
              <c:strCache>
                <c:ptCount val="9"/>
                <c:pt idx="0">
                  <c:v>Agriculture</c:v>
                </c:pt>
                <c:pt idx="1">
                  <c:v>Energy</c:v>
                </c:pt>
                <c:pt idx="2">
                  <c:v>Buisness  services</c:v>
                </c:pt>
                <c:pt idx="3">
                  <c:v>Households</c:v>
                </c:pt>
                <c:pt idx="4">
                  <c:v>Water</c:v>
                </c:pt>
                <c:pt idx="5">
                  <c:v>Manfufacturing</c:v>
                </c:pt>
                <c:pt idx="6">
                  <c:v>Mining and quarrying</c:v>
                </c:pt>
                <c:pt idx="7">
                  <c:v>Construction</c:v>
                </c:pt>
                <c:pt idx="8">
                  <c:v>Waste and scraps</c:v>
                </c:pt>
              </c:strCache>
            </c:strRef>
          </c:cat>
          <c:val>
            <c:numRef>
              <c:f>Sheet1!$B$2:$B$10</c:f>
              <c:numCache>
                <c:formatCode>General</c:formatCode>
                <c:ptCount val="9"/>
                <c:pt idx="0">
                  <c:v>1</c:v>
                </c:pt>
                <c:pt idx="1">
                  <c:v>2.2999999999999998</c:v>
                </c:pt>
                <c:pt idx="2">
                  <c:v>4.5</c:v>
                </c:pt>
                <c:pt idx="3">
                  <c:v>9.5</c:v>
                </c:pt>
                <c:pt idx="4">
                  <c:v>10.7</c:v>
                </c:pt>
                <c:pt idx="5">
                  <c:v>10.9</c:v>
                </c:pt>
                <c:pt idx="6">
                  <c:v>23.4</c:v>
                </c:pt>
                <c:pt idx="7">
                  <c:v>37.1</c:v>
                </c:pt>
                <c:pt idx="8">
                  <c:v>0.5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0">
                <a:latin typeface="Times New Roman" panose="02020603050405020304" pitchFamily="18" charset="0"/>
                <a:cs typeface="Times New Roman" panose="02020603050405020304" pitchFamily="18" charset="0"/>
              </a:rPr>
              <a:t>(kg per capita)</a:t>
            </a:r>
          </a:p>
        </c:rich>
      </c:tx>
      <c:layout>
        <c:manualLayout>
          <c:xMode val="edge"/>
          <c:yMode val="edge"/>
          <c:x val="3.5117742832572454E-4"/>
          <c:y val="1.6992621037068754E-2"/>
        </c:manualLayout>
      </c:layout>
      <c:overlay val="0"/>
    </c:title>
    <c:autoTitleDeleted val="0"/>
    <c:plotArea>
      <c:layout/>
      <c:barChart>
        <c:barDir val="col"/>
        <c:grouping val="stacked"/>
        <c:varyColors val="0"/>
        <c:ser>
          <c:idx val="0"/>
          <c:order val="0"/>
          <c:tx>
            <c:strRef>
              <c:f>Sheet1!$B$1</c:f>
              <c:strCache>
                <c:ptCount val="1"/>
                <c:pt idx="0">
                  <c:v>Waste excluding major mineral waste</c:v>
                </c:pt>
              </c:strCache>
            </c:strRef>
          </c:tx>
          <c:spPr>
            <a:solidFill>
              <a:srgbClr val="002060"/>
            </a:solidFill>
          </c:spPr>
          <c:invertIfNegative val="0"/>
          <c:cat>
            <c:strRef>
              <c:f>Sheet1!$A$2:$A$29</c:f>
              <c:strCache>
                <c:ptCount val="28"/>
                <c:pt idx="0">
                  <c:v>Croatia</c:v>
                </c:pt>
                <c:pt idx="1">
                  <c:v>Latvia</c:v>
                </c:pt>
                <c:pt idx="2">
                  <c:v>Portugal</c:v>
                </c:pt>
                <c:pt idx="3">
                  <c:v>Hungary</c:v>
                </c:pt>
                <c:pt idx="4">
                  <c:v>Greece</c:v>
                </c:pt>
                <c:pt idx="5">
                  <c:v>Slovakia</c:v>
                </c:pt>
                <c:pt idx="6">
                  <c:v>Lithuania</c:v>
                </c:pt>
                <c:pt idx="7">
                  <c:v>Spain</c:v>
                </c:pt>
                <c:pt idx="8">
                  <c:v>Cyprus</c:v>
                </c:pt>
                <c:pt idx="9">
                  <c:v>Ireland</c:v>
                </c:pt>
                <c:pt idx="10">
                  <c:v>Italy</c:v>
                </c:pt>
                <c:pt idx="11">
                  <c:v>Denmark</c:v>
                </c:pt>
                <c:pt idx="12">
                  <c:v>Slovenia</c:v>
                </c:pt>
                <c:pt idx="13">
                  <c:v>Poland</c:v>
                </c:pt>
                <c:pt idx="14">
                  <c:v>Czechia</c:v>
                </c:pt>
                <c:pt idx="15">
                  <c:v>France</c:v>
                </c:pt>
                <c:pt idx="16">
                  <c:v>Germany</c:v>
                </c:pt>
                <c:pt idx="17">
                  <c:v>Malta</c:v>
                </c:pt>
                <c:pt idx="18">
                  <c:v>Belgium</c:v>
                </c:pt>
                <c:pt idx="19">
                  <c:v>Netherlands</c:v>
                </c:pt>
                <c:pt idx="20">
                  <c:v>Romania</c:v>
                </c:pt>
                <c:pt idx="21">
                  <c:v>Austria</c:v>
                </c:pt>
                <c:pt idx="22">
                  <c:v>Estonia</c:v>
                </c:pt>
                <c:pt idx="23">
                  <c:v>Luxembourg</c:v>
                </c:pt>
                <c:pt idx="24">
                  <c:v>Sweden</c:v>
                </c:pt>
                <c:pt idx="25">
                  <c:v>Bulgaria</c:v>
                </c:pt>
                <c:pt idx="26">
                  <c:v>Finland</c:v>
                </c:pt>
                <c:pt idx="27">
                  <c:v>EU</c:v>
                </c:pt>
              </c:strCache>
            </c:strRef>
          </c:cat>
          <c:val>
            <c:numRef>
              <c:f>Sheet1!$B$2:$B$29</c:f>
              <c:numCache>
                <c:formatCode>General</c:formatCode>
                <c:ptCount val="28"/>
                <c:pt idx="0">
                  <c:v>900</c:v>
                </c:pt>
                <c:pt idx="1">
                  <c:v>1300</c:v>
                </c:pt>
                <c:pt idx="2">
                  <c:v>1500</c:v>
                </c:pt>
                <c:pt idx="3">
                  <c:v>1400</c:v>
                </c:pt>
                <c:pt idx="4">
                  <c:v>1500</c:v>
                </c:pt>
                <c:pt idx="5">
                  <c:v>1700</c:v>
                </c:pt>
                <c:pt idx="6">
                  <c:v>1800</c:v>
                </c:pt>
                <c:pt idx="7">
                  <c:v>1750</c:v>
                </c:pt>
                <c:pt idx="8">
                  <c:v>1600</c:v>
                </c:pt>
                <c:pt idx="9">
                  <c:v>1900</c:v>
                </c:pt>
                <c:pt idx="10">
                  <c:v>2000</c:v>
                </c:pt>
                <c:pt idx="11">
                  <c:v>1900</c:v>
                </c:pt>
                <c:pt idx="12">
                  <c:v>1800</c:v>
                </c:pt>
                <c:pt idx="13">
                  <c:v>2200</c:v>
                </c:pt>
                <c:pt idx="14">
                  <c:v>2000</c:v>
                </c:pt>
                <c:pt idx="15">
                  <c:v>2400</c:v>
                </c:pt>
                <c:pt idx="16">
                  <c:v>2600</c:v>
                </c:pt>
                <c:pt idx="17">
                  <c:v>1800</c:v>
                </c:pt>
                <c:pt idx="18">
                  <c:v>3800</c:v>
                </c:pt>
                <c:pt idx="19">
                  <c:v>2200</c:v>
                </c:pt>
                <c:pt idx="20">
                  <c:v>1900</c:v>
                </c:pt>
                <c:pt idx="21">
                  <c:v>2400</c:v>
                </c:pt>
                <c:pt idx="22">
                  <c:v>7000</c:v>
                </c:pt>
                <c:pt idx="23">
                  <c:v>2100</c:v>
                </c:pt>
                <c:pt idx="24">
                  <c:v>2050</c:v>
                </c:pt>
                <c:pt idx="25">
                  <c:v>2200</c:v>
                </c:pt>
                <c:pt idx="26">
                  <c:v>2150</c:v>
                </c:pt>
                <c:pt idx="27">
                  <c:v>2000</c:v>
                </c:pt>
              </c:numCache>
            </c:numRef>
          </c:val>
        </c:ser>
        <c:ser>
          <c:idx val="1"/>
          <c:order val="1"/>
          <c:tx>
            <c:strRef>
              <c:f>Sheet1!$C$1</c:f>
              <c:strCache>
                <c:ptCount val="1"/>
                <c:pt idx="0">
                  <c:v>Major mineral waste</c:v>
                </c:pt>
              </c:strCache>
            </c:strRef>
          </c:tx>
          <c:spPr>
            <a:solidFill>
              <a:schemeClr val="accent6">
                <a:lumMod val="75000"/>
              </a:schemeClr>
            </a:solidFill>
          </c:spPr>
          <c:invertIfNegative val="0"/>
          <c:cat>
            <c:strRef>
              <c:f>Sheet1!$A$2:$A$29</c:f>
              <c:strCache>
                <c:ptCount val="28"/>
                <c:pt idx="0">
                  <c:v>Croatia</c:v>
                </c:pt>
                <c:pt idx="1">
                  <c:v>Latvia</c:v>
                </c:pt>
                <c:pt idx="2">
                  <c:v>Portugal</c:v>
                </c:pt>
                <c:pt idx="3">
                  <c:v>Hungary</c:v>
                </c:pt>
                <c:pt idx="4">
                  <c:v>Greece</c:v>
                </c:pt>
                <c:pt idx="5">
                  <c:v>Slovakia</c:v>
                </c:pt>
                <c:pt idx="6">
                  <c:v>Lithuania</c:v>
                </c:pt>
                <c:pt idx="7">
                  <c:v>Spain</c:v>
                </c:pt>
                <c:pt idx="8">
                  <c:v>Cyprus</c:v>
                </c:pt>
                <c:pt idx="9">
                  <c:v>Ireland</c:v>
                </c:pt>
                <c:pt idx="10">
                  <c:v>Italy</c:v>
                </c:pt>
                <c:pt idx="11">
                  <c:v>Denmark</c:v>
                </c:pt>
                <c:pt idx="12">
                  <c:v>Slovenia</c:v>
                </c:pt>
                <c:pt idx="13">
                  <c:v>Poland</c:v>
                </c:pt>
                <c:pt idx="14">
                  <c:v>Czechia</c:v>
                </c:pt>
                <c:pt idx="15">
                  <c:v>France</c:v>
                </c:pt>
                <c:pt idx="16">
                  <c:v>Germany</c:v>
                </c:pt>
                <c:pt idx="17">
                  <c:v>Malta</c:v>
                </c:pt>
                <c:pt idx="18">
                  <c:v>Belgium</c:v>
                </c:pt>
                <c:pt idx="19">
                  <c:v>Netherlands</c:v>
                </c:pt>
                <c:pt idx="20">
                  <c:v>Romania</c:v>
                </c:pt>
                <c:pt idx="21">
                  <c:v>Austria</c:v>
                </c:pt>
                <c:pt idx="22">
                  <c:v>Estonia</c:v>
                </c:pt>
                <c:pt idx="23">
                  <c:v>Luxembourg</c:v>
                </c:pt>
                <c:pt idx="24">
                  <c:v>Sweden</c:v>
                </c:pt>
                <c:pt idx="25">
                  <c:v>Bulgaria</c:v>
                </c:pt>
                <c:pt idx="26">
                  <c:v>Finland</c:v>
                </c:pt>
                <c:pt idx="27">
                  <c:v>EU</c:v>
                </c:pt>
              </c:strCache>
            </c:strRef>
          </c:cat>
          <c:val>
            <c:numRef>
              <c:f>Sheet1!$C$2:$C$29</c:f>
              <c:numCache>
                <c:formatCode>General</c:formatCode>
                <c:ptCount val="28"/>
                <c:pt idx="0">
                  <c:v>300</c:v>
                </c:pt>
                <c:pt idx="1">
                  <c:v>100</c:v>
                </c:pt>
                <c:pt idx="2">
                  <c:v>300</c:v>
                </c:pt>
                <c:pt idx="3">
                  <c:v>550</c:v>
                </c:pt>
                <c:pt idx="4">
                  <c:v>700</c:v>
                </c:pt>
                <c:pt idx="5">
                  <c:v>600</c:v>
                </c:pt>
                <c:pt idx="6">
                  <c:v>610</c:v>
                </c:pt>
                <c:pt idx="7">
                  <c:v>600</c:v>
                </c:pt>
                <c:pt idx="8">
                  <c:v>850</c:v>
                </c:pt>
                <c:pt idx="9">
                  <c:v>950</c:v>
                </c:pt>
                <c:pt idx="10">
                  <c:v>900</c:v>
                </c:pt>
                <c:pt idx="11">
                  <c:v>1200</c:v>
                </c:pt>
                <c:pt idx="12">
                  <c:v>1400</c:v>
                </c:pt>
                <c:pt idx="13">
                  <c:v>1800</c:v>
                </c:pt>
                <c:pt idx="14">
                  <c:v>1600</c:v>
                </c:pt>
                <c:pt idx="15">
                  <c:v>2000</c:v>
                </c:pt>
                <c:pt idx="16">
                  <c:v>2200</c:v>
                </c:pt>
                <c:pt idx="17">
                  <c:v>4000</c:v>
                </c:pt>
                <c:pt idx="18">
                  <c:v>2200</c:v>
                </c:pt>
                <c:pt idx="19">
                  <c:v>4200</c:v>
                </c:pt>
                <c:pt idx="20">
                  <c:v>4800</c:v>
                </c:pt>
                <c:pt idx="21">
                  <c:v>4900</c:v>
                </c:pt>
                <c:pt idx="22">
                  <c:v>5000</c:v>
                </c:pt>
                <c:pt idx="23">
                  <c:v>11500</c:v>
                </c:pt>
                <c:pt idx="24">
                  <c:v>12000</c:v>
                </c:pt>
                <c:pt idx="25">
                  <c:v>14500</c:v>
                </c:pt>
                <c:pt idx="26">
                  <c:v>19000</c:v>
                </c:pt>
                <c:pt idx="27">
                  <c:v>2900</c:v>
                </c:pt>
              </c:numCache>
            </c:numRef>
          </c:val>
        </c:ser>
        <c:dLbls>
          <c:showLegendKey val="0"/>
          <c:showVal val="0"/>
          <c:showCatName val="0"/>
          <c:showSerName val="0"/>
          <c:showPercent val="0"/>
          <c:showBubbleSize val="0"/>
        </c:dLbls>
        <c:gapWidth val="75"/>
        <c:overlap val="100"/>
        <c:axId val="321927424"/>
        <c:axId val="321929216"/>
      </c:barChart>
      <c:catAx>
        <c:axId val="321927424"/>
        <c:scaling>
          <c:orientation val="minMax"/>
        </c:scaling>
        <c:delete val="0"/>
        <c:axPos val="b"/>
        <c:majorTickMark val="none"/>
        <c:minorTickMark val="none"/>
        <c:tickLblPos val="nextTo"/>
        <c:txPr>
          <a:bodyPr rot="-5400000" vert="horz"/>
          <a:lstStyle/>
          <a:p>
            <a:pPr>
              <a:defRPr>
                <a:latin typeface="Times New Roman" panose="02020603050405020304" pitchFamily="18" charset="0"/>
                <a:cs typeface="Times New Roman" panose="02020603050405020304" pitchFamily="18" charset="0"/>
              </a:defRPr>
            </a:pPr>
            <a:endParaRPr lang="en-US"/>
          </a:p>
        </c:txPr>
        <c:crossAx val="321929216"/>
        <c:crosses val="autoZero"/>
        <c:auto val="1"/>
        <c:lblAlgn val="ctr"/>
        <c:lblOffset val="100"/>
        <c:noMultiLvlLbl val="0"/>
      </c:catAx>
      <c:valAx>
        <c:axId val="321929216"/>
        <c:scaling>
          <c:orientation val="minMax"/>
        </c:scaling>
        <c:delete val="0"/>
        <c:axPos val="l"/>
        <c:majorGridlines/>
        <c:numFmt formatCode="General" sourceLinked="1"/>
        <c:majorTickMark val="none"/>
        <c:minorTickMark val="none"/>
        <c:tickLblPos val="nextTo"/>
        <c:crossAx val="321927424"/>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(kg per capita)</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1.9666812481772058E-4"/>
          <c:y val="0"/>
        </c:manualLayout>
      </c:layout>
      <c:overlay val="0"/>
    </c:title>
    <c:autoTitleDeleted val="0"/>
    <c:plotArea>
      <c:layout/>
      <c:barChart>
        <c:barDir val="col"/>
        <c:grouping val="clustered"/>
        <c:varyColors val="0"/>
        <c:ser>
          <c:idx val="0"/>
          <c:order val="0"/>
          <c:tx>
            <c:strRef>
              <c:f>Sheet1!$B$1</c:f>
              <c:strCache>
                <c:ptCount val="1"/>
                <c:pt idx="0">
                  <c:v>2010</c:v>
                </c:pt>
              </c:strCache>
            </c:strRef>
          </c:tx>
          <c:spPr>
            <a:solidFill>
              <a:schemeClr val="accent6">
                <a:lumMod val="75000"/>
              </a:schemeClr>
            </a:solidFill>
          </c:spPr>
          <c:invertIfNegative val="0"/>
          <c:cat>
            <c:strRef>
              <c:f>Sheet1!$A$2:$A$4</c:f>
              <c:strCache>
                <c:ptCount val="3"/>
                <c:pt idx="0">
                  <c:v>Lithuania</c:v>
                </c:pt>
                <c:pt idx="1">
                  <c:v>Latvia</c:v>
                </c:pt>
                <c:pt idx="2">
                  <c:v>Estonia</c:v>
                </c:pt>
              </c:strCache>
            </c:strRef>
          </c:cat>
          <c:val>
            <c:numRef>
              <c:f>Sheet1!$B$2:$B$4</c:f>
              <c:numCache>
                <c:formatCode>General</c:formatCode>
                <c:ptCount val="3"/>
                <c:pt idx="0">
                  <c:v>1000</c:v>
                </c:pt>
                <c:pt idx="1">
                  <c:v>700</c:v>
                </c:pt>
                <c:pt idx="2">
                  <c:v>8700</c:v>
                </c:pt>
              </c:numCache>
            </c:numRef>
          </c:val>
        </c:ser>
        <c:ser>
          <c:idx val="1"/>
          <c:order val="1"/>
          <c:tx>
            <c:strRef>
              <c:f>Sheet1!$C$1</c:f>
              <c:strCache>
                <c:ptCount val="1"/>
                <c:pt idx="0">
                  <c:v>2020</c:v>
                </c:pt>
              </c:strCache>
            </c:strRef>
          </c:tx>
          <c:spPr>
            <a:solidFill>
              <a:srgbClr val="002060"/>
            </a:solidFill>
          </c:spPr>
          <c:invertIfNegative val="0"/>
          <c:cat>
            <c:strRef>
              <c:f>Sheet1!$A$2:$A$4</c:f>
              <c:strCache>
                <c:ptCount val="3"/>
                <c:pt idx="0">
                  <c:v>Lithuania</c:v>
                </c:pt>
                <c:pt idx="1">
                  <c:v>Latvia</c:v>
                </c:pt>
                <c:pt idx="2">
                  <c:v>Estonia</c:v>
                </c:pt>
              </c:strCache>
            </c:strRef>
          </c:cat>
          <c:val>
            <c:numRef>
              <c:f>Sheet1!$C$2:$C$4</c:f>
              <c:numCache>
                <c:formatCode>General</c:formatCode>
                <c:ptCount val="3"/>
                <c:pt idx="0">
                  <c:v>1500</c:v>
                </c:pt>
                <c:pt idx="1">
                  <c:v>1700</c:v>
                </c:pt>
                <c:pt idx="2">
                  <c:v>6200</c:v>
                </c:pt>
              </c:numCache>
            </c:numRef>
          </c:val>
        </c:ser>
        <c:dLbls>
          <c:showLegendKey val="0"/>
          <c:showVal val="0"/>
          <c:showCatName val="0"/>
          <c:showSerName val="0"/>
          <c:showPercent val="0"/>
          <c:showBubbleSize val="0"/>
        </c:dLbls>
        <c:gapWidth val="75"/>
        <c:overlap val="-25"/>
        <c:axId val="321974272"/>
        <c:axId val="321975808"/>
      </c:barChart>
      <c:catAx>
        <c:axId val="321974272"/>
        <c:scaling>
          <c:orientation val="minMax"/>
        </c:scaling>
        <c:delete val="0"/>
        <c:axPos val="b"/>
        <c:majorTickMark val="none"/>
        <c:minorTickMark val="none"/>
        <c:tickLblPos val="nextTo"/>
        <c:crossAx val="321975808"/>
        <c:crosses val="autoZero"/>
        <c:auto val="1"/>
        <c:lblAlgn val="ctr"/>
        <c:lblOffset val="100"/>
        <c:noMultiLvlLbl val="0"/>
      </c:catAx>
      <c:valAx>
        <c:axId val="321975808"/>
        <c:scaling>
          <c:orientation val="minMax"/>
        </c:scaling>
        <c:delete val="0"/>
        <c:axPos val="l"/>
        <c:majorGridlines/>
        <c:numFmt formatCode="General" sourceLinked="1"/>
        <c:majorTickMark val="none"/>
        <c:minorTickMark val="none"/>
        <c:tickLblPos val="nextTo"/>
        <c:spPr>
          <a:ln w="9525">
            <a:noFill/>
          </a:ln>
        </c:spPr>
        <c:crossAx val="321974272"/>
        <c:crosses val="autoZero"/>
        <c:crossBetween val="between"/>
      </c:valAx>
      <c:spPr>
        <a:ln>
          <a:solidFill>
            <a:schemeClr val="tx1">
              <a:lumMod val="50000"/>
              <a:lumOff val="50000"/>
            </a:schemeClr>
          </a:solidFill>
        </a:ln>
      </c:spPr>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5442</Words>
  <Characters>31025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9</cp:revision>
  <dcterms:created xsi:type="dcterms:W3CDTF">2022-12-31T09:28:00Z</dcterms:created>
  <dcterms:modified xsi:type="dcterms:W3CDTF">2022-12-31T09:43:00Z</dcterms:modified>
</cp:coreProperties>
</file>