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i w:val="0"/>
          <w:iCs w:val="0"/>
          <w:caps w:val="0"/>
          <w:color w:val="202124"/>
          <w:spacing w:val="0"/>
          <w:sz w:val="42"/>
          <w:szCs w:val="42"/>
          <w:shd w:val="clear" w:fill="F8F9FA"/>
        </w:rPr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Arial" w:hAnsi="Arial" w:eastAsia="SimSun" w:cs="Arial"/>
          <w:i w:val="0"/>
          <w:iCs w:val="0"/>
          <w:caps w:val="0"/>
          <w:color w:val="202124"/>
          <w:spacing w:val="0"/>
          <w:sz w:val="42"/>
          <w:szCs w:val="42"/>
          <w:shd w:val="clear" w:fill="F8F9FA"/>
        </w:rPr>
        <w:t>LEGAL PROTECTION OF CHILDREN AS CONSUMERS ACCORDING TO LAW IN INDONESIA</w:t>
      </w:r>
    </w:p>
    <w:p>
      <w:pPr>
        <w:jc w:val="center"/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sz w:val="42"/>
          <w:szCs w:val="42"/>
          <w:shd w:val="clear" w:fill="F8F9FA"/>
        </w:rPr>
      </w:pPr>
    </w:p>
    <w:p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Josef Purwadi 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>Bambang Hermoyo</w:t>
      </w:r>
    </w:p>
    <w:p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Universitas Slamet Riyadi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Abstract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The purpose of this research is to know the legal protection against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children as consumers according to Indonesian law.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Children are the next generation for the ideals of the nation's struggle and so on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human resources in the future which is the nation's capital for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sustainable development. Starting from this thought,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the main interest to grow and develop in a child's life must be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receive very high priority. Unfortunately, not all children have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equal opportunity to realize their hopes and aspirations. Lots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among those at high risk for not growing and developing properly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healthy, get the best education, because of a poor family, parents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troubled, mistreated, abandoned parents, so can not enjoy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live properly.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The type of research used in compiling this research is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normative legal research. Normative legal research prioritizes study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library by collecting data from libraries and other places.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This study focuses on legal principles, legal systematics, synchronization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law, the history of sentencing in settings related to legal protection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consumer.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Consumer protection has been regulated through Law no. 8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1999 concerning Consumer Protection, but the law has not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accommodate the protection of child consumers. This research uses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juridical-normative legal research method. Protection of children as consumers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follow all forms of child protection in the Child Protection Act as well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plus all the safeguards contained in the Consumer Protection Act,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which can be emphasized on preventive protection efforts where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mandatory for parents, families, communities, government and the State to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provide guidance and consumer education which is part of the rights of the child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as a smart consumer in choosing the goods and/or services offered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as well as those promoted by business actors. So there is a need for harmonization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statutory regulations between the consumer protection law and the law</w:t>
      </w:r>
    </w:p>
    <w:p>
      <w:pPr>
        <w:jc w:val="both"/>
        <w:rPr>
          <w:rFonts w:hint="default" w:ascii="Times New Roman" w:hAnsi="Times New Roman" w:eastAsia="SimSun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sz w:val="24"/>
          <w:szCs w:val="24"/>
          <w:lang w:val="en-US"/>
        </w:rPr>
        <w:t>Child protection.</w:t>
      </w:r>
    </w:p>
    <w:p>
      <w:pPr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Keyword:Protection, Children, Consumers</w:t>
      </w:r>
    </w:p>
    <w:p>
      <w:pPr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Introduction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Economic activity is a series of activities that are simultaneous,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comprehensive and continuous. Besides that, economic activity as well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is a collective activity involving many legal subjects as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economic agents. The legal subjects involved include all strata within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society in all fields, both production activities and activities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distribution so that it can be understood that the law has a very important role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important in the legal relationship of the parties as well as regarding the legality of activities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economy itself. Economic activity also involves various institutions, either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official bureaucratic institutions and social institutions or not. And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different sets of regulations within the scope of economic law 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essentially regulates the economy, namely all legal aspects that include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private and public spheres according to their role and authority in an activity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Business actors only think about whether goods or services are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produced it provides benefits for the business actor himself, the business actor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produce goods or services with minimal outlay costs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possible and as much profit as possible without thinking about the consequences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incurred when consuming goods or services produced for consumers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targets of business actors are not always adults but children are also used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as a business target.Cases of food poisoning often occur in children as consumers.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Where inspection has been carried out by officers from the Central POM Semarang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in some food samples. Which is the result of the food being examined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contain dangerous dyes, such as Auramin, methanyl yellow, and rhodamin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B is dangerous for consumers, because it can cause nausea, vomiting, and diarrhea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long term can cause bladder cancer, as well as food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which contain formaldehyde and borax are also dangerous, because they can cause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central nervous system and kidney disorders.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There are many cases of poisoning where children become victims and are greatly harmed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as consumers in general, and there is a gap regarding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regulation of children as consumers has not been specifically regulated in consumer protection laws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Research Problem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In this research, the problem under study is how to protect law against children as consumers according to law in Indonesia.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Dicussion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 protection Consumer Protection Act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(Law No. 8 of 1999 concerning Consumer Protection) conditions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which globalization and free trade are supported by technological advances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telecommunications and informatics have expanded the space for transaction flows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goods and/or services cross the territorial boundaries of a country, so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variety of goods that have benefits for consumers so that goods or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desired services can be fulfilled and the more freedom is wide open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choose various types and qualities of goods and/or services according to wishes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and consumer capabilities.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Where this can result in the position of business actors and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consumers become unbalanced and consumers are in a weak position.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Consumers become objects of business activity to reap the maximum profit by business actors through promotional strategies, as well as implementing agreements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standard or standard agreement which is the consumer. The main factor that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being a consumer weakness is the level of consumer awareness of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rights are still low. To increase the value and dignity of consumers is necessary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increase awareness, knowledge, concern, ability and independence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consumers to protect themselves, and develop attitudes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responsible business conduct.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Child Protection Act provides obligations for parents,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family, community, government and the State to provide protection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to children based on the principle of non-discrimination, the principle of the best interest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for children, the principle of the right to life, survival and development, and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principle of respect for the opinion of the child.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In carrying out coaching, development and protection of children,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need the role of the community, both through child protection agencies, institutions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religious organizations, non-governmental organizations, community organizations, organizations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social, business world, mass media, or educational institutions but 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 Protection is still far from just a hope because of the Law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it does not yet regulate for sure regarding Legal Protection Against each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children who participate as one of the parties namely as consumers,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thus giving rise to many irresponsible business actors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which makes every child the next generation of the nation does not get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full rights as children, as well as children's rights as consumers.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Vulnerable and fragile every child as consumers, business people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making children an easy target with lasting impact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to be exploited economically. Viewed in consumer rights are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get the rights regulated in other provisions, which means if the child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as the consumer, the child directly gets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his rights as a consumer and his rights as a child, but the inner child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thing as consumers still do not fully understand the rights of children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as a consumer.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And efforts to protect children as consumers are needed so that they can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support what is needed for children to grow and develop with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well as well as benefit from social welfare programs so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and in the future can guarantee the continuity of existence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nation and state.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Legal protection is an effort to protect children as subjects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law in the form of legal instruments, both preventive and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repressive nature, things that must be prioritized are in the field of protection and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children's consumer education. Children's rights are part of human rights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human beings which are then integrated into children's consumer rights as well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should be able to be protected, fulfilled and developed. 15 Protection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law on children as consumers is found in the harmonization between laws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Child Protection and Consumer Protection Law, while children as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consumers in the Consumer Protection Act need special arrangements regarding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when children act as consumers because children are different from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adult consumers.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In the Laws and Regulations there is no need to form a new law but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requires harmonization of the consumer protection law with the law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Child Protection, where the Child Protection Act is used as material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consideration of the involvement of children as consumers.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Forms of legal protection for children as consumers in the Act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 protection in fulfilling children's rights still needs to pay attention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on children's rights in the Child Protection Act, then children as consumers too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is the responsibility of parents, family, community, government and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State because every child still needs a parent or inner guardianship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carry out legal actions, as it should be protection from the first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If this is done it is the obligation and responsibility of the parents, if the person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parents can't afford to just turn to the child's family in question, and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so on from society, government.If there is a violation of the child as a consumer, then in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settlement of child consumer disputes can be done as follows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contained in Article 45 paragraph (1) but in children as consumers who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disadvantaged is different from ordinary consumers, it can be represented by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parents or guardians as attorneys to sue business actors who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harm children as consumers through dispute resolution institutions or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through the judiciary within the general court environment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Conclusion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Legal protection for children as consumers as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has been specifically regulated in the Child Protection Law has not been implemented yet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Consumer Protection Act, where it is necessary to form a harmonization of law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in efforts to protect the law against children as consumers. Protection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The Law Against Children As Consumers is implemented by following all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forms of child protection in the Child Protection Act plus all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protection efforts contained in the Consumer Protection Act, which can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emphasis on preventive measures</w:t>
      </w:r>
    </w:p>
    <w:p>
      <w:pPr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REFERENCES</w:t>
      </w:r>
    </w:p>
    <w:p>
      <w:pPr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Hermawan Wasito, 1997, Pengantar Metodologi Penelitian Buku Panduan Mahasiswa, PT. Gramedia Pustaka Utama, Jakarta.</w:t>
      </w:r>
    </w:p>
    <w:p>
      <w:pPr>
        <w:jc w:val="both"/>
        <w:rPr>
          <w:rFonts w:ascii="SimSun" w:hAnsi="SimSun" w:eastAsia="SimSun" w:cs="SimSun"/>
          <w:sz w:val="24"/>
          <w:szCs w:val="24"/>
        </w:rPr>
      </w:pPr>
    </w:p>
    <w:p>
      <w:pPr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Maria SW. Sumardjono, 2014, Metodologi Penelitian Ilmu Hukum, Gadjah Mada Press, Yogyakata.</w:t>
      </w:r>
    </w:p>
    <w:p>
      <w:pPr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1"/>
        </w:numPr>
        <w:ind w:left="120" w:leftChars="0" w:firstLine="0" w:firstLine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Nasir Djamil, 2013. Anak Bukan Untuk Dihukum: Catatan Pembahasan UU Sistem Peradilan Pidana Anak (UU-SPPA), Sinar Grafika, Jakarta, Cet. Kedua.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Muhammad Jodi, 2005. Hak-hak Anak Dalam UU Perlindungan Anak dan Konversi PBB tentang Hak Anak: Beberapa Isu Hukum Keluarga, Komisi Nasional Perlindungan Anak National Commission for Child Protectiion. Reymond O’ Rourke, 2000, Food Safety and Product Liability, Bembridge, Palladia Law Publishing, hlm. 59-73. 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Soerjono Soekanto, 2018, Penelitian Hukum Normatif Suatu Tinjauan Singkat, Rajawali Press, Jakarta. 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Sri Redjeki Hartono, 2007. Hukum Ekonomi di Indonesia, Bayumedia Publising, Malang.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Suharsimi Arikunto, 2018, Prosedur Penelitian Suatu Pendekatan, Rineka Cipta, Jakarta.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Anna Trisijayati, dkk, 2012. Kompetensi Anak Dalam Mengambil Keputusan Konsumsi serta Regulasi dan Pemberdayaan Konsumen Anak dalam Mengkonsumsi Makanan Jajanan. Jurnal Aplikasi Manajemen Volume 10 Nomor 2, Malang.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Afif Syaiful Lathif, dkk. Analisis Yuridis Perlindungan Hukum Terhadap Anak sebagai Konsumen dalam Hukum Positif Indonesia. 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Theresia L. Pesulima, 2010. Tinjauan Yuridis Kasus Kontaminasi Susu Formula dalam Perspektif Pembinaan dan Pendidikan Konsumen, Jurnal Sasi, Vol. 17 Nomor 3, Universitas Patimura.</w:t>
      </w:r>
    </w:p>
    <w:p>
      <w:pPr>
        <w:numPr>
          <w:numId w:val="0"/>
        </w:numPr>
        <w:ind w:left="120" w:leftChars="0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ind w:left="120" w:leftChars="0"/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t xml:space="preserve"> Yanuar Farida dan Ivo Novianti, 2011. Perlindungan Anak Berbasis Komunitas; Sebuah Pendekatan dengan Mengarusutamakan Hak Anak, 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t>Informasi, Vol. 16 No. 03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3BE44"/>
    <w:multiLevelType w:val="singleLevel"/>
    <w:tmpl w:val="F283BE44"/>
    <w:lvl w:ilvl="0" w:tentative="0">
      <w:start w:val="13"/>
      <w:numFmt w:val="upperLetter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1586"/>
    <w:rsid w:val="5DC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2023-02-11T07:57:00Z</dcterms:created>
  <dc:creator>I GEDE WIYASA</dc:creator>
  <cp:lastModifiedBy>I GEDE WIYASA</cp:lastModifiedBy>
  <dcterms:modified xsi:type="dcterms:W3CDTF">2023-02-11T08:08:39Z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7A5EF461051B42CCA2C0032221221D5F</vt:lpwstr>
  </property>
</Properties>
</file>