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346C" w14:textId="71B33147" w:rsidR="00BF3DD0" w:rsidRPr="00A52624" w:rsidRDefault="009C3C6C" w:rsidP="009C3C6C">
      <w:pPr>
        <w:jc w:val="center"/>
        <w:rPr>
          <w:b/>
          <w:sz w:val="40"/>
          <w:szCs w:val="32"/>
        </w:rPr>
      </w:pPr>
      <w:r w:rsidRPr="00A52624">
        <w:rPr>
          <w:b/>
          <w:sz w:val="40"/>
          <w:szCs w:val="32"/>
        </w:rPr>
        <w:t>The Effect of Corporate Investment Decisions on the Stock Prices of Sustainable Companies</w:t>
      </w:r>
    </w:p>
    <w:p w14:paraId="02765DAB" w14:textId="783DC607" w:rsidR="00F77650" w:rsidRPr="00A52624" w:rsidRDefault="001F5CFA" w:rsidP="009C3C6C">
      <w:pPr>
        <w:jc w:val="center"/>
        <w:rPr>
          <w:b/>
          <w:sz w:val="28"/>
          <w:szCs w:val="21"/>
        </w:rPr>
      </w:pPr>
      <w:proofErr w:type="spellStart"/>
      <w:r w:rsidRPr="00A52624">
        <w:rPr>
          <w:b/>
          <w:sz w:val="28"/>
          <w:szCs w:val="21"/>
        </w:rPr>
        <w:t>Tejaswini</w:t>
      </w:r>
      <w:proofErr w:type="spellEnd"/>
    </w:p>
    <w:p w14:paraId="400B41F8" w14:textId="133BA113" w:rsidR="001F5CFA" w:rsidRPr="00A52624" w:rsidRDefault="001F5CFA" w:rsidP="009C3C6C">
      <w:pPr>
        <w:jc w:val="center"/>
        <w:rPr>
          <w:b/>
          <w:sz w:val="28"/>
          <w:szCs w:val="21"/>
        </w:rPr>
      </w:pPr>
      <w:r w:rsidRPr="00A52624">
        <w:rPr>
          <w:b/>
          <w:sz w:val="28"/>
          <w:szCs w:val="21"/>
        </w:rPr>
        <w:t xml:space="preserve">MBA Finance Student, </w:t>
      </w:r>
      <w:r w:rsidR="00A52624" w:rsidRPr="00A52624">
        <w:rPr>
          <w:b/>
          <w:sz w:val="28"/>
          <w:szCs w:val="21"/>
        </w:rPr>
        <w:t>Faculty of Management, CMS Business School, Jain Deemed to be University</w:t>
      </w:r>
    </w:p>
    <w:p w14:paraId="7E685233" w14:textId="798BFB56" w:rsidR="00A52624" w:rsidRPr="00A52624" w:rsidRDefault="00A52624" w:rsidP="009C3C6C">
      <w:pPr>
        <w:jc w:val="center"/>
        <w:rPr>
          <w:b/>
          <w:sz w:val="28"/>
          <w:szCs w:val="21"/>
        </w:rPr>
      </w:pPr>
      <w:proofErr w:type="spellStart"/>
      <w:r w:rsidRPr="00A52624">
        <w:rPr>
          <w:b/>
          <w:sz w:val="28"/>
          <w:szCs w:val="21"/>
        </w:rPr>
        <w:t>Dr.Vinoth</w:t>
      </w:r>
      <w:proofErr w:type="spellEnd"/>
      <w:r w:rsidRPr="00A52624">
        <w:rPr>
          <w:b/>
          <w:sz w:val="28"/>
          <w:szCs w:val="21"/>
        </w:rPr>
        <w:t xml:space="preserve"> S (Professor) and </w:t>
      </w:r>
      <w:proofErr w:type="spellStart"/>
      <w:r w:rsidRPr="00A52624">
        <w:rPr>
          <w:b/>
          <w:sz w:val="28"/>
          <w:szCs w:val="21"/>
        </w:rPr>
        <w:t>Dr.Gopalakrishnan</w:t>
      </w:r>
      <w:proofErr w:type="spellEnd"/>
      <w:r w:rsidRPr="00A52624">
        <w:rPr>
          <w:b/>
          <w:sz w:val="28"/>
          <w:szCs w:val="21"/>
        </w:rPr>
        <w:t xml:space="preserve"> C (Associate Professor), </w:t>
      </w:r>
      <w:r w:rsidRPr="00A52624">
        <w:rPr>
          <w:b/>
          <w:sz w:val="28"/>
          <w:szCs w:val="21"/>
        </w:rPr>
        <w:t>Faculty of Management, CMS Business School, Jain Deemed to be University</w:t>
      </w:r>
      <w:r w:rsidRPr="00A52624">
        <w:rPr>
          <w:b/>
          <w:sz w:val="28"/>
          <w:szCs w:val="21"/>
        </w:rPr>
        <w:t>, Bengaluru.</w:t>
      </w:r>
    </w:p>
    <w:p w14:paraId="3E96A1E7" w14:textId="77777777" w:rsidR="00F77650" w:rsidRDefault="00F77650" w:rsidP="009C3C6C">
      <w:pPr>
        <w:pBdr>
          <w:bottom w:val="single" w:sz="6" w:space="1" w:color="auto"/>
        </w:pBdr>
        <w:jc w:val="center"/>
        <w:rPr>
          <w:b/>
          <w:sz w:val="34"/>
        </w:rPr>
      </w:pPr>
    </w:p>
    <w:p w14:paraId="4EBF4021" w14:textId="0C96010E" w:rsidR="00F77650" w:rsidRPr="00F77650" w:rsidRDefault="00F77650" w:rsidP="00F77650">
      <w:pPr>
        <w:rPr>
          <w:b/>
        </w:rPr>
      </w:pPr>
      <w:r w:rsidRPr="00F77650">
        <w:rPr>
          <w:b/>
        </w:rPr>
        <w:t>Abstract</w:t>
      </w:r>
    </w:p>
    <w:p w14:paraId="3881D5BA" w14:textId="20E69A08" w:rsidR="00F77650" w:rsidRDefault="00F77650" w:rsidP="001F5CFA">
      <w:pPr>
        <w:spacing w:line="360" w:lineRule="auto"/>
        <w:jc w:val="both"/>
      </w:pPr>
      <w:r w:rsidRPr="00F77650">
        <w:t>This research work examines the transformation of stock performance for four different companies before and after their investment decisions. The findings reveal that average returns decreased for Reliance and Adani Ports, but increased for Tata and Wipro. The standard deviation increased for all four companies, and the compound annual growth rate (CAGR) decreased for Reliance and Adani, but increased for Tata and Wipro. Regression results indicate a strong relationship between stock performance before and after investment decisions. Tata and Wipro showed improved stock performance, while Reliance and Adani Ports experienced slight declines. These findings highlight the dynamic nature of stock performance and emphasize the importance of thorough research and continuous monitoring when making investment decisions. Further research is needed to better understand the long-term effects of investment decisions on stock performance, considering external factors and market conditions.</w:t>
      </w:r>
    </w:p>
    <w:p w14:paraId="49AFD995" w14:textId="3F66D091" w:rsidR="00F77650" w:rsidRDefault="00F77650" w:rsidP="00F77650">
      <w:pPr>
        <w:pBdr>
          <w:bottom w:val="single" w:sz="6" w:space="1" w:color="auto"/>
        </w:pBdr>
        <w:jc w:val="both"/>
      </w:pPr>
      <w:r>
        <w:t>Keywords: Stock Performance, Investment Decisions, Returns, CAGR, Risk.</w:t>
      </w:r>
    </w:p>
    <w:p w14:paraId="5D54BD45" w14:textId="77777777" w:rsidR="00F77650" w:rsidRDefault="00F77650" w:rsidP="00F77650">
      <w:pPr>
        <w:jc w:val="both"/>
      </w:pPr>
    </w:p>
    <w:p w14:paraId="5545165C" w14:textId="132D4669" w:rsidR="009C3C6C" w:rsidRDefault="001F5CFA" w:rsidP="004F2A82">
      <w:pPr>
        <w:spacing w:line="360" w:lineRule="auto"/>
        <w:rPr>
          <w:b/>
          <w:sz w:val="26"/>
        </w:rPr>
      </w:pPr>
      <w:r>
        <w:rPr>
          <w:b/>
          <w:sz w:val="26"/>
        </w:rPr>
        <w:t>I. INTRODUCTION</w:t>
      </w:r>
    </w:p>
    <w:p w14:paraId="56779C77" w14:textId="77777777" w:rsidR="00EA40A9" w:rsidRPr="00EA40A9" w:rsidRDefault="00EA40A9" w:rsidP="004F2A82">
      <w:pPr>
        <w:spacing w:line="360" w:lineRule="auto"/>
        <w:jc w:val="both"/>
      </w:pPr>
      <w:r w:rsidRPr="00EA40A9">
        <w:t>Corporate investment decisions play a crucial role in shaping the financial performance of companies. These decisions, which involve allocating resources towards various projects and initiatives, can have a significant impact on a company's stock prices. In recent years, there has been a growing awareness and emphasis on sustainability in business practices, with companies incorporating environmental, social, and governance (ESG) factors into their decision-making processes. As a result, the effect of corporate investment decisions on the stock prices of sustainable companies has become a topic of interest for investors, academics, and practitioners alike.</w:t>
      </w:r>
    </w:p>
    <w:p w14:paraId="45BA614A" w14:textId="77777777" w:rsidR="00EA40A9" w:rsidRPr="00EA40A9" w:rsidRDefault="00EA40A9" w:rsidP="004F2A82">
      <w:pPr>
        <w:spacing w:line="360" w:lineRule="auto"/>
        <w:jc w:val="both"/>
      </w:pPr>
      <w:r w:rsidRPr="00EA40A9">
        <w:lastRenderedPageBreak/>
        <w:t>The concept of sustainability in corporate investment decisions involves taking into consideration the long-term impact of investments on a company's financial performance, as well as their environmental and social implications. Sustainable companies are those that strive to balance their economic objectives with environmental and social responsibilities, seeking to create value not only for their shareholders but also for other stakeholders, such as employees, customers, and the broader society. These companies may prioritize investments in renewable energy, resource efficiency, social welfare, diversity and inclusion, and other areas that align with sustainable development goals.</w:t>
      </w:r>
    </w:p>
    <w:p w14:paraId="1A33287B" w14:textId="77777777" w:rsidR="00EA40A9" w:rsidRPr="00EA40A9" w:rsidRDefault="00EA40A9" w:rsidP="004F2A82">
      <w:pPr>
        <w:spacing w:line="360" w:lineRule="auto"/>
        <w:jc w:val="both"/>
      </w:pPr>
      <w:r w:rsidRPr="00EA40A9">
        <w:t>The purpose of this research paper is to explore the effect of corporate investment decisions on the stock prices of sustainable companies. Specifically, the paper will review and analyze existing literature on the relationship between corporate investment decisions and stock prices of sustainable companies. It will examine various theoretical perspectives and empirical evidence to understand the potential mechanisms and factors that drive this relationship. The paper will also discuss the implications of the findings for investors, companies, policymakers, and other stakeholders, and identify areas for future research.</w:t>
      </w:r>
    </w:p>
    <w:p w14:paraId="37A4ACEF" w14:textId="0AC83C67" w:rsidR="00EA40A9" w:rsidRDefault="00EA40A9" w:rsidP="004F2A82">
      <w:pPr>
        <w:spacing w:line="360" w:lineRule="auto"/>
        <w:jc w:val="both"/>
      </w:pPr>
      <w:r w:rsidRPr="00EA40A9">
        <w:t>Overall, understanding the effect of corporate investment decisions on the stock prices of sustainable companies is critical in the context of sustainable finance and responsible investment. It can provide insights into how sustainable practices can impact a company's financial performance and market valuation, and inform investment decisions that align with investors' sustainability goals. Additionally, it can contribute to the growing body of literature on sustainability in finance and provide valuable information for companies seeking to integrate sustainability considerations into their investment decisions.</w:t>
      </w:r>
    </w:p>
    <w:p w14:paraId="3EC1E035" w14:textId="77777777" w:rsidR="00FB6DDF" w:rsidRPr="00EA40A9" w:rsidRDefault="00FB6DDF" w:rsidP="00EA40A9">
      <w:pPr>
        <w:jc w:val="both"/>
      </w:pPr>
    </w:p>
    <w:p w14:paraId="438B13C8" w14:textId="58F542D7" w:rsidR="00EA40A9" w:rsidRPr="00344FFE" w:rsidRDefault="001F5CFA" w:rsidP="004F2A82">
      <w:pPr>
        <w:spacing w:line="360" w:lineRule="auto"/>
        <w:jc w:val="both"/>
        <w:rPr>
          <w:b/>
        </w:rPr>
      </w:pPr>
      <w:r>
        <w:rPr>
          <w:b/>
          <w:sz w:val="28"/>
        </w:rPr>
        <w:t xml:space="preserve">II. </w:t>
      </w:r>
      <w:r w:rsidRPr="00344FFE">
        <w:rPr>
          <w:b/>
          <w:sz w:val="28"/>
        </w:rPr>
        <w:t>CORPORATE INVESTMENT DECISIONS</w:t>
      </w:r>
    </w:p>
    <w:p w14:paraId="4982BA05" w14:textId="77777777" w:rsidR="00BF3DD0" w:rsidRPr="00BF3DD0" w:rsidRDefault="00BF3DD0" w:rsidP="004F2A82">
      <w:pPr>
        <w:spacing w:line="360" w:lineRule="auto"/>
        <w:jc w:val="both"/>
        <w:rPr>
          <w:b/>
        </w:rPr>
      </w:pPr>
      <w:r w:rsidRPr="00BF3DD0">
        <w:rPr>
          <w:b/>
        </w:rPr>
        <w:t>Reliance Industries - Investment in green energy - January 1, 2021:</w:t>
      </w:r>
    </w:p>
    <w:p w14:paraId="37272DE7" w14:textId="77777777" w:rsidR="00BF3DD0" w:rsidRDefault="00BF3DD0" w:rsidP="004F2A82">
      <w:pPr>
        <w:spacing w:line="360" w:lineRule="auto"/>
        <w:jc w:val="both"/>
      </w:pPr>
      <w:r>
        <w:t>On January 1, 2021, Reliance Industries announced its plan to invest $10 billion over the next three years in its new clean energy business, which will focus on creating solar, wind, hydrogen, and fuel cell-based power generation facilities.</w:t>
      </w:r>
    </w:p>
    <w:p w14:paraId="7518D9D2" w14:textId="77777777" w:rsidR="00BF3DD0" w:rsidRPr="00BF3DD0" w:rsidRDefault="00BF3DD0" w:rsidP="004F2A82">
      <w:pPr>
        <w:spacing w:line="360" w:lineRule="auto"/>
        <w:jc w:val="both"/>
        <w:rPr>
          <w:b/>
        </w:rPr>
      </w:pPr>
      <w:r w:rsidRPr="00BF3DD0">
        <w:rPr>
          <w:b/>
        </w:rPr>
        <w:t xml:space="preserve">Tata Group - Acquisition of </w:t>
      </w:r>
      <w:proofErr w:type="spellStart"/>
      <w:r w:rsidRPr="00BF3DD0">
        <w:rPr>
          <w:b/>
        </w:rPr>
        <w:t>BigBasket</w:t>
      </w:r>
      <w:proofErr w:type="spellEnd"/>
      <w:r w:rsidRPr="00BF3DD0">
        <w:rPr>
          <w:b/>
        </w:rPr>
        <w:t xml:space="preserve"> - April 28, 2021:</w:t>
      </w:r>
    </w:p>
    <w:p w14:paraId="55694480" w14:textId="77777777" w:rsidR="00BF3DD0" w:rsidRDefault="00BF3DD0" w:rsidP="004F2A82">
      <w:pPr>
        <w:spacing w:line="360" w:lineRule="auto"/>
        <w:jc w:val="both"/>
      </w:pPr>
      <w:r>
        <w:t xml:space="preserve">On April 28, 2021, the Tata Group announced its acquisition of a 68% stake in </w:t>
      </w:r>
      <w:proofErr w:type="spellStart"/>
      <w:r>
        <w:t>BigBasket</w:t>
      </w:r>
      <w:proofErr w:type="spellEnd"/>
      <w:r>
        <w:t>, an online grocery platform, for approximately $1.2 billion.</w:t>
      </w:r>
    </w:p>
    <w:p w14:paraId="4275BC0A" w14:textId="77777777" w:rsidR="00BF3DD0" w:rsidRPr="00BF3DD0" w:rsidRDefault="00BF3DD0" w:rsidP="004F2A82">
      <w:pPr>
        <w:spacing w:line="360" w:lineRule="auto"/>
        <w:jc w:val="both"/>
        <w:rPr>
          <w:b/>
        </w:rPr>
      </w:pPr>
      <w:r w:rsidRPr="00BF3DD0">
        <w:rPr>
          <w:b/>
        </w:rPr>
        <w:lastRenderedPageBreak/>
        <w:t>Wipro - Acquisition of Capco - March 4, 2021:</w:t>
      </w:r>
    </w:p>
    <w:p w14:paraId="39BBA7CC" w14:textId="77777777" w:rsidR="00BF3DD0" w:rsidRDefault="00BF3DD0" w:rsidP="004F2A82">
      <w:pPr>
        <w:spacing w:line="360" w:lineRule="auto"/>
        <w:jc w:val="both"/>
      </w:pPr>
      <w:r>
        <w:t>On March 4, 2021, Wipro announced its acquisition of Capco, a global management and technology consultancy, for $1.45 billion. This acquisition will help Wipro expand its capabilities in the financial services industry.</w:t>
      </w:r>
    </w:p>
    <w:p w14:paraId="6F21009E" w14:textId="77777777" w:rsidR="00BF3DD0" w:rsidRPr="00BF3DD0" w:rsidRDefault="00BF3DD0" w:rsidP="004F2A82">
      <w:pPr>
        <w:spacing w:line="360" w:lineRule="auto"/>
        <w:jc w:val="both"/>
        <w:rPr>
          <w:b/>
        </w:rPr>
      </w:pPr>
      <w:r w:rsidRPr="00BF3DD0">
        <w:rPr>
          <w:b/>
        </w:rPr>
        <w:t xml:space="preserve">Adani Ports - Acquisition of </w:t>
      </w:r>
      <w:proofErr w:type="spellStart"/>
      <w:r w:rsidRPr="00BF3DD0">
        <w:rPr>
          <w:b/>
        </w:rPr>
        <w:t>Krishnapatnam</w:t>
      </w:r>
      <w:proofErr w:type="spellEnd"/>
      <w:r w:rsidRPr="00BF3DD0">
        <w:rPr>
          <w:b/>
        </w:rPr>
        <w:t xml:space="preserve"> Port - January 3, 2021:</w:t>
      </w:r>
    </w:p>
    <w:p w14:paraId="6021A07D" w14:textId="77777777" w:rsidR="00BF3DD0" w:rsidRDefault="00BF3DD0" w:rsidP="004F2A82">
      <w:pPr>
        <w:spacing w:line="360" w:lineRule="auto"/>
        <w:jc w:val="both"/>
      </w:pPr>
      <w:r>
        <w:t xml:space="preserve">On January 3, 2021, Adani Ports and Special Economic Zone Limited announced its acquisition of a 75% stake in </w:t>
      </w:r>
      <w:proofErr w:type="spellStart"/>
      <w:r>
        <w:t>Krishnapatnam</w:t>
      </w:r>
      <w:proofErr w:type="spellEnd"/>
      <w:r>
        <w:t xml:space="preserve"> Port Company Limited, which operates the second-largest private sector port in India, for approximately $1.9 billion.</w:t>
      </w:r>
    </w:p>
    <w:p w14:paraId="0516B541" w14:textId="77777777" w:rsidR="00BF3DD0" w:rsidRDefault="00BF3DD0" w:rsidP="00BF3DD0"/>
    <w:p w14:paraId="533429EC" w14:textId="41C4C7E7" w:rsidR="00EA40A9" w:rsidRPr="00344FFE" w:rsidRDefault="001F5CFA" w:rsidP="004F2A82">
      <w:pPr>
        <w:spacing w:line="360" w:lineRule="auto"/>
        <w:rPr>
          <w:b/>
          <w:sz w:val="28"/>
        </w:rPr>
      </w:pPr>
      <w:r>
        <w:rPr>
          <w:b/>
          <w:sz w:val="28"/>
        </w:rPr>
        <w:t xml:space="preserve">III. </w:t>
      </w:r>
      <w:r w:rsidRPr="00344FFE">
        <w:rPr>
          <w:b/>
          <w:sz w:val="28"/>
        </w:rPr>
        <w:t>REVIEW OF LITERATURE</w:t>
      </w:r>
    </w:p>
    <w:p w14:paraId="68D202F4" w14:textId="77777777" w:rsidR="003A2E27" w:rsidRPr="00A95EF9" w:rsidRDefault="003A2E27" w:rsidP="004F2A82">
      <w:pPr>
        <w:autoSpaceDE w:val="0"/>
        <w:autoSpaceDN w:val="0"/>
        <w:adjustRightInd w:val="0"/>
        <w:spacing w:line="360" w:lineRule="auto"/>
        <w:jc w:val="both"/>
        <w:rPr>
          <w:color w:val="000000" w:themeColor="text1"/>
          <w:kern w:val="2"/>
          <w:shd w:val="clear" w:color="auto" w:fill="FFFFFF"/>
        </w:rPr>
      </w:pPr>
      <w:r w:rsidRPr="004F2A82">
        <w:rPr>
          <w:b/>
          <w:color w:val="000000" w:themeColor="text1"/>
          <w:kern w:val="2"/>
          <w:shd w:val="clear" w:color="auto" w:fill="FFFFFF"/>
        </w:rPr>
        <w:t>Umar Farooq et.al (2022),</w:t>
      </w:r>
      <w:r w:rsidRPr="00A95EF9">
        <w:rPr>
          <w:color w:val="000000" w:themeColor="text1"/>
          <w:kern w:val="2"/>
          <w:shd w:val="clear" w:color="auto" w:fill="FFFFFF"/>
        </w:rPr>
        <w:t xml:space="preserve"> attempt to review relevant literature on the theme of corporate real investment decisions. We have conducted a comprehensive survey of literature on the studies published in well-reputed journals of finance. The theoretical analysis reveals that information asymmetry, cash holdings, policy uncertainty, idiosyncratic risk, governance quality, financing diversification, financial development, managerial network, investor protection, tax policy, etc., are prominent factors influencing investment decisions. The current review analysis is useful and has certain policy implications for investment managers regarding investment decisions.</w:t>
      </w:r>
    </w:p>
    <w:p w14:paraId="68CC508C" w14:textId="77777777" w:rsidR="003A2E27" w:rsidRPr="00A95EF9" w:rsidRDefault="00A52624" w:rsidP="004F2A82">
      <w:pPr>
        <w:autoSpaceDE w:val="0"/>
        <w:autoSpaceDN w:val="0"/>
        <w:adjustRightInd w:val="0"/>
        <w:spacing w:line="360" w:lineRule="auto"/>
        <w:jc w:val="both"/>
        <w:rPr>
          <w:rStyle w:val="apple-converted-space"/>
          <w:color w:val="000000" w:themeColor="text1"/>
          <w:shd w:val="clear" w:color="auto" w:fill="FFFFFF"/>
        </w:rPr>
      </w:pPr>
      <w:hyperlink r:id="rId5" w:history="1">
        <w:proofErr w:type="spellStart"/>
        <w:r w:rsidR="003A2E27" w:rsidRPr="004F2A82">
          <w:rPr>
            <w:rStyle w:val="surname"/>
            <w:b/>
            <w:color w:val="000000" w:themeColor="text1"/>
          </w:rPr>
          <w:t>Dhananjaya</w:t>
        </w:r>
      </w:hyperlink>
      <w:r w:rsidR="003A2E27" w:rsidRPr="004F2A82">
        <w:rPr>
          <w:b/>
          <w:color w:val="000000" w:themeColor="text1"/>
        </w:rPr>
        <w:t>,K</w:t>
      </w:r>
      <w:proofErr w:type="spellEnd"/>
      <w:r w:rsidR="003A2E27" w:rsidRPr="004F2A82">
        <w:rPr>
          <w:b/>
          <w:color w:val="000000" w:themeColor="text1"/>
        </w:rPr>
        <w:t>. (2023),</w:t>
      </w:r>
      <w:r w:rsidR="003A2E27" w:rsidRPr="00A95EF9">
        <w:rPr>
          <w:color w:val="000000" w:themeColor="text1"/>
        </w:rPr>
        <w:t xml:space="preserve"> </w:t>
      </w:r>
      <w:r w:rsidR="003A2E27" w:rsidRPr="00A95EF9">
        <w:rPr>
          <w:color w:val="000000" w:themeColor="text1"/>
          <w:shd w:val="clear" w:color="auto" w:fill="FFFFFF"/>
        </w:rPr>
        <w:t>This study aims to examine the impact of stock market valuation on corporate investment. Specifically, it attempts to understand the influence of both the fundamental and non-fundamental components of stock price on firms’ investment decisions. The study finds that both the fundamental and non-fundamental components of stock price influence the investment decisions along with the cash flow variable. The market valuation–investment nexus is more pronounced in the case of equity-dependent firms, which shows that stock valuation affects corporate investment predominantly through the equity transaction channel.</w:t>
      </w:r>
      <w:r w:rsidR="003A2E27" w:rsidRPr="00A95EF9">
        <w:rPr>
          <w:rStyle w:val="apple-converted-space"/>
          <w:color w:val="000000" w:themeColor="text1"/>
          <w:shd w:val="clear" w:color="auto" w:fill="FFFFFF"/>
        </w:rPr>
        <w:t> </w:t>
      </w:r>
    </w:p>
    <w:p w14:paraId="55870734" w14:textId="77777777" w:rsidR="003A2E27" w:rsidRPr="00A95EF9" w:rsidRDefault="003A2E27" w:rsidP="004F2A82">
      <w:pPr>
        <w:pStyle w:val="NormalWeb"/>
        <w:shd w:val="clear" w:color="auto" w:fill="FFFFFF"/>
        <w:spacing w:line="360" w:lineRule="auto"/>
        <w:jc w:val="both"/>
        <w:rPr>
          <w:color w:val="000000" w:themeColor="text1"/>
        </w:rPr>
      </w:pPr>
      <w:r w:rsidRPr="004F2A82">
        <w:rPr>
          <w:rStyle w:val="given-name"/>
          <w:b/>
          <w:color w:val="000000" w:themeColor="text1"/>
        </w:rPr>
        <w:t>Sagar</w:t>
      </w:r>
      <w:r w:rsidRPr="004F2A82">
        <w:rPr>
          <w:rStyle w:val="apple-converted-space"/>
          <w:b/>
          <w:color w:val="000000" w:themeColor="text1"/>
        </w:rPr>
        <w:t> </w:t>
      </w:r>
      <w:r w:rsidRPr="004F2A82">
        <w:rPr>
          <w:rStyle w:val="text"/>
          <w:b/>
          <w:color w:val="000000" w:themeColor="text1"/>
        </w:rPr>
        <w:t>Patil</w:t>
      </w:r>
      <w:r w:rsidRPr="004F2A82">
        <w:rPr>
          <w:rStyle w:val="apple-converted-space"/>
          <w:b/>
          <w:color w:val="000000" w:themeColor="text1"/>
        </w:rPr>
        <w:t> </w:t>
      </w:r>
      <w:r w:rsidRPr="004F2A82">
        <w:rPr>
          <w:b/>
          <w:color w:val="000000" w:themeColor="text1"/>
        </w:rPr>
        <w:t xml:space="preserve">and </w:t>
      </w:r>
      <w:proofErr w:type="spellStart"/>
      <w:r w:rsidRPr="004F2A82">
        <w:rPr>
          <w:rStyle w:val="given-name"/>
          <w:b/>
          <w:color w:val="000000" w:themeColor="text1"/>
        </w:rPr>
        <w:t>Virupaxi</w:t>
      </w:r>
      <w:proofErr w:type="spellEnd"/>
      <w:r w:rsidRPr="004F2A82">
        <w:rPr>
          <w:rStyle w:val="apple-converted-space"/>
          <w:b/>
          <w:color w:val="000000" w:themeColor="text1"/>
        </w:rPr>
        <w:t> </w:t>
      </w:r>
      <w:proofErr w:type="spellStart"/>
      <w:r w:rsidRPr="004F2A82">
        <w:rPr>
          <w:rStyle w:val="text"/>
          <w:b/>
          <w:color w:val="000000" w:themeColor="text1"/>
        </w:rPr>
        <w:t>Bagodi</w:t>
      </w:r>
      <w:proofErr w:type="spellEnd"/>
      <w:r w:rsidRPr="004F2A82">
        <w:rPr>
          <w:rStyle w:val="apple-converted-space"/>
          <w:b/>
          <w:color w:val="000000" w:themeColor="text1"/>
        </w:rPr>
        <w:t xml:space="preserve"> (2021),</w:t>
      </w:r>
      <w:r w:rsidRPr="00A95EF9">
        <w:rPr>
          <w:rStyle w:val="apple-converted-space"/>
          <w:color w:val="000000" w:themeColor="text1"/>
        </w:rPr>
        <w:t xml:space="preserve"> attempt to </w:t>
      </w:r>
      <w:r w:rsidRPr="00A95EF9">
        <w:rPr>
          <w:color w:val="000000" w:themeColor="text1"/>
        </w:rPr>
        <w:t xml:space="preserve">understanding of individual investor’s behaviour towards stock market by the policy makers, institutions, market infrastructure institutions, and companies find it challenging. The behaviour is caused by the reaction to different factors/attributes. In order to understand the factors that influence the investor’s investment decision a study was undertaken in Indian stock market consisting of 10 sectors with 30 companies listed on BSE-30 SENSEX. It was found that ‘must be’ attributes include condition of financial statements, current economic indicators, and the result of technical analysis and ‘insider </w:t>
      </w:r>
      <w:r w:rsidRPr="00A95EF9">
        <w:rPr>
          <w:color w:val="000000" w:themeColor="text1"/>
        </w:rPr>
        <w:lastRenderedPageBreak/>
        <w:t>information’ is a ‘delight’ attribute. The study revealed the factors are affecting the decision making of investors. The consideration of factors for investment decision making is sector specific and helps various parties in understanding the investment decision behaviour of investors’.</w:t>
      </w:r>
    </w:p>
    <w:p w14:paraId="15E47FEE" w14:textId="77777777" w:rsidR="003A2E27" w:rsidRPr="00A95EF9" w:rsidRDefault="003A2E27" w:rsidP="004F2A82">
      <w:pPr>
        <w:pStyle w:val="NormalWeb"/>
        <w:spacing w:line="360" w:lineRule="auto"/>
        <w:jc w:val="both"/>
        <w:rPr>
          <w:color w:val="000000" w:themeColor="text1"/>
        </w:rPr>
      </w:pPr>
      <w:proofErr w:type="spellStart"/>
      <w:r w:rsidRPr="00A95EF9">
        <w:rPr>
          <w:b/>
          <w:bCs/>
          <w:color w:val="000000" w:themeColor="text1"/>
        </w:rPr>
        <w:t>Parmjit</w:t>
      </w:r>
      <w:proofErr w:type="spellEnd"/>
      <w:r w:rsidRPr="00A95EF9">
        <w:rPr>
          <w:b/>
          <w:bCs/>
          <w:color w:val="000000" w:themeColor="text1"/>
        </w:rPr>
        <w:t xml:space="preserve"> Kaur and Randeep Kaur (2019), </w:t>
      </w:r>
      <w:r w:rsidRPr="00A95EF9">
        <w:rPr>
          <w:color w:val="000000" w:themeColor="text1"/>
        </w:rPr>
        <w:t xml:space="preserve">captured the effects of announcements of strategic investment decisions on market value of firm and also established the relationship between market value and firm-specific variables. The study is based on strategic investment announcements made by BSE-500 firms, and final sample for the study consists of 581 strategic investment announcements made by 217 firms.  The results provide strong evidence that the strategic investment decisions’ announcements in India contain a positive information signal, and these are perceived as value-enhancing decisions by the investors. The results also help to improve the understanding of how different firm-specific factors may influence market reaction to announcements of strategic investment decisions. </w:t>
      </w:r>
    </w:p>
    <w:p w14:paraId="114377FF" w14:textId="5BC3ED5D" w:rsidR="003A2E27" w:rsidRPr="00A95EF9" w:rsidRDefault="003A2E27" w:rsidP="001F5CFA">
      <w:pPr>
        <w:pStyle w:val="NormalWeb"/>
        <w:spacing w:line="360" w:lineRule="auto"/>
        <w:jc w:val="both"/>
        <w:rPr>
          <w:color w:val="000000" w:themeColor="text1"/>
        </w:rPr>
      </w:pPr>
      <w:proofErr w:type="spellStart"/>
      <w:r w:rsidRPr="001F5CFA">
        <w:rPr>
          <w:b/>
          <w:bCs/>
          <w:color w:val="000000" w:themeColor="text1"/>
        </w:rPr>
        <w:t>Rengaraju</w:t>
      </w:r>
      <w:proofErr w:type="spellEnd"/>
      <w:r w:rsidRPr="001F5CFA">
        <w:rPr>
          <w:b/>
          <w:bCs/>
          <w:color w:val="000000" w:themeColor="text1"/>
        </w:rPr>
        <w:t xml:space="preserve"> Natarajan et. al (2020),</w:t>
      </w:r>
      <w:r w:rsidRPr="00A95EF9">
        <w:rPr>
          <w:color w:val="000000" w:themeColor="text1"/>
        </w:rPr>
        <w:t xml:space="preserve"> this study was to examine the relationship between stock returns and financial performance for firms listed at the Bombay Stock Exchange (BSE). The study used a descriptive research design and targeted a firm listed at the BSE. The results of correlation found a substantial positive correlation between stock returns and financial performance but found an insignificant positive correlation between stock returns and dividend </w:t>
      </w:r>
      <w:proofErr w:type="spellStart"/>
      <w:r w:rsidRPr="00A95EF9">
        <w:rPr>
          <w:color w:val="000000" w:themeColor="text1"/>
        </w:rPr>
        <w:t>payout</w:t>
      </w:r>
      <w:proofErr w:type="spellEnd"/>
      <w:r w:rsidRPr="00A95EF9">
        <w:rPr>
          <w:color w:val="000000" w:themeColor="text1"/>
        </w:rPr>
        <w:t xml:space="preserve"> ratio of the BSE listed firms. The study concluded that there is a direct relationship between stock returns and financial performance, hence rise in a financial performance of the listed firms increases stock returns of firms listed at the BSE. </w:t>
      </w:r>
    </w:p>
    <w:p w14:paraId="42DC64B9" w14:textId="30D5E6E7" w:rsidR="00EA40A9" w:rsidRPr="00EA40A9" w:rsidRDefault="001F5CFA" w:rsidP="001F5CFA">
      <w:pPr>
        <w:spacing w:line="360" w:lineRule="auto"/>
        <w:jc w:val="both"/>
        <w:rPr>
          <w:b/>
          <w:sz w:val="28"/>
        </w:rPr>
      </w:pPr>
      <w:r>
        <w:rPr>
          <w:b/>
          <w:sz w:val="28"/>
        </w:rPr>
        <w:t xml:space="preserve">IV. </w:t>
      </w:r>
      <w:r w:rsidRPr="00EA40A9">
        <w:rPr>
          <w:b/>
          <w:sz w:val="28"/>
        </w:rPr>
        <w:t>RESEARCH METHODOLOGY</w:t>
      </w:r>
    </w:p>
    <w:p w14:paraId="1C10E267" w14:textId="77777777" w:rsidR="00EA40A9" w:rsidRDefault="00EA40A9" w:rsidP="001F5CFA">
      <w:pPr>
        <w:spacing w:line="360" w:lineRule="auto"/>
        <w:jc w:val="both"/>
      </w:pPr>
      <w:r w:rsidRPr="001F5CFA">
        <w:rPr>
          <w:b/>
          <w:bCs/>
        </w:rPr>
        <w:t>Research Design:</w:t>
      </w:r>
      <w:r>
        <w:t xml:space="preserve"> Selecting an appropriate research design that aligns with the research objectives and the nature of the study. This could be an empirical study using quantitative data, such as historical stock prices and financial statements of companies, to analyze the relationship between corporate investment decisions and stock prices.</w:t>
      </w:r>
    </w:p>
    <w:p w14:paraId="4ECA510D" w14:textId="77777777" w:rsidR="00EA40A9" w:rsidRDefault="00EA40A9" w:rsidP="001F5CFA">
      <w:pPr>
        <w:spacing w:line="360" w:lineRule="auto"/>
        <w:jc w:val="both"/>
      </w:pPr>
      <w:r w:rsidRPr="001F5CFA">
        <w:rPr>
          <w:b/>
          <w:bCs/>
        </w:rPr>
        <w:t>Hypothesis Development:</w:t>
      </w:r>
      <w:r>
        <w:t xml:space="preserve"> Formulating research hypotheses based on the research question and relevant literature review. For example, a hypothesis could be "There is a positive relationship between corporate investment decisions (e.g., capital expenditure, R&amp;D spending) and stock prices of companies."</w:t>
      </w:r>
    </w:p>
    <w:p w14:paraId="42942C13" w14:textId="77777777" w:rsidR="00EA40A9" w:rsidRDefault="00EA40A9" w:rsidP="001F5CFA">
      <w:pPr>
        <w:spacing w:line="360" w:lineRule="auto"/>
        <w:jc w:val="both"/>
      </w:pPr>
      <w:r w:rsidRPr="001F5CFA">
        <w:rPr>
          <w:b/>
          <w:bCs/>
        </w:rPr>
        <w:lastRenderedPageBreak/>
        <w:t>Data Collection:</w:t>
      </w:r>
      <w:r>
        <w:t xml:space="preserve"> Identifying and collecting relevant data to test the research hypotheses. This could involve gathering historical stock price data and financial statements from reliable sources, such as financial databases or company annual reports. It is important to ensure data accuracy and reliability.</w:t>
      </w:r>
    </w:p>
    <w:p w14:paraId="43A29A9E" w14:textId="4F3F09DE" w:rsidR="00EA40A9" w:rsidRDefault="00EA40A9" w:rsidP="001F5CFA">
      <w:pPr>
        <w:spacing w:line="360" w:lineRule="auto"/>
        <w:jc w:val="both"/>
      </w:pPr>
      <w:r w:rsidRPr="001F5CFA">
        <w:rPr>
          <w:b/>
          <w:bCs/>
        </w:rPr>
        <w:t>Data Analysis</w:t>
      </w:r>
      <w:r>
        <w:t>: Analyzing the collected data using appropriate statistical techniques. For example, conducting regression analysis to examine the relationship between corporate investment decisions and stock prices, and determining the significance of the findings.</w:t>
      </w:r>
    </w:p>
    <w:p w14:paraId="501276EA" w14:textId="77777777" w:rsidR="00BF3DD0" w:rsidRDefault="00BF3DD0" w:rsidP="001F5CFA">
      <w:pPr>
        <w:spacing w:line="360" w:lineRule="auto"/>
        <w:jc w:val="both"/>
      </w:pPr>
      <w:r>
        <w:t xml:space="preserve">Step 1 Collect Stock prices of the above companies before 30 days and after 30 days </w:t>
      </w:r>
    </w:p>
    <w:p w14:paraId="6F68CED7" w14:textId="77777777" w:rsidR="00BF3DD0" w:rsidRDefault="00BF3DD0" w:rsidP="001F5CFA">
      <w:pPr>
        <w:spacing w:line="360" w:lineRule="auto"/>
        <w:jc w:val="both"/>
      </w:pPr>
      <w:r>
        <w:t>Step 2 Calculate daily returns – Both before and after, average returns, Standard deviation and CAGR</w:t>
      </w:r>
    </w:p>
    <w:p w14:paraId="22D3F429" w14:textId="77777777" w:rsidR="00BF3DD0" w:rsidRDefault="00BF3DD0" w:rsidP="001F5CFA">
      <w:pPr>
        <w:spacing w:line="360" w:lineRule="auto"/>
        <w:jc w:val="both"/>
      </w:pPr>
      <w:r>
        <w:t>Step 3 Test the relationship between before and after using Regression Statistical Test</w:t>
      </w:r>
    </w:p>
    <w:p w14:paraId="1EDC7FCE" w14:textId="771863A9" w:rsidR="006D0E42" w:rsidRDefault="00BF3DD0" w:rsidP="00BF3DD0">
      <w:r>
        <w:t xml:space="preserve"> </w:t>
      </w:r>
    </w:p>
    <w:p w14:paraId="78B9B087" w14:textId="418AF19A" w:rsidR="006D0E42" w:rsidRPr="00344FFE" w:rsidRDefault="001F5CFA" w:rsidP="00BF3DD0">
      <w:pPr>
        <w:rPr>
          <w:b/>
          <w:sz w:val="28"/>
        </w:rPr>
      </w:pPr>
      <w:r>
        <w:rPr>
          <w:b/>
          <w:sz w:val="28"/>
        </w:rPr>
        <w:t xml:space="preserve">V. </w:t>
      </w:r>
      <w:r w:rsidRPr="00344FFE">
        <w:rPr>
          <w:b/>
          <w:sz w:val="28"/>
        </w:rPr>
        <w:t>ANALYSIS AND RESULTS</w:t>
      </w:r>
    </w:p>
    <w:p w14:paraId="06B62DDF" w14:textId="77777777" w:rsidR="006D0E42" w:rsidRPr="00344FFE" w:rsidRDefault="00344FFE" w:rsidP="00344FFE">
      <w:pPr>
        <w:jc w:val="center"/>
        <w:rPr>
          <w:b/>
          <w:sz w:val="28"/>
        </w:rPr>
      </w:pPr>
      <w:r>
        <w:rPr>
          <w:b/>
          <w:sz w:val="28"/>
        </w:rPr>
        <w:t>1.</w:t>
      </w:r>
      <w:r w:rsidR="006D0E42" w:rsidRPr="00344FFE">
        <w:rPr>
          <w:b/>
          <w:sz w:val="28"/>
        </w:rPr>
        <w:t>Reliance Industries Ltd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498"/>
        <w:gridCol w:w="1432"/>
        <w:gridCol w:w="1432"/>
        <w:gridCol w:w="1496"/>
        <w:gridCol w:w="1431"/>
      </w:tblGrid>
      <w:tr w:rsidR="006D0E42" w:rsidRPr="006D0E42" w14:paraId="326E16B6" w14:textId="77777777" w:rsidTr="006D0E42">
        <w:trPr>
          <w:trHeight w:val="300"/>
          <w:jc w:val="center"/>
        </w:trPr>
        <w:tc>
          <w:tcPr>
            <w:tcW w:w="2669" w:type="pct"/>
            <w:gridSpan w:val="3"/>
            <w:shd w:val="clear" w:color="auto" w:fill="auto"/>
            <w:noWrap/>
            <w:vAlign w:val="bottom"/>
            <w:hideMark/>
          </w:tcPr>
          <w:p w14:paraId="160A7D2F" w14:textId="77777777" w:rsidR="006D0E42" w:rsidRPr="006D0E42" w:rsidRDefault="006D0E42" w:rsidP="006D0E42">
            <w:pPr>
              <w:jc w:val="center"/>
              <w:rPr>
                <w:sz w:val="20"/>
                <w:szCs w:val="20"/>
              </w:rPr>
            </w:pPr>
            <w:r w:rsidRPr="006D0E42">
              <w:rPr>
                <w:rFonts w:ascii="Calibri" w:hAnsi="Calibri" w:cs="Calibri"/>
                <w:color w:val="000000"/>
              </w:rPr>
              <w:t>Before</w:t>
            </w:r>
          </w:p>
        </w:tc>
        <w:tc>
          <w:tcPr>
            <w:tcW w:w="2331" w:type="pct"/>
            <w:gridSpan w:val="3"/>
            <w:shd w:val="clear" w:color="auto" w:fill="auto"/>
            <w:noWrap/>
            <w:vAlign w:val="bottom"/>
            <w:hideMark/>
          </w:tcPr>
          <w:p w14:paraId="2B713E41" w14:textId="77777777" w:rsidR="006D0E42" w:rsidRPr="006D0E42" w:rsidRDefault="006D0E42" w:rsidP="006D0E42">
            <w:pPr>
              <w:jc w:val="center"/>
              <w:rPr>
                <w:sz w:val="20"/>
                <w:szCs w:val="20"/>
              </w:rPr>
            </w:pPr>
            <w:r w:rsidRPr="006D0E42">
              <w:rPr>
                <w:rFonts w:ascii="Calibri" w:hAnsi="Calibri" w:cs="Calibri"/>
                <w:color w:val="000000"/>
              </w:rPr>
              <w:t>After</w:t>
            </w:r>
          </w:p>
        </w:tc>
      </w:tr>
      <w:tr w:rsidR="006D0E42" w:rsidRPr="006D0E42" w14:paraId="628C98EA" w14:textId="77777777" w:rsidTr="006D0E42">
        <w:trPr>
          <w:trHeight w:val="300"/>
          <w:jc w:val="center"/>
        </w:trPr>
        <w:tc>
          <w:tcPr>
            <w:tcW w:w="1102" w:type="pct"/>
            <w:shd w:val="clear" w:color="auto" w:fill="auto"/>
            <w:noWrap/>
            <w:vAlign w:val="bottom"/>
            <w:hideMark/>
          </w:tcPr>
          <w:p w14:paraId="446A0874"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Date</w:t>
            </w:r>
          </w:p>
        </w:tc>
        <w:tc>
          <w:tcPr>
            <w:tcW w:w="801" w:type="pct"/>
            <w:shd w:val="clear" w:color="auto" w:fill="auto"/>
            <w:noWrap/>
            <w:vAlign w:val="bottom"/>
            <w:hideMark/>
          </w:tcPr>
          <w:p w14:paraId="32D316CB"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Close Price</w:t>
            </w:r>
          </w:p>
        </w:tc>
        <w:tc>
          <w:tcPr>
            <w:tcW w:w="766" w:type="pct"/>
            <w:shd w:val="clear" w:color="auto" w:fill="auto"/>
            <w:noWrap/>
            <w:vAlign w:val="bottom"/>
            <w:hideMark/>
          </w:tcPr>
          <w:p w14:paraId="671E3C9D"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Return</w:t>
            </w:r>
          </w:p>
        </w:tc>
        <w:tc>
          <w:tcPr>
            <w:tcW w:w="766" w:type="pct"/>
            <w:shd w:val="clear" w:color="auto" w:fill="auto"/>
            <w:noWrap/>
            <w:vAlign w:val="bottom"/>
            <w:hideMark/>
          </w:tcPr>
          <w:p w14:paraId="0E084F32"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Date</w:t>
            </w:r>
          </w:p>
        </w:tc>
        <w:tc>
          <w:tcPr>
            <w:tcW w:w="800" w:type="pct"/>
            <w:shd w:val="clear" w:color="auto" w:fill="auto"/>
            <w:noWrap/>
            <w:vAlign w:val="bottom"/>
            <w:hideMark/>
          </w:tcPr>
          <w:p w14:paraId="6FD2E3D0"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Close Price</w:t>
            </w:r>
          </w:p>
        </w:tc>
        <w:tc>
          <w:tcPr>
            <w:tcW w:w="765" w:type="pct"/>
            <w:shd w:val="clear" w:color="auto" w:fill="auto"/>
            <w:noWrap/>
            <w:vAlign w:val="bottom"/>
            <w:hideMark/>
          </w:tcPr>
          <w:p w14:paraId="087A9AAD"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Return</w:t>
            </w:r>
          </w:p>
        </w:tc>
      </w:tr>
      <w:tr w:rsidR="006D0E42" w:rsidRPr="006D0E42" w14:paraId="12833C73" w14:textId="77777777" w:rsidTr="006D0E42">
        <w:trPr>
          <w:trHeight w:val="300"/>
          <w:jc w:val="center"/>
        </w:trPr>
        <w:tc>
          <w:tcPr>
            <w:tcW w:w="1102" w:type="pct"/>
            <w:shd w:val="clear" w:color="auto" w:fill="auto"/>
            <w:noWrap/>
            <w:vAlign w:val="bottom"/>
            <w:hideMark/>
          </w:tcPr>
          <w:p w14:paraId="46D34072"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1-Dec-20</w:t>
            </w:r>
          </w:p>
        </w:tc>
        <w:tc>
          <w:tcPr>
            <w:tcW w:w="801" w:type="pct"/>
            <w:shd w:val="clear" w:color="auto" w:fill="auto"/>
            <w:noWrap/>
            <w:vAlign w:val="bottom"/>
            <w:hideMark/>
          </w:tcPr>
          <w:p w14:paraId="315C1D6C"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1954.3</w:t>
            </w:r>
          </w:p>
        </w:tc>
        <w:tc>
          <w:tcPr>
            <w:tcW w:w="766" w:type="pct"/>
            <w:shd w:val="clear" w:color="auto" w:fill="auto"/>
            <w:noWrap/>
            <w:vAlign w:val="bottom"/>
            <w:hideMark/>
          </w:tcPr>
          <w:p w14:paraId="35E18111" w14:textId="77777777" w:rsidR="006D0E42" w:rsidRPr="006D0E42" w:rsidRDefault="006D0E42" w:rsidP="006D0E42">
            <w:pPr>
              <w:jc w:val="center"/>
              <w:rPr>
                <w:rFonts w:ascii="Calibri" w:hAnsi="Calibri" w:cs="Calibri"/>
                <w:color w:val="000000"/>
              </w:rPr>
            </w:pPr>
          </w:p>
        </w:tc>
        <w:tc>
          <w:tcPr>
            <w:tcW w:w="766" w:type="pct"/>
            <w:shd w:val="clear" w:color="auto" w:fill="auto"/>
            <w:noWrap/>
            <w:vAlign w:val="bottom"/>
            <w:hideMark/>
          </w:tcPr>
          <w:p w14:paraId="272131EF"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1-Jan-21</w:t>
            </w:r>
          </w:p>
        </w:tc>
        <w:tc>
          <w:tcPr>
            <w:tcW w:w="800" w:type="pct"/>
            <w:shd w:val="clear" w:color="auto" w:fill="auto"/>
            <w:noWrap/>
            <w:vAlign w:val="bottom"/>
            <w:hideMark/>
          </w:tcPr>
          <w:p w14:paraId="3F855F9D"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1987.15</w:t>
            </w:r>
          </w:p>
        </w:tc>
        <w:tc>
          <w:tcPr>
            <w:tcW w:w="765" w:type="pct"/>
            <w:shd w:val="clear" w:color="auto" w:fill="auto"/>
            <w:noWrap/>
            <w:vAlign w:val="bottom"/>
            <w:hideMark/>
          </w:tcPr>
          <w:p w14:paraId="7AB1CFF1"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w:t>
            </w:r>
          </w:p>
        </w:tc>
      </w:tr>
      <w:tr w:rsidR="006D0E42" w:rsidRPr="006D0E42" w14:paraId="38894E14" w14:textId="77777777" w:rsidTr="006D0E42">
        <w:trPr>
          <w:trHeight w:val="300"/>
          <w:jc w:val="center"/>
        </w:trPr>
        <w:tc>
          <w:tcPr>
            <w:tcW w:w="1102" w:type="pct"/>
            <w:shd w:val="clear" w:color="auto" w:fill="auto"/>
            <w:noWrap/>
            <w:vAlign w:val="bottom"/>
            <w:hideMark/>
          </w:tcPr>
          <w:p w14:paraId="4FB2D0D5"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2-Dec-20</w:t>
            </w:r>
          </w:p>
        </w:tc>
        <w:tc>
          <w:tcPr>
            <w:tcW w:w="801" w:type="pct"/>
            <w:shd w:val="clear" w:color="auto" w:fill="auto"/>
            <w:noWrap/>
            <w:vAlign w:val="bottom"/>
            <w:hideMark/>
          </w:tcPr>
          <w:p w14:paraId="1A02590B"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1957.6</w:t>
            </w:r>
          </w:p>
        </w:tc>
        <w:tc>
          <w:tcPr>
            <w:tcW w:w="766" w:type="pct"/>
            <w:shd w:val="clear" w:color="auto" w:fill="auto"/>
            <w:noWrap/>
            <w:vAlign w:val="bottom"/>
            <w:hideMark/>
          </w:tcPr>
          <w:p w14:paraId="671EB06B"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0.17%</w:t>
            </w:r>
          </w:p>
        </w:tc>
        <w:tc>
          <w:tcPr>
            <w:tcW w:w="766" w:type="pct"/>
            <w:shd w:val="clear" w:color="auto" w:fill="auto"/>
            <w:noWrap/>
            <w:vAlign w:val="bottom"/>
            <w:hideMark/>
          </w:tcPr>
          <w:p w14:paraId="1F62E645"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4-Jan-21</w:t>
            </w:r>
          </w:p>
        </w:tc>
        <w:tc>
          <w:tcPr>
            <w:tcW w:w="800" w:type="pct"/>
            <w:shd w:val="clear" w:color="auto" w:fill="auto"/>
            <w:noWrap/>
            <w:vAlign w:val="bottom"/>
            <w:hideMark/>
          </w:tcPr>
          <w:p w14:paraId="3028A009"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1990.65</w:t>
            </w:r>
          </w:p>
        </w:tc>
        <w:tc>
          <w:tcPr>
            <w:tcW w:w="765" w:type="pct"/>
            <w:shd w:val="clear" w:color="auto" w:fill="auto"/>
            <w:noWrap/>
            <w:vAlign w:val="bottom"/>
            <w:hideMark/>
          </w:tcPr>
          <w:p w14:paraId="2190513D"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0.18%</w:t>
            </w:r>
          </w:p>
        </w:tc>
      </w:tr>
      <w:tr w:rsidR="006D0E42" w:rsidRPr="006D0E42" w14:paraId="37983817" w14:textId="77777777" w:rsidTr="006D0E42">
        <w:trPr>
          <w:trHeight w:val="300"/>
          <w:jc w:val="center"/>
        </w:trPr>
        <w:tc>
          <w:tcPr>
            <w:tcW w:w="1102" w:type="pct"/>
            <w:shd w:val="clear" w:color="auto" w:fill="auto"/>
            <w:noWrap/>
            <w:vAlign w:val="bottom"/>
            <w:hideMark/>
          </w:tcPr>
          <w:p w14:paraId="06852298"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3-Dec-20</w:t>
            </w:r>
          </w:p>
        </w:tc>
        <w:tc>
          <w:tcPr>
            <w:tcW w:w="801" w:type="pct"/>
            <w:shd w:val="clear" w:color="auto" w:fill="auto"/>
            <w:noWrap/>
            <w:vAlign w:val="bottom"/>
            <w:hideMark/>
          </w:tcPr>
          <w:p w14:paraId="3C8CE614"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1963.45</w:t>
            </w:r>
          </w:p>
        </w:tc>
        <w:tc>
          <w:tcPr>
            <w:tcW w:w="766" w:type="pct"/>
            <w:shd w:val="clear" w:color="auto" w:fill="auto"/>
            <w:noWrap/>
            <w:vAlign w:val="bottom"/>
            <w:hideMark/>
          </w:tcPr>
          <w:p w14:paraId="04636456"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0.30%</w:t>
            </w:r>
          </w:p>
        </w:tc>
        <w:tc>
          <w:tcPr>
            <w:tcW w:w="766" w:type="pct"/>
            <w:shd w:val="clear" w:color="auto" w:fill="auto"/>
            <w:noWrap/>
            <w:vAlign w:val="bottom"/>
            <w:hideMark/>
          </w:tcPr>
          <w:p w14:paraId="740CED43"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5-Jan-21</w:t>
            </w:r>
          </w:p>
        </w:tc>
        <w:tc>
          <w:tcPr>
            <w:tcW w:w="800" w:type="pct"/>
            <w:shd w:val="clear" w:color="auto" w:fill="auto"/>
            <w:noWrap/>
            <w:vAlign w:val="bottom"/>
            <w:hideMark/>
          </w:tcPr>
          <w:p w14:paraId="2EF7221F"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1966</w:t>
            </w:r>
          </w:p>
        </w:tc>
        <w:tc>
          <w:tcPr>
            <w:tcW w:w="765" w:type="pct"/>
            <w:shd w:val="clear" w:color="auto" w:fill="auto"/>
            <w:noWrap/>
            <w:vAlign w:val="bottom"/>
            <w:hideMark/>
          </w:tcPr>
          <w:p w14:paraId="59E4BFA0"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-1.24%</w:t>
            </w:r>
          </w:p>
        </w:tc>
      </w:tr>
      <w:tr w:rsidR="006D0E42" w:rsidRPr="006D0E42" w14:paraId="52CE0A83" w14:textId="77777777" w:rsidTr="006D0E42">
        <w:trPr>
          <w:trHeight w:val="300"/>
          <w:jc w:val="center"/>
        </w:trPr>
        <w:tc>
          <w:tcPr>
            <w:tcW w:w="1102" w:type="pct"/>
            <w:shd w:val="clear" w:color="auto" w:fill="auto"/>
            <w:noWrap/>
            <w:vAlign w:val="bottom"/>
            <w:hideMark/>
          </w:tcPr>
          <w:p w14:paraId="65AC9176"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4-Dec-20</w:t>
            </w:r>
          </w:p>
        </w:tc>
        <w:tc>
          <w:tcPr>
            <w:tcW w:w="801" w:type="pct"/>
            <w:shd w:val="clear" w:color="auto" w:fill="auto"/>
            <w:noWrap/>
            <w:vAlign w:val="bottom"/>
            <w:hideMark/>
          </w:tcPr>
          <w:p w14:paraId="2855442B"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1946.55</w:t>
            </w:r>
          </w:p>
        </w:tc>
        <w:tc>
          <w:tcPr>
            <w:tcW w:w="766" w:type="pct"/>
            <w:shd w:val="clear" w:color="auto" w:fill="auto"/>
            <w:noWrap/>
            <w:vAlign w:val="bottom"/>
            <w:hideMark/>
          </w:tcPr>
          <w:p w14:paraId="6A24F977"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-0.86%</w:t>
            </w:r>
          </w:p>
        </w:tc>
        <w:tc>
          <w:tcPr>
            <w:tcW w:w="766" w:type="pct"/>
            <w:shd w:val="clear" w:color="auto" w:fill="auto"/>
            <w:noWrap/>
            <w:vAlign w:val="bottom"/>
            <w:hideMark/>
          </w:tcPr>
          <w:p w14:paraId="27832DE3"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6-Jan-21</w:t>
            </w:r>
          </w:p>
        </w:tc>
        <w:tc>
          <w:tcPr>
            <w:tcW w:w="800" w:type="pct"/>
            <w:shd w:val="clear" w:color="auto" w:fill="auto"/>
            <w:noWrap/>
            <w:vAlign w:val="bottom"/>
            <w:hideMark/>
          </w:tcPr>
          <w:p w14:paraId="6E842744"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1914.15</w:t>
            </w:r>
          </w:p>
        </w:tc>
        <w:tc>
          <w:tcPr>
            <w:tcW w:w="765" w:type="pct"/>
            <w:shd w:val="clear" w:color="auto" w:fill="auto"/>
            <w:noWrap/>
            <w:vAlign w:val="bottom"/>
            <w:hideMark/>
          </w:tcPr>
          <w:p w14:paraId="5EE358AF"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-2.64%</w:t>
            </w:r>
          </w:p>
        </w:tc>
      </w:tr>
      <w:tr w:rsidR="006D0E42" w:rsidRPr="006D0E42" w14:paraId="64A0B806" w14:textId="77777777" w:rsidTr="006D0E42">
        <w:trPr>
          <w:trHeight w:val="300"/>
          <w:jc w:val="center"/>
        </w:trPr>
        <w:tc>
          <w:tcPr>
            <w:tcW w:w="1102" w:type="pct"/>
            <w:shd w:val="clear" w:color="auto" w:fill="auto"/>
            <w:noWrap/>
            <w:vAlign w:val="bottom"/>
            <w:hideMark/>
          </w:tcPr>
          <w:p w14:paraId="457634BB"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7-Dec-20</w:t>
            </w:r>
          </w:p>
        </w:tc>
        <w:tc>
          <w:tcPr>
            <w:tcW w:w="801" w:type="pct"/>
            <w:shd w:val="clear" w:color="auto" w:fill="auto"/>
            <w:noWrap/>
            <w:vAlign w:val="bottom"/>
            <w:hideMark/>
          </w:tcPr>
          <w:p w14:paraId="62D1CE69"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1958.05</w:t>
            </w:r>
          </w:p>
        </w:tc>
        <w:tc>
          <w:tcPr>
            <w:tcW w:w="766" w:type="pct"/>
            <w:shd w:val="clear" w:color="auto" w:fill="auto"/>
            <w:noWrap/>
            <w:vAlign w:val="bottom"/>
            <w:hideMark/>
          </w:tcPr>
          <w:p w14:paraId="25E8823D"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0.59%</w:t>
            </w:r>
          </w:p>
        </w:tc>
        <w:tc>
          <w:tcPr>
            <w:tcW w:w="766" w:type="pct"/>
            <w:shd w:val="clear" w:color="auto" w:fill="auto"/>
            <w:noWrap/>
            <w:vAlign w:val="bottom"/>
            <w:hideMark/>
          </w:tcPr>
          <w:p w14:paraId="63D92DCF"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7-Jan-21</w:t>
            </w:r>
          </w:p>
        </w:tc>
        <w:tc>
          <w:tcPr>
            <w:tcW w:w="800" w:type="pct"/>
            <w:shd w:val="clear" w:color="auto" w:fill="auto"/>
            <w:noWrap/>
            <w:vAlign w:val="bottom"/>
            <w:hideMark/>
          </w:tcPr>
          <w:p w14:paraId="1DBF3B43"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1911</w:t>
            </w:r>
          </w:p>
        </w:tc>
        <w:tc>
          <w:tcPr>
            <w:tcW w:w="765" w:type="pct"/>
            <w:shd w:val="clear" w:color="auto" w:fill="auto"/>
            <w:noWrap/>
            <w:vAlign w:val="bottom"/>
            <w:hideMark/>
          </w:tcPr>
          <w:p w14:paraId="4C5143BE"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-0.16%</w:t>
            </w:r>
          </w:p>
        </w:tc>
      </w:tr>
      <w:tr w:rsidR="006D0E42" w:rsidRPr="006D0E42" w14:paraId="70E84A34" w14:textId="77777777" w:rsidTr="006D0E42">
        <w:trPr>
          <w:trHeight w:val="300"/>
          <w:jc w:val="center"/>
        </w:trPr>
        <w:tc>
          <w:tcPr>
            <w:tcW w:w="1102" w:type="pct"/>
            <w:shd w:val="clear" w:color="auto" w:fill="auto"/>
            <w:noWrap/>
            <w:vAlign w:val="bottom"/>
            <w:hideMark/>
          </w:tcPr>
          <w:p w14:paraId="04C09C85"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8-Dec-20</w:t>
            </w:r>
          </w:p>
        </w:tc>
        <w:tc>
          <w:tcPr>
            <w:tcW w:w="801" w:type="pct"/>
            <w:shd w:val="clear" w:color="auto" w:fill="auto"/>
            <w:noWrap/>
            <w:vAlign w:val="bottom"/>
            <w:hideMark/>
          </w:tcPr>
          <w:p w14:paraId="6C4141BA"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1993.75</w:t>
            </w:r>
          </w:p>
        </w:tc>
        <w:tc>
          <w:tcPr>
            <w:tcW w:w="766" w:type="pct"/>
            <w:shd w:val="clear" w:color="auto" w:fill="auto"/>
            <w:noWrap/>
            <w:vAlign w:val="bottom"/>
            <w:hideMark/>
          </w:tcPr>
          <w:p w14:paraId="1E836B3E"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1.82%</w:t>
            </w:r>
          </w:p>
        </w:tc>
        <w:tc>
          <w:tcPr>
            <w:tcW w:w="766" w:type="pct"/>
            <w:shd w:val="clear" w:color="auto" w:fill="auto"/>
            <w:noWrap/>
            <w:vAlign w:val="bottom"/>
            <w:hideMark/>
          </w:tcPr>
          <w:p w14:paraId="32B5E7F1"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8-Jan-21</w:t>
            </w:r>
          </w:p>
        </w:tc>
        <w:tc>
          <w:tcPr>
            <w:tcW w:w="800" w:type="pct"/>
            <w:shd w:val="clear" w:color="auto" w:fill="auto"/>
            <w:noWrap/>
            <w:vAlign w:val="bottom"/>
            <w:hideMark/>
          </w:tcPr>
          <w:p w14:paraId="078FC7CB"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1933.05</w:t>
            </w:r>
          </w:p>
        </w:tc>
        <w:tc>
          <w:tcPr>
            <w:tcW w:w="765" w:type="pct"/>
            <w:shd w:val="clear" w:color="auto" w:fill="auto"/>
            <w:noWrap/>
            <w:vAlign w:val="bottom"/>
            <w:hideMark/>
          </w:tcPr>
          <w:p w14:paraId="31F075E9"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1.15%</w:t>
            </w:r>
          </w:p>
        </w:tc>
      </w:tr>
      <w:tr w:rsidR="006D0E42" w:rsidRPr="006D0E42" w14:paraId="25B0F5A5" w14:textId="77777777" w:rsidTr="006D0E42">
        <w:trPr>
          <w:trHeight w:val="300"/>
          <w:jc w:val="center"/>
        </w:trPr>
        <w:tc>
          <w:tcPr>
            <w:tcW w:w="1102" w:type="pct"/>
            <w:shd w:val="clear" w:color="auto" w:fill="auto"/>
            <w:noWrap/>
            <w:vAlign w:val="bottom"/>
            <w:hideMark/>
          </w:tcPr>
          <w:p w14:paraId="1A738F93"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9-Dec-20</w:t>
            </w:r>
          </w:p>
        </w:tc>
        <w:tc>
          <w:tcPr>
            <w:tcW w:w="801" w:type="pct"/>
            <w:shd w:val="clear" w:color="auto" w:fill="auto"/>
            <w:noWrap/>
            <w:vAlign w:val="bottom"/>
            <w:hideMark/>
          </w:tcPr>
          <w:p w14:paraId="5E57B66B"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2026.65</w:t>
            </w:r>
          </w:p>
        </w:tc>
        <w:tc>
          <w:tcPr>
            <w:tcW w:w="766" w:type="pct"/>
            <w:shd w:val="clear" w:color="auto" w:fill="auto"/>
            <w:noWrap/>
            <w:vAlign w:val="bottom"/>
            <w:hideMark/>
          </w:tcPr>
          <w:p w14:paraId="65FE13AA"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1.65%</w:t>
            </w:r>
          </w:p>
        </w:tc>
        <w:tc>
          <w:tcPr>
            <w:tcW w:w="766" w:type="pct"/>
            <w:shd w:val="clear" w:color="auto" w:fill="auto"/>
            <w:noWrap/>
            <w:vAlign w:val="bottom"/>
            <w:hideMark/>
          </w:tcPr>
          <w:p w14:paraId="5F455711"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11-Jan-21</w:t>
            </w:r>
          </w:p>
        </w:tc>
        <w:tc>
          <w:tcPr>
            <w:tcW w:w="800" w:type="pct"/>
            <w:shd w:val="clear" w:color="auto" w:fill="auto"/>
            <w:noWrap/>
            <w:vAlign w:val="bottom"/>
            <w:hideMark/>
          </w:tcPr>
          <w:p w14:paraId="022A201D"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1897</w:t>
            </w:r>
          </w:p>
        </w:tc>
        <w:tc>
          <w:tcPr>
            <w:tcW w:w="765" w:type="pct"/>
            <w:shd w:val="clear" w:color="auto" w:fill="auto"/>
            <w:noWrap/>
            <w:vAlign w:val="bottom"/>
            <w:hideMark/>
          </w:tcPr>
          <w:p w14:paraId="251EB275"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-1.86%</w:t>
            </w:r>
          </w:p>
        </w:tc>
      </w:tr>
      <w:tr w:rsidR="006D0E42" w:rsidRPr="006D0E42" w14:paraId="1A9A1C58" w14:textId="77777777" w:rsidTr="006D0E42">
        <w:trPr>
          <w:trHeight w:val="300"/>
          <w:jc w:val="center"/>
        </w:trPr>
        <w:tc>
          <w:tcPr>
            <w:tcW w:w="1102" w:type="pct"/>
            <w:shd w:val="clear" w:color="auto" w:fill="auto"/>
            <w:noWrap/>
            <w:vAlign w:val="bottom"/>
            <w:hideMark/>
          </w:tcPr>
          <w:p w14:paraId="10CC7BD5"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10-Dec-20</w:t>
            </w:r>
          </w:p>
        </w:tc>
        <w:tc>
          <w:tcPr>
            <w:tcW w:w="801" w:type="pct"/>
            <w:shd w:val="clear" w:color="auto" w:fill="auto"/>
            <w:noWrap/>
            <w:vAlign w:val="bottom"/>
            <w:hideMark/>
          </w:tcPr>
          <w:p w14:paraId="0FB75966"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2007.2</w:t>
            </w:r>
          </w:p>
        </w:tc>
        <w:tc>
          <w:tcPr>
            <w:tcW w:w="766" w:type="pct"/>
            <w:shd w:val="clear" w:color="auto" w:fill="auto"/>
            <w:noWrap/>
            <w:vAlign w:val="bottom"/>
            <w:hideMark/>
          </w:tcPr>
          <w:p w14:paraId="07ED4851"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-0.96%</w:t>
            </w:r>
          </w:p>
        </w:tc>
        <w:tc>
          <w:tcPr>
            <w:tcW w:w="766" w:type="pct"/>
            <w:shd w:val="clear" w:color="auto" w:fill="auto"/>
            <w:noWrap/>
            <w:vAlign w:val="bottom"/>
            <w:hideMark/>
          </w:tcPr>
          <w:p w14:paraId="34FC0FFC"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12-Jan-21</w:t>
            </w:r>
          </w:p>
        </w:tc>
        <w:tc>
          <w:tcPr>
            <w:tcW w:w="800" w:type="pct"/>
            <w:shd w:val="clear" w:color="auto" w:fill="auto"/>
            <w:noWrap/>
            <w:vAlign w:val="bottom"/>
            <w:hideMark/>
          </w:tcPr>
          <w:p w14:paraId="44FE181B"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1956.65</w:t>
            </w:r>
          </w:p>
        </w:tc>
        <w:tc>
          <w:tcPr>
            <w:tcW w:w="765" w:type="pct"/>
            <w:shd w:val="clear" w:color="auto" w:fill="auto"/>
            <w:noWrap/>
            <w:vAlign w:val="bottom"/>
            <w:hideMark/>
          </w:tcPr>
          <w:p w14:paraId="62EF8A50"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3.14%</w:t>
            </w:r>
          </w:p>
        </w:tc>
      </w:tr>
      <w:tr w:rsidR="006D0E42" w:rsidRPr="006D0E42" w14:paraId="2ED761FC" w14:textId="77777777" w:rsidTr="006D0E42">
        <w:trPr>
          <w:trHeight w:val="300"/>
          <w:jc w:val="center"/>
        </w:trPr>
        <w:tc>
          <w:tcPr>
            <w:tcW w:w="1102" w:type="pct"/>
            <w:shd w:val="clear" w:color="auto" w:fill="auto"/>
            <w:noWrap/>
            <w:vAlign w:val="bottom"/>
            <w:hideMark/>
          </w:tcPr>
          <w:p w14:paraId="253E2A6C"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11-Dec-20</w:t>
            </w:r>
          </w:p>
        </w:tc>
        <w:tc>
          <w:tcPr>
            <w:tcW w:w="801" w:type="pct"/>
            <w:shd w:val="clear" w:color="auto" w:fill="auto"/>
            <w:noWrap/>
            <w:vAlign w:val="bottom"/>
            <w:hideMark/>
          </w:tcPr>
          <w:p w14:paraId="5CEE2B87"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2005.6</w:t>
            </w:r>
          </w:p>
        </w:tc>
        <w:tc>
          <w:tcPr>
            <w:tcW w:w="766" w:type="pct"/>
            <w:shd w:val="clear" w:color="auto" w:fill="auto"/>
            <w:noWrap/>
            <w:vAlign w:val="bottom"/>
            <w:hideMark/>
          </w:tcPr>
          <w:p w14:paraId="3808C005"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-0.08%</w:t>
            </w:r>
          </w:p>
        </w:tc>
        <w:tc>
          <w:tcPr>
            <w:tcW w:w="766" w:type="pct"/>
            <w:shd w:val="clear" w:color="auto" w:fill="auto"/>
            <w:noWrap/>
            <w:vAlign w:val="bottom"/>
            <w:hideMark/>
          </w:tcPr>
          <w:p w14:paraId="42BB61D3"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13-Jan-21</w:t>
            </w:r>
          </w:p>
        </w:tc>
        <w:tc>
          <w:tcPr>
            <w:tcW w:w="800" w:type="pct"/>
            <w:shd w:val="clear" w:color="auto" w:fill="auto"/>
            <w:noWrap/>
            <w:vAlign w:val="bottom"/>
            <w:hideMark/>
          </w:tcPr>
          <w:p w14:paraId="29A4A59C"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1939.1</w:t>
            </w:r>
          </w:p>
        </w:tc>
        <w:tc>
          <w:tcPr>
            <w:tcW w:w="765" w:type="pct"/>
            <w:shd w:val="clear" w:color="auto" w:fill="auto"/>
            <w:noWrap/>
            <w:vAlign w:val="bottom"/>
            <w:hideMark/>
          </w:tcPr>
          <w:p w14:paraId="2C720FDD"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-0.90%</w:t>
            </w:r>
          </w:p>
        </w:tc>
      </w:tr>
      <w:tr w:rsidR="006D0E42" w:rsidRPr="006D0E42" w14:paraId="16326E6A" w14:textId="77777777" w:rsidTr="006D0E42">
        <w:trPr>
          <w:trHeight w:val="300"/>
          <w:jc w:val="center"/>
        </w:trPr>
        <w:tc>
          <w:tcPr>
            <w:tcW w:w="1102" w:type="pct"/>
            <w:shd w:val="clear" w:color="auto" w:fill="auto"/>
            <w:noWrap/>
            <w:vAlign w:val="bottom"/>
            <w:hideMark/>
          </w:tcPr>
          <w:p w14:paraId="17D6CC14"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14-Dec-20</w:t>
            </w:r>
          </w:p>
        </w:tc>
        <w:tc>
          <w:tcPr>
            <w:tcW w:w="801" w:type="pct"/>
            <w:shd w:val="clear" w:color="auto" w:fill="auto"/>
            <w:noWrap/>
            <w:vAlign w:val="bottom"/>
            <w:hideMark/>
          </w:tcPr>
          <w:p w14:paraId="265FD257"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1991.15</w:t>
            </w:r>
          </w:p>
        </w:tc>
        <w:tc>
          <w:tcPr>
            <w:tcW w:w="766" w:type="pct"/>
            <w:shd w:val="clear" w:color="auto" w:fill="auto"/>
            <w:noWrap/>
            <w:vAlign w:val="bottom"/>
            <w:hideMark/>
          </w:tcPr>
          <w:p w14:paraId="45151A7D"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-0.72%</w:t>
            </w:r>
          </w:p>
        </w:tc>
        <w:tc>
          <w:tcPr>
            <w:tcW w:w="766" w:type="pct"/>
            <w:shd w:val="clear" w:color="auto" w:fill="auto"/>
            <w:noWrap/>
            <w:vAlign w:val="bottom"/>
            <w:hideMark/>
          </w:tcPr>
          <w:p w14:paraId="55A600CE"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14-Jan-21</w:t>
            </w:r>
          </w:p>
        </w:tc>
        <w:tc>
          <w:tcPr>
            <w:tcW w:w="800" w:type="pct"/>
            <w:shd w:val="clear" w:color="auto" w:fill="auto"/>
            <w:noWrap/>
            <w:vAlign w:val="bottom"/>
            <w:hideMark/>
          </w:tcPr>
          <w:p w14:paraId="5C79BF0B"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1960.6</w:t>
            </w:r>
          </w:p>
        </w:tc>
        <w:tc>
          <w:tcPr>
            <w:tcW w:w="765" w:type="pct"/>
            <w:shd w:val="clear" w:color="auto" w:fill="auto"/>
            <w:noWrap/>
            <w:vAlign w:val="bottom"/>
            <w:hideMark/>
          </w:tcPr>
          <w:p w14:paraId="45A2EB87"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1.11%</w:t>
            </w:r>
          </w:p>
        </w:tc>
      </w:tr>
      <w:tr w:rsidR="006D0E42" w:rsidRPr="006D0E42" w14:paraId="7CAA6DD5" w14:textId="77777777" w:rsidTr="006D0E42">
        <w:trPr>
          <w:trHeight w:val="300"/>
          <w:jc w:val="center"/>
        </w:trPr>
        <w:tc>
          <w:tcPr>
            <w:tcW w:w="1102" w:type="pct"/>
            <w:shd w:val="clear" w:color="auto" w:fill="auto"/>
            <w:noWrap/>
            <w:vAlign w:val="bottom"/>
            <w:hideMark/>
          </w:tcPr>
          <w:p w14:paraId="27C2A037"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15-Dec-20</w:t>
            </w:r>
          </w:p>
        </w:tc>
        <w:tc>
          <w:tcPr>
            <w:tcW w:w="801" w:type="pct"/>
            <w:shd w:val="clear" w:color="auto" w:fill="auto"/>
            <w:noWrap/>
            <w:vAlign w:val="bottom"/>
            <w:hideMark/>
          </w:tcPr>
          <w:p w14:paraId="7089314C"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1974</w:t>
            </w:r>
          </w:p>
        </w:tc>
        <w:tc>
          <w:tcPr>
            <w:tcW w:w="766" w:type="pct"/>
            <w:shd w:val="clear" w:color="auto" w:fill="auto"/>
            <w:noWrap/>
            <w:vAlign w:val="bottom"/>
            <w:hideMark/>
          </w:tcPr>
          <w:p w14:paraId="5A353036"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-0.86%</w:t>
            </w:r>
          </w:p>
        </w:tc>
        <w:tc>
          <w:tcPr>
            <w:tcW w:w="766" w:type="pct"/>
            <w:shd w:val="clear" w:color="auto" w:fill="auto"/>
            <w:noWrap/>
            <w:vAlign w:val="bottom"/>
            <w:hideMark/>
          </w:tcPr>
          <w:p w14:paraId="45876E58"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15-Jan-21</w:t>
            </w:r>
          </w:p>
        </w:tc>
        <w:tc>
          <w:tcPr>
            <w:tcW w:w="800" w:type="pct"/>
            <w:shd w:val="clear" w:color="auto" w:fill="auto"/>
            <w:noWrap/>
            <w:vAlign w:val="bottom"/>
            <w:hideMark/>
          </w:tcPr>
          <w:p w14:paraId="77A100EE"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1937.6</w:t>
            </w:r>
          </w:p>
        </w:tc>
        <w:tc>
          <w:tcPr>
            <w:tcW w:w="765" w:type="pct"/>
            <w:shd w:val="clear" w:color="auto" w:fill="auto"/>
            <w:noWrap/>
            <w:vAlign w:val="bottom"/>
            <w:hideMark/>
          </w:tcPr>
          <w:p w14:paraId="76AD97EE"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-1.17%</w:t>
            </w:r>
          </w:p>
        </w:tc>
      </w:tr>
      <w:tr w:rsidR="006D0E42" w:rsidRPr="006D0E42" w14:paraId="367539C2" w14:textId="77777777" w:rsidTr="006D0E42">
        <w:trPr>
          <w:trHeight w:val="300"/>
          <w:jc w:val="center"/>
        </w:trPr>
        <w:tc>
          <w:tcPr>
            <w:tcW w:w="1102" w:type="pct"/>
            <w:shd w:val="clear" w:color="auto" w:fill="auto"/>
            <w:noWrap/>
            <w:vAlign w:val="bottom"/>
            <w:hideMark/>
          </w:tcPr>
          <w:p w14:paraId="314485A2"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16-Dec-20</w:t>
            </w:r>
          </w:p>
        </w:tc>
        <w:tc>
          <w:tcPr>
            <w:tcW w:w="801" w:type="pct"/>
            <w:shd w:val="clear" w:color="auto" w:fill="auto"/>
            <w:noWrap/>
            <w:vAlign w:val="bottom"/>
            <w:hideMark/>
          </w:tcPr>
          <w:p w14:paraId="2CC75811"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1976.05</w:t>
            </w:r>
          </w:p>
        </w:tc>
        <w:tc>
          <w:tcPr>
            <w:tcW w:w="766" w:type="pct"/>
            <w:shd w:val="clear" w:color="auto" w:fill="auto"/>
            <w:noWrap/>
            <w:vAlign w:val="bottom"/>
            <w:hideMark/>
          </w:tcPr>
          <w:p w14:paraId="768A5133"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0.10%</w:t>
            </w:r>
          </w:p>
        </w:tc>
        <w:tc>
          <w:tcPr>
            <w:tcW w:w="766" w:type="pct"/>
            <w:shd w:val="clear" w:color="auto" w:fill="auto"/>
            <w:noWrap/>
            <w:vAlign w:val="bottom"/>
            <w:hideMark/>
          </w:tcPr>
          <w:p w14:paraId="335A073E"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18-Jan-21</w:t>
            </w:r>
          </w:p>
        </w:tc>
        <w:tc>
          <w:tcPr>
            <w:tcW w:w="800" w:type="pct"/>
            <w:shd w:val="clear" w:color="auto" w:fill="auto"/>
            <w:noWrap/>
            <w:vAlign w:val="bottom"/>
            <w:hideMark/>
          </w:tcPr>
          <w:p w14:paraId="1FD496CA"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1983.5</w:t>
            </w:r>
          </w:p>
        </w:tc>
        <w:tc>
          <w:tcPr>
            <w:tcW w:w="765" w:type="pct"/>
            <w:shd w:val="clear" w:color="auto" w:fill="auto"/>
            <w:noWrap/>
            <w:vAlign w:val="bottom"/>
            <w:hideMark/>
          </w:tcPr>
          <w:p w14:paraId="39A97EE0"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2.37%</w:t>
            </w:r>
          </w:p>
        </w:tc>
      </w:tr>
      <w:tr w:rsidR="006D0E42" w:rsidRPr="006D0E42" w14:paraId="5338313A" w14:textId="77777777" w:rsidTr="006D0E42">
        <w:trPr>
          <w:trHeight w:val="300"/>
          <w:jc w:val="center"/>
        </w:trPr>
        <w:tc>
          <w:tcPr>
            <w:tcW w:w="1102" w:type="pct"/>
            <w:shd w:val="clear" w:color="auto" w:fill="auto"/>
            <w:noWrap/>
            <w:vAlign w:val="bottom"/>
            <w:hideMark/>
          </w:tcPr>
          <w:p w14:paraId="4A358DE9"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17-Dec-20</w:t>
            </w:r>
          </w:p>
        </w:tc>
        <w:tc>
          <w:tcPr>
            <w:tcW w:w="801" w:type="pct"/>
            <w:shd w:val="clear" w:color="auto" w:fill="auto"/>
            <w:noWrap/>
            <w:vAlign w:val="bottom"/>
            <w:hideMark/>
          </w:tcPr>
          <w:p w14:paraId="0391F399"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1985.05</w:t>
            </w:r>
          </w:p>
        </w:tc>
        <w:tc>
          <w:tcPr>
            <w:tcW w:w="766" w:type="pct"/>
            <w:shd w:val="clear" w:color="auto" w:fill="auto"/>
            <w:noWrap/>
            <w:vAlign w:val="bottom"/>
            <w:hideMark/>
          </w:tcPr>
          <w:p w14:paraId="113AE0CB"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0.46%</w:t>
            </w:r>
          </w:p>
        </w:tc>
        <w:tc>
          <w:tcPr>
            <w:tcW w:w="766" w:type="pct"/>
            <w:shd w:val="clear" w:color="auto" w:fill="auto"/>
            <w:noWrap/>
            <w:vAlign w:val="bottom"/>
            <w:hideMark/>
          </w:tcPr>
          <w:p w14:paraId="1ACE85AB"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19-Jan-21</w:t>
            </w:r>
          </w:p>
        </w:tc>
        <w:tc>
          <w:tcPr>
            <w:tcW w:w="800" w:type="pct"/>
            <w:shd w:val="clear" w:color="auto" w:fill="auto"/>
            <w:noWrap/>
            <w:vAlign w:val="bottom"/>
            <w:hideMark/>
          </w:tcPr>
          <w:p w14:paraId="7FEAB441"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2016.3</w:t>
            </w:r>
          </w:p>
        </w:tc>
        <w:tc>
          <w:tcPr>
            <w:tcW w:w="765" w:type="pct"/>
            <w:shd w:val="clear" w:color="auto" w:fill="auto"/>
            <w:noWrap/>
            <w:vAlign w:val="bottom"/>
            <w:hideMark/>
          </w:tcPr>
          <w:p w14:paraId="6A121839"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1.65%</w:t>
            </w:r>
          </w:p>
        </w:tc>
      </w:tr>
      <w:tr w:rsidR="006D0E42" w:rsidRPr="006D0E42" w14:paraId="0B869190" w14:textId="77777777" w:rsidTr="006D0E42">
        <w:trPr>
          <w:trHeight w:val="300"/>
          <w:jc w:val="center"/>
        </w:trPr>
        <w:tc>
          <w:tcPr>
            <w:tcW w:w="1102" w:type="pct"/>
            <w:shd w:val="clear" w:color="auto" w:fill="auto"/>
            <w:noWrap/>
            <w:vAlign w:val="bottom"/>
            <w:hideMark/>
          </w:tcPr>
          <w:p w14:paraId="2DC554D7"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18-Dec-20</w:t>
            </w:r>
          </w:p>
        </w:tc>
        <w:tc>
          <w:tcPr>
            <w:tcW w:w="801" w:type="pct"/>
            <w:shd w:val="clear" w:color="auto" w:fill="auto"/>
            <w:noWrap/>
            <w:vAlign w:val="bottom"/>
            <w:hideMark/>
          </w:tcPr>
          <w:p w14:paraId="06547C9F"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1992.25</w:t>
            </w:r>
          </w:p>
        </w:tc>
        <w:tc>
          <w:tcPr>
            <w:tcW w:w="766" w:type="pct"/>
            <w:shd w:val="clear" w:color="auto" w:fill="auto"/>
            <w:noWrap/>
            <w:vAlign w:val="bottom"/>
            <w:hideMark/>
          </w:tcPr>
          <w:p w14:paraId="723DA24C"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0.36%</w:t>
            </w:r>
          </w:p>
        </w:tc>
        <w:tc>
          <w:tcPr>
            <w:tcW w:w="766" w:type="pct"/>
            <w:shd w:val="clear" w:color="auto" w:fill="auto"/>
            <w:noWrap/>
            <w:vAlign w:val="bottom"/>
            <w:hideMark/>
          </w:tcPr>
          <w:p w14:paraId="418822D6"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20-Jan-21</w:t>
            </w:r>
          </w:p>
        </w:tc>
        <w:tc>
          <w:tcPr>
            <w:tcW w:w="800" w:type="pct"/>
            <w:shd w:val="clear" w:color="auto" w:fill="auto"/>
            <w:noWrap/>
            <w:vAlign w:val="bottom"/>
            <w:hideMark/>
          </w:tcPr>
          <w:p w14:paraId="1EAD54DE"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2054.85</w:t>
            </w:r>
          </w:p>
        </w:tc>
        <w:tc>
          <w:tcPr>
            <w:tcW w:w="765" w:type="pct"/>
            <w:shd w:val="clear" w:color="auto" w:fill="auto"/>
            <w:noWrap/>
            <w:vAlign w:val="bottom"/>
            <w:hideMark/>
          </w:tcPr>
          <w:p w14:paraId="7A9D9C6A"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1.91%</w:t>
            </w:r>
          </w:p>
        </w:tc>
      </w:tr>
      <w:tr w:rsidR="006D0E42" w:rsidRPr="006D0E42" w14:paraId="726F5770" w14:textId="77777777" w:rsidTr="006D0E42">
        <w:trPr>
          <w:trHeight w:val="300"/>
          <w:jc w:val="center"/>
        </w:trPr>
        <w:tc>
          <w:tcPr>
            <w:tcW w:w="1102" w:type="pct"/>
            <w:shd w:val="clear" w:color="auto" w:fill="auto"/>
            <w:noWrap/>
            <w:vAlign w:val="bottom"/>
            <w:hideMark/>
          </w:tcPr>
          <w:p w14:paraId="448AE8F3"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21-Dec-20</w:t>
            </w:r>
          </w:p>
        </w:tc>
        <w:tc>
          <w:tcPr>
            <w:tcW w:w="801" w:type="pct"/>
            <w:shd w:val="clear" w:color="auto" w:fill="auto"/>
            <w:noWrap/>
            <w:vAlign w:val="bottom"/>
            <w:hideMark/>
          </w:tcPr>
          <w:p w14:paraId="20178F7E"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1939.75</w:t>
            </w:r>
          </w:p>
        </w:tc>
        <w:tc>
          <w:tcPr>
            <w:tcW w:w="766" w:type="pct"/>
            <w:shd w:val="clear" w:color="auto" w:fill="auto"/>
            <w:noWrap/>
            <w:vAlign w:val="bottom"/>
            <w:hideMark/>
          </w:tcPr>
          <w:p w14:paraId="42E886C0"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-2.64%</w:t>
            </w:r>
          </w:p>
        </w:tc>
        <w:tc>
          <w:tcPr>
            <w:tcW w:w="766" w:type="pct"/>
            <w:shd w:val="clear" w:color="auto" w:fill="auto"/>
            <w:noWrap/>
            <w:vAlign w:val="bottom"/>
            <w:hideMark/>
          </w:tcPr>
          <w:p w14:paraId="6D865382"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21-Jan-21</w:t>
            </w:r>
          </w:p>
        </w:tc>
        <w:tc>
          <w:tcPr>
            <w:tcW w:w="800" w:type="pct"/>
            <w:shd w:val="clear" w:color="auto" w:fill="auto"/>
            <w:noWrap/>
            <w:vAlign w:val="bottom"/>
            <w:hideMark/>
          </w:tcPr>
          <w:p w14:paraId="553E814F"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2097.85</w:t>
            </w:r>
          </w:p>
        </w:tc>
        <w:tc>
          <w:tcPr>
            <w:tcW w:w="765" w:type="pct"/>
            <w:shd w:val="clear" w:color="auto" w:fill="auto"/>
            <w:noWrap/>
            <w:vAlign w:val="bottom"/>
            <w:hideMark/>
          </w:tcPr>
          <w:p w14:paraId="59F3A0DE"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2.09%</w:t>
            </w:r>
          </w:p>
        </w:tc>
      </w:tr>
      <w:tr w:rsidR="006D0E42" w:rsidRPr="006D0E42" w14:paraId="40A312F6" w14:textId="77777777" w:rsidTr="006D0E42">
        <w:trPr>
          <w:trHeight w:val="300"/>
          <w:jc w:val="center"/>
        </w:trPr>
        <w:tc>
          <w:tcPr>
            <w:tcW w:w="1102" w:type="pct"/>
            <w:shd w:val="clear" w:color="auto" w:fill="auto"/>
            <w:noWrap/>
            <w:vAlign w:val="bottom"/>
            <w:hideMark/>
          </w:tcPr>
          <w:p w14:paraId="347A4804"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22-Dec-20</w:t>
            </w:r>
          </w:p>
        </w:tc>
        <w:tc>
          <w:tcPr>
            <w:tcW w:w="801" w:type="pct"/>
            <w:shd w:val="clear" w:color="auto" w:fill="auto"/>
            <w:noWrap/>
            <w:vAlign w:val="bottom"/>
            <w:hideMark/>
          </w:tcPr>
          <w:p w14:paraId="5229A3AF"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1936.6</w:t>
            </w:r>
          </w:p>
        </w:tc>
        <w:tc>
          <w:tcPr>
            <w:tcW w:w="766" w:type="pct"/>
            <w:shd w:val="clear" w:color="auto" w:fill="auto"/>
            <w:noWrap/>
            <w:vAlign w:val="bottom"/>
            <w:hideMark/>
          </w:tcPr>
          <w:p w14:paraId="22794F70"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-0.16%</w:t>
            </w:r>
          </w:p>
        </w:tc>
        <w:tc>
          <w:tcPr>
            <w:tcW w:w="766" w:type="pct"/>
            <w:shd w:val="clear" w:color="auto" w:fill="auto"/>
            <w:noWrap/>
            <w:vAlign w:val="bottom"/>
            <w:hideMark/>
          </w:tcPr>
          <w:p w14:paraId="22E92D84"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22-Jan-21</w:t>
            </w:r>
          </w:p>
        </w:tc>
        <w:tc>
          <w:tcPr>
            <w:tcW w:w="800" w:type="pct"/>
            <w:shd w:val="clear" w:color="auto" w:fill="auto"/>
            <w:noWrap/>
            <w:vAlign w:val="bottom"/>
            <w:hideMark/>
          </w:tcPr>
          <w:p w14:paraId="6683F2C6"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2049.65</w:t>
            </w:r>
          </w:p>
        </w:tc>
        <w:tc>
          <w:tcPr>
            <w:tcW w:w="765" w:type="pct"/>
            <w:shd w:val="clear" w:color="auto" w:fill="auto"/>
            <w:noWrap/>
            <w:vAlign w:val="bottom"/>
            <w:hideMark/>
          </w:tcPr>
          <w:p w14:paraId="6F057D41"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-2.30%</w:t>
            </w:r>
          </w:p>
        </w:tc>
      </w:tr>
      <w:tr w:rsidR="006D0E42" w:rsidRPr="006D0E42" w14:paraId="2808AB71" w14:textId="77777777" w:rsidTr="006D0E42">
        <w:trPr>
          <w:trHeight w:val="300"/>
          <w:jc w:val="center"/>
        </w:trPr>
        <w:tc>
          <w:tcPr>
            <w:tcW w:w="1102" w:type="pct"/>
            <w:shd w:val="clear" w:color="auto" w:fill="auto"/>
            <w:noWrap/>
            <w:vAlign w:val="bottom"/>
            <w:hideMark/>
          </w:tcPr>
          <w:p w14:paraId="4B1B3405"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23-Dec-20</w:t>
            </w:r>
          </w:p>
        </w:tc>
        <w:tc>
          <w:tcPr>
            <w:tcW w:w="801" w:type="pct"/>
            <w:shd w:val="clear" w:color="auto" w:fill="auto"/>
            <w:noWrap/>
            <w:vAlign w:val="bottom"/>
            <w:hideMark/>
          </w:tcPr>
          <w:p w14:paraId="6DA776AF"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1943.8</w:t>
            </w:r>
          </w:p>
        </w:tc>
        <w:tc>
          <w:tcPr>
            <w:tcW w:w="766" w:type="pct"/>
            <w:shd w:val="clear" w:color="auto" w:fill="auto"/>
            <w:noWrap/>
            <w:vAlign w:val="bottom"/>
            <w:hideMark/>
          </w:tcPr>
          <w:p w14:paraId="4C8113BB"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0.37%</w:t>
            </w:r>
          </w:p>
        </w:tc>
        <w:tc>
          <w:tcPr>
            <w:tcW w:w="766" w:type="pct"/>
            <w:shd w:val="clear" w:color="auto" w:fill="auto"/>
            <w:noWrap/>
            <w:vAlign w:val="bottom"/>
            <w:hideMark/>
          </w:tcPr>
          <w:p w14:paraId="0EDEC607"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25-Jan-21</w:t>
            </w:r>
          </w:p>
        </w:tc>
        <w:tc>
          <w:tcPr>
            <w:tcW w:w="800" w:type="pct"/>
            <w:shd w:val="clear" w:color="auto" w:fill="auto"/>
            <w:noWrap/>
            <w:vAlign w:val="bottom"/>
            <w:hideMark/>
          </w:tcPr>
          <w:p w14:paraId="135FACE6"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1939.7</w:t>
            </w:r>
          </w:p>
        </w:tc>
        <w:tc>
          <w:tcPr>
            <w:tcW w:w="765" w:type="pct"/>
            <w:shd w:val="clear" w:color="auto" w:fill="auto"/>
            <w:noWrap/>
            <w:vAlign w:val="bottom"/>
            <w:hideMark/>
          </w:tcPr>
          <w:p w14:paraId="5878A96D"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-5.36%</w:t>
            </w:r>
          </w:p>
        </w:tc>
      </w:tr>
      <w:tr w:rsidR="006D0E42" w:rsidRPr="006D0E42" w14:paraId="744229DB" w14:textId="77777777" w:rsidTr="006D0E42">
        <w:trPr>
          <w:trHeight w:val="300"/>
          <w:jc w:val="center"/>
        </w:trPr>
        <w:tc>
          <w:tcPr>
            <w:tcW w:w="1102" w:type="pct"/>
            <w:shd w:val="clear" w:color="auto" w:fill="auto"/>
            <w:noWrap/>
            <w:vAlign w:val="bottom"/>
            <w:hideMark/>
          </w:tcPr>
          <w:p w14:paraId="6FA5D6A7"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24-Dec-20</w:t>
            </w:r>
          </w:p>
        </w:tc>
        <w:tc>
          <w:tcPr>
            <w:tcW w:w="801" w:type="pct"/>
            <w:shd w:val="clear" w:color="auto" w:fill="auto"/>
            <w:noWrap/>
            <w:vAlign w:val="bottom"/>
            <w:hideMark/>
          </w:tcPr>
          <w:p w14:paraId="4828C53F"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1993.9</w:t>
            </w:r>
          </w:p>
        </w:tc>
        <w:tc>
          <w:tcPr>
            <w:tcW w:w="766" w:type="pct"/>
            <w:shd w:val="clear" w:color="auto" w:fill="auto"/>
            <w:noWrap/>
            <w:vAlign w:val="bottom"/>
            <w:hideMark/>
          </w:tcPr>
          <w:p w14:paraId="5F23D009"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2.58%</w:t>
            </w:r>
          </w:p>
        </w:tc>
        <w:tc>
          <w:tcPr>
            <w:tcW w:w="766" w:type="pct"/>
            <w:shd w:val="clear" w:color="auto" w:fill="auto"/>
            <w:noWrap/>
            <w:vAlign w:val="bottom"/>
            <w:hideMark/>
          </w:tcPr>
          <w:p w14:paraId="7BF0D46A"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27-Jan-21</w:t>
            </w:r>
          </w:p>
        </w:tc>
        <w:tc>
          <w:tcPr>
            <w:tcW w:w="800" w:type="pct"/>
            <w:shd w:val="clear" w:color="auto" w:fill="auto"/>
            <w:noWrap/>
            <w:vAlign w:val="bottom"/>
            <w:hideMark/>
          </w:tcPr>
          <w:p w14:paraId="6111DCF8"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1895.25</w:t>
            </w:r>
          </w:p>
        </w:tc>
        <w:tc>
          <w:tcPr>
            <w:tcW w:w="765" w:type="pct"/>
            <w:shd w:val="clear" w:color="auto" w:fill="auto"/>
            <w:noWrap/>
            <w:vAlign w:val="bottom"/>
            <w:hideMark/>
          </w:tcPr>
          <w:p w14:paraId="0556F6AE"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-2.29%</w:t>
            </w:r>
          </w:p>
        </w:tc>
      </w:tr>
      <w:tr w:rsidR="006D0E42" w:rsidRPr="006D0E42" w14:paraId="5EE7FED9" w14:textId="77777777" w:rsidTr="006D0E42">
        <w:trPr>
          <w:trHeight w:val="300"/>
          <w:jc w:val="center"/>
        </w:trPr>
        <w:tc>
          <w:tcPr>
            <w:tcW w:w="1102" w:type="pct"/>
            <w:shd w:val="clear" w:color="auto" w:fill="auto"/>
            <w:noWrap/>
            <w:vAlign w:val="bottom"/>
            <w:hideMark/>
          </w:tcPr>
          <w:p w14:paraId="294C9CB0"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28-Dec-20</w:t>
            </w:r>
          </w:p>
        </w:tc>
        <w:tc>
          <w:tcPr>
            <w:tcW w:w="801" w:type="pct"/>
            <w:shd w:val="clear" w:color="auto" w:fill="auto"/>
            <w:noWrap/>
            <w:vAlign w:val="bottom"/>
            <w:hideMark/>
          </w:tcPr>
          <w:p w14:paraId="7B23D597"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2003.25</w:t>
            </w:r>
          </w:p>
        </w:tc>
        <w:tc>
          <w:tcPr>
            <w:tcW w:w="766" w:type="pct"/>
            <w:shd w:val="clear" w:color="auto" w:fill="auto"/>
            <w:noWrap/>
            <w:vAlign w:val="bottom"/>
            <w:hideMark/>
          </w:tcPr>
          <w:p w14:paraId="28C5F0E7"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0.47%</w:t>
            </w:r>
          </w:p>
        </w:tc>
        <w:tc>
          <w:tcPr>
            <w:tcW w:w="766" w:type="pct"/>
            <w:shd w:val="clear" w:color="auto" w:fill="auto"/>
            <w:noWrap/>
            <w:vAlign w:val="bottom"/>
            <w:hideMark/>
          </w:tcPr>
          <w:p w14:paraId="4CB788E3"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28-Jan-21</w:t>
            </w:r>
          </w:p>
        </w:tc>
        <w:tc>
          <w:tcPr>
            <w:tcW w:w="800" w:type="pct"/>
            <w:shd w:val="clear" w:color="auto" w:fill="auto"/>
            <w:noWrap/>
            <w:vAlign w:val="bottom"/>
            <w:hideMark/>
          </w:tcPr>
          <w:p w14:paraId="380B446E"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1876.6</w:t>
            </w:r>
          </w:p>
        </w:tc>
        <w:tc>
          <w:tcPr>
            <w:tcW w:w="765" w:type="pct"/>
            <w:shd w:val="clear" w:color="auto" w:fill="auto"/>
            <w:noWrap/>
            <w:vAlign w:val="bottom"/>
            <w:hideMark/>
          </w:tcPr>
          <w:p w14:paraId="234D133E"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-0.98%</w:t>
            </w:r>
          </w:p>
        </w:tc>
      </w:tr>
      <w:tr w:rsidR="006D0E42" w:rsidRPr="006D0E42" w14:paraId="5AC3E0BF" w14:textId="77777777" w:rsidTr="006D0E42">
        <w:trPr>
          <w:trHeight w:val="300"/>
          <w:jc w:val="center"/>
        </w:trPr>
        <w:tc>
          <w:tcPr>
            <w:tcW w:w="1102" w:type="pct"/>
            <w:shd w:val="clear" w:color="auto" w:fill="auto"/>
            <w:noWrap/>
            <w:vAlign w:val="bottom"/>
            <w:hideMark/>
          </w:tcPr>
          <w:p w14:paraId="0528B60F"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29-Dec-20</w:t>
            </w:r>
          </w:p>
        </w:tc>
        <w:tc>
          <w:tcPr>
            <w:tcW w:w="801" w:type="pct"/>
            <w:shd w:val="clear" w:color="auto" w:fill="auto"/>
            <w:noWrap/>
            <w:vAlign w:val="bottom"/>
            <w:hideMark/>
          </w:tcPr>
          <w:p w14:paraId="05DD0E28"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1989.2</w:t>
            </w:r>
          </w:p>
        </w:tc>
        <w:tc>
          <w:tcPr>
            <w:tcW w:w="766" w:type="pct"/>
            <w:shd w:val="clear" w:color="auto" w:fill="auto"/>
            <w:noWrap/>
            <w:vAlign w:val="bottom"/>
            <w:hideMark/>
          </w:tcPr>
          <w:p w14:paraId="0C74CA8F"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-0.70%</w:t>
            </w:r>
          </w:p>
        </w:tc>
        <w:tc>
          <w:tcPr>
            <w:tcW w:w="766" w:type="pct"/>
            <w:shd w:val="clear" w:color="auto" w:fill="auto"/>
            <w:noWrap/>
            <w:vAlign w:val="bottom"/>
            <w:hideMark/>
          </w:tcPr>
          <w:p w14:paraId="778B8200"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29-Jan-21</w:t>
            </w:r>
          </w:p>
        </w:tc>
        <w:tc>
          <w:tcPr>
            <w:tcW w:w="800" w:type="pct"/>
            <w:shd w:val="clear" w:color="auto" w:fill="auto"/>
            <w:noWrap/>
            <w:vAlign w:val="bottom"/>
            <w:hideMark/>
          </w:tcPr>
          <w:p w14:paraId="3E0720BA"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1843.15</w:t>
            </w:r>
          </w:p>
        </w:tc>
        <w:tc>
          <w:tcPr>
            <w:tcW w:w="765" w:type="pct"/>
            <w:shd w:val="clear" w:color="auto" w:fill="auto"/>
            <w:noWrap/>
            <w:vAlign w:val="bottom"/>
            <w:hideMark/>
          </w:tcPr>
          <w:p w14:paraId="327F5A9C"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-1.78%</w:t>
            </w:r>
          </w:p>
        </w:tc>
      </w:tr>
      <w:tr w:rsidR="006D0E42" w:rsidRPr="006D0E42" w14:paraId="75E1F439" w14:textId="77777777" w:rsidTr="006D0E42">
        <w:trPr>
          <w:trHeight w:val="300"/>
          <w:jc w:val="center"/>
        </w:trPr>
        <w:tc>
          <w:tcPr>
            <w:tcW w:w="1102" w:type="pct"/>
            <w:shd w:val="clear" w:color="auto" w:fill="auto"/>
            <w:noWrap/>
            <w:vAlign w:val="bottom"/>
            <w:hideMark/>
          </w:tcPr>
          <w:p w14:paraId="2791E391"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30-Dec-20</w:t>
            </w:r>
          </w:p>
        </w:tc>
        <w:tc>
          <w:tcPr>
            <w:tcW w:w="801" w:type="pct"/>
            <w:shd w:val="clear" w:color="auto" w:fill="auto"/>
            <w:noWrap/>
            <w:vAlign w:val="bottom"/>
            <w:hideMark/>
          </w:tcPr>
          <w:p w14:paraId="22D405E6"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1995.5</w:t>
            </w:r>
          </w:p>
        </w:tc>
        <w:tc>
          <w:tcPr>
            <w:tcW w:w="766" w:type="pct"/>
            <w:shd w:val="clear" w:color="auto" w:fill="auto"/>
            <w:noWrap/>
            <w:vAlign w:val="bottom"/>
            <w:hideMark/>
          </w:tcPr>
          <w:p w14:paraId="3AF30253"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0.32%</w:t>
            </w:r>
          </w:p>
        </w:tc>
        <w:tc>
          <w:tcPr>
            <w:tcW w:w="766" w:type="pct"/>
            <w:shd w:val="clear" w:color="auto" w:fill="auto"/>
            <w:noWrap/>
            <w:vAlign w:val="bottom"/>
            <w:hideMark/>
          </w:tcPr>
          <w:p w14:paraId="17AD05B8"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30-Jan-21</w:t>
            </w:r>
          </w:p>
        </w:tc>
        <w:tc>
          <w:tcPr>
            <w:tcW w:w="800" w:type="pct"/>
            <w:shd w:val="clear" w:color="auto" w:fill="auto"/>
            <w:noWrap/>
            <w:vAlign w:val="bottom"/>
            <w:hideMark/>
          </w:tcPr>
          <w:p w14:paraId="63C115F8"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1843.15</w:t>
            </w:r>
          </w:p>
        </w:tc>
        <w:tc>
          <w:tcPr>
            <w:tcW w:w="765" w:type="pct"/>
            <w:shd w:val="clear" w:color="auto" w:fill="auto"/>
            <w:noWrap/>
            <w:vAlign w:val="bottom"/>
            <w:hideMark/>
          </w:tcPr>
          <w:p w14:paraId="0174B8CB"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0.00%</w:t>
            </w:r>
          </w:p>
        </w:tc>
      </w:tr>
      <w:tr w:rsidR="006D0E42" w:rsidRPr="006D0E42" w14:paraId="57F8FDFD" w14:textId="77777777" w:rsidTr="006D0E42">
        <w:trPr>
          <w:trHeight w:val="300"/>
          <w:jc w:val="center"/>
        </w:trPr>
        <w:tc>
          <w:tcPr>
            <w:tcW w:w="1102" w:type="pct"/>
            <w:shd w:val="clear" w:color="auto" w:fill="auto"/>
            <w:noWrap/>
            <w:vAlign w:val="bottom"/>
            <w:hideMark/>
          </w:tcPr>
          <w:p w14:paraId="78631C8D"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31-Dec-20</w:t>
            </w:r>
          </w:p>
        </w:tc>
        <w:tc>
          <w:tcPr>
            <w:tcW w:w="801" w:type="pct"/>
            <w:shd w:val="clear" w:color="auto" w:fill="auto"/>
            <w:noWrap/>
            <w:vAlign w:val="bottom"/>
            <w:hideMark/>
          </w:tcPr>
          <w:p w14:paraId="0D4B3D8B"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1984.65</w:t>
            </w:r>
          </w:p>
        </w:tc>
        <w:tc>
          <w:tcPr>
            <w:tcW w:w="766" w:type="pct"/>
            <w:shd w:val="clear" w:color="auto" w:fill="auto"/>
            <w:noWrap/>
            <w:vAlign w:val="bottom"/>
            <w:hideMark/>
          </w:tcPr>
          <w:p w14:paraId="1A84BBC4"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-0.54%</w:t>
            </w:r>
          </w:p>
        </w:tc>
        <w:tc>
          <w:tcPr>
            <w:tcW w:w="766" w:type="pct"/>
            <w:shd w:val="clear" w:color="auto" w:fill="auto"/>
            <w:noWrap/>
            <w:vAlign w:val="bottom"/>
            <w:hideMark/>
          </w:tcPr>
          <w:p w14:paraId="7123FF81"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31-Jan-21</w:t>
            </w:r>
          </w:p>
        </w:tc>
        <w:tc>
          <w:tcPr>
            <w:tcW w:w="800" w:type="pct"/>
            <w:shd w:val="clear" w:color="auto" w:fill="auto"/>
            <w:noWrap/>
            <w:vAlign w:val="bottom"/>
            <w:hideMark/>
          </w:tcPr>
          <w:p w14:paraId="0D0DE5A3"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1843.15</w:t>
            </w:r>
          </w:p>
        </w:tc>
        <w:tc>
          <w:tcPr>
            <w:tcW w:w="765" w:type="pct"/>
            <w:shd w:val="clear" w:color="auto" w:fill="auto"/>
            <w:noWrap/>
            <w:vAlign w:val="bottom"/>
            <w:hideMark/>
          </w:tcPr>
          <w:p w14:paraId="692F55BC"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0.00%</w:t>
            </w:r>
          </w:p>
        </w:tc>
      </w:tr>
      <w:tr w:rsidR="00FB6DDF" w:rsidRPr="006D0E42" w14:paraId="57275ADF" w14:textId="77777777" w:rsidTr="006D0E42">
        <w:trPr>
          <w:trHeight w:val="300"/>
          <w:jc w:val="center"/>
        </w:trPr>
        <w:tc>
          <w:tcPr>
            <w:tcW w:w="1903" w:type="pct"/>
            <w:gridSpan w:val="2"/>
            <w:shd w:val="clear" w:color="auto" w:fill="auto"/>
            <w:noWrap/>
            <w:vAlign w:val="bottom"/>
            <w:hideMark/>
          </w:tcPr>
          <w:p w14:paraId="0634B3F2" w14:textId="04C7D956" w:rsidR="00FB6DDF" w:rsidRPr="006D0E42" w:rsidRDefault="00FB6DDF" w:rsidP="00FB6DDF">
            <w:pPr>
              <w:jc w:val="center"/>
              <w:rPr>
                <w:rFonts w:ascii="Calibri" w:hAnsi="Calibri" w:cs="Calibri"/>
                <w:color w:val="000000"/>
              </w:rPr>
            </w:pPr>
            <w:r w:rsidRPr="006D0E42">
              <w:rPr>
                <w:rFonts w:ascii="Calibri" w:hAnsi="Calibri" w:cs="Calibri"/>
                <w:color w:val="000000"/>
              </w:rPr>
              <w:lastRenderedPageBreak/>
              <w:t>Ave</w:t>
            </w:r>
            <w:r>
              <w:rPr>
                <w:rFonts w:ascii="Calibri" w:hAnsi="Calibri" w:cs="Calibri"/>
                <w:color w:val="000000"/>
              </w:rPr>
              <w:t>rage Returns</w:t>
            </w:r>
          </w:p>
        </w:tc>
        <w:tc>
          <w:tcPr>
            <w:tcW w:w="766" w:type="pct"/>
            <w:shd w:val="clear" w:color="auto" w:fill="auto"/>
            <w:noWrap/>
            <w:vAlign w:val="bottom"/>
            <w:hideMark/>
          </w:tcPr>
          <w:p w14:paraId="2EE80702" w14:textId="77777777" w:rsidR="00FB6DDF" w:rsidRPr="006D0E42" w:rsidRDefault="00FB6DDF" w:rsidP="00FB6DDF">
            <w:pPr>
              <w:jc w:val="center"/>
              <w:rPr>
                <w:rFonts w:ascii="Calibri" w:hAnsi="Calibri" w:cs="Calibri"/>
                <w:color w:val="000000"/>
              </w:rPr>
            </w:pPr>
            <w:r w:rsidRPr="006D0E42">
              <w:rPr>
                <w:rFonts w:ascii="Calibri" w:hAnsi="Calibri" w:cs="Calibri"/>
                <w:color w:val="000000"/>
              </w:rPr>
              <w:t>0.08%</w:t>
            </w:r>
          </w:p>
        </w:tc>
        <w:tc>
          <w:tcPr>
            <w:tcW w:w="1566" w:type="pct"/>
            <w:gridSpan w:val="2"/>
            <w:shd w:val="clear" w:color="auto" w:fill="auto"/>
            <w:noWrap/>
            <w:vAlign w:val="bottom"/>
            <w:hideMark/>
          </w:tcPr>
          <w:p w14:paraId="1661A521" w14:textId="472C2616" w:rsidR="00FB6DDF" w:rsidRPr="006D0E42" w:rsidRDefault="00FB6DDF" w:rsidP="00FB6DDF">
            <w:pPr>
              <w:jc w:val="center"/>
              <w:rPr>
                <w:rFonts w:ascii="Calibri" w:hAnsi="Calibri" w:cs="Calibri"/>
                <w:color w:val="000000"/>
              </w:rPr>
            </w:pPr>
            <w:r w:rsidRPr="006D0E42">
              <w:rPr>
                <w:rFonts w:ascii="Calibri" w:hAnsi="Calibri" w:cs="Calibri"/>
                <w:color w:val="000000"/>
              </w:rPr>
              <w:t>Ave</w:t>
            </w:r>
            <w:r>
              <w:rPr>
                <w:rFonts w:ascii="Calibri" w:hAnsi="Calibri" w:cs="Calibri"/>
                <w:color w:val="000000"/>
              </w:rPr>
              <w:t>rage Returns</w:t>
            </w:r>
          </w:p>
        </w:tc>
        <w:tc>
          <w:tcPr>
            <w:tcW w:w="765" w:type="pct"/>
            <w:shd w:val="clear" w:color="auto" w:fill="auto"/>
            <w:noWrap/>
            <w:vAlign w:val="bottom"/>
            <w:hideMark/>
          </w:tcPr>
          <w:p w14:paraId="3B08AED1" w14:textId="77777777" w:rsidR="00FB6DDF" w:rsidRPr="006D0E42" w:rsidRDefault="00FB6DDF" w:rsidP="00FB6DDF">
            <w:pPr>
              <w:jc w:val="center"/>
              <w:rPr>
                <w:rFonts w:ascii="Calibri" w:hAnsi="Calibri" w:cs="Calibri"/>
                <w:color w:val="000000"/>
              </w:rPr>
            </w:pPr>
            <w:r w:rsidRPr="006D0E42">
              <w:rPr>
                <w:rFonts w:ascii="Calibri" w:hAnsi="Calibri" w:cs="Calibri"/>
                <w:color w:val="000000"/>
              </w:rPr>
              <w:t>-0.37%</w:t>
            </w:r>
          </w:p>
        </w:tc>
      </w:tr>
      <w:tr w:rsidR="00FB6DDF" w:rsidRPr="006D0E42" w14:paraId="2B155C11" w14:textId="77777777" w:rsidTr="006D0E42">
        <w:trPr>
          <w:trHeight w:val="300"/>
          <w:jc w:val="center"/>
        </w:trPr>
        <w:tc>
          <w:tcPr>
            <w:tcW w:w="1903" w:type="pct"/>
            <w:gridSpan w:val="2"/>
            <w:shd w:val="clear" w:color="auto" w:fill="auto"/>
            <w:noWrap/>
            <w:vAlign w:val="bottom"/>
            <w:hideMark/>
          </w:tcPr>
          <w:p w14:paraId="1BD5F9C7" w14:textId="00ADEEDC" w:rsidR="00FB6DDF" w:rsidRPr="006D0E42" w:rsidRDefault="00FB6DDF" w:rsidP="00FB6DDF">
            <w:pPr>
              <w:jc w:val="center"/>
              <w:rPr>
                <w:rFonts w:ascii="Calibri" w:hAnsi="Calibri" w:cs="Calibri"/>
                <w:color w:val="000000"/>
              </w:rPr>
            </w:pPr>
            <w:r>
              <w:rPr>
                <w:rFonts w:ascii="Calibri" w:hAnsi="Calibri" w:cs="Calibri"/>
                <w:color w:val="000000"/>
              </w:rPr>
              <w:t>Standard Deviation</w:t>
            </w:r>
          </w:p>
        </w:tc>
        <w:tc>
          <w:tcPr>
            <w:tcW w:w="766" w:type="pct"/>
            <w:shd w:val="clear" w:color="auto" w:fill="auto"/>
            <w:noWrap/>
            <w:vAlign w:val="bottom"/>
            <w:hideMark/>
          </w:tcPr>
          <w:p w14:paraId="7ADBF5D2" w14:textId="77777777" w:rsidR="00FB6DDF" w:rsidRPr="006D0E42" w:rsidRDefault="00FB6DDF" w:rsidP="00FB6DDF">
            <w:pPr>
              <w:jc w:val="center"/>
              <w:rPr>
                <w:rFonts w:ascii="Calibri" w:hAnsi="Calibri" w:cs="Calibri"/>
                <w:color w:val="000000"/>
              </w:rPr>
            </w:pPr>
            <w:r w:rsidRPr="006D0E42">
              <w:rPr>
                <w:rFonts w:ascii="Calibri" w:hAnsi="Calibri" w:cs="Calibri"/>
                <w:color w:val="000000"/>
              </w:rPr>
              <w:t>1.11%</w:t>
            </w:r>
          </w:p>
        </w:tc>
        <w:tc>
          <w:tcPr>
            <w:tcW w:w="1566" w:type="pct"/>
            <w:gridSpan w:val="2"/>
            <w:shd w:val="clear" w:color="auto" w:fill="auto"/>
            <w:noWrap/>
            <w:vAlign w:val="bottom"/>
            <w:hideMark/>
          </w:tcPr>
          <w:p w14:paraId="637271C6" w14:textId="281AD13E" w:rsidR="00FB6DDF" w:rsidRPr="006D0E42" w:rsidRDefault="00FB6DDF" w:rsidP="00FB6DDF">
            <w:pPr>
              <w:jc w:val="center"/>
              <w:rPr>
                <w:rFonts w:ascii="Calibri" w:hAnsi="Calibri" w:cs="Calibri"/>
                <w:color w:val="000000"/>
              </w:rPr>
            </w:pPr>
            <w:r>
              <w:rPr>
                <w:rFonts w:ascii="Calibri" w:hAnsi="Calibri" w:cs="Calibri"/>
                <w:color w:val="000000"/>
              </w:rPr>
              <w:t>Standard Deviation</w:t>
            </w:r>
          </w:p>
        </w:tc>
        <w:tc>
          <w:tcPr>
            <w:tcW w:w="765" w:type="pct"/>
            <w:shd w:val="clear" w:color="auto" w:fill="auto"/>
            <w:noWrap/>
            <w:vAlign w:val="bottom"/>
            <w:hideMark/>
          </w:tcPr>
          <w:p w14:paraId="388395C4" w14:textId="77777777" w:rsidR="00FB6DDF" w:rsidRPr="006D0E42" w:rsidRDefault="00FB6DDF" w:rsidP="00FB6DDF">
            <w:pPr>
              <w:jc w:val="center"/>
              <w:rPr>
                <w:rFonts w:ascii="Calibri" w:hAnsi="Calibri" w:cs="Calibri"/>
                <w:color w:val="000000"/>
              </w:rPr>
            </w:pPr>
            <w:r w:rsidRPr="006D0E42">
              <w:rPr>
                <w:rFonts w:ascii="Calibri" w:hAnsi="Calibri" w:cs="Calibri"/>
                <w:color w:val="000000"/>
              </w:rPr>
              <w:t>2.16%</w:t>
            </w:r>
          </w:p>
        </w:tc>
      </w:tr>
      <w:tr w:rsidR="006D0E42" w:rsidRPr="006D0E42" w14:paraId="0F86539C" w14:textId="77777777" w:rsidTr="006D0E42">
        <w:trPr>
          <w:trHeight w:val="300"/>
          <w:jc w:val="center"/>
        </w:trPr>
        <w:tc>
          <w:tcPr>
            <w:tcW w:w="1903" w:type="pct"/>
            <w:gridSpan w:val="2"/>
            <w:shd w:val="clear" w:color="auto" w:fill="auto"/>
            <w:noWrap/>
            <w:vAlign w:val="bottom"/>
            <w:hideMark/>
          </w:tcPr>
          <w:p w14:paraId="6D79C62C"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CAGR</w:t>
            </w:r>
          </w:p>
        </w:tc>
        <w:tc>
          <w:tcPr>
            <w:tcW w:w="766" w:type="pct"/>
            <w:shd w:val="clear" w:color="auto" w:fill="auto"/>
            <w:noWrap/>
            <w:vAlign w:val="bottom"/>
            <w:hideMark/>
          </w:tcPr>
          <w:p w14:paraId="73B4898E"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0.07%</w:t>
            </w:r>
          </w:p>
        </w:tc>
        <w:tc>
          <w:tcPr>
            <w:tcW w:w="1566" w:type="pct"/>
            <w:gridSpan w:val="2"/>
            <w:shd w:val="clear" w:color="auto" w:fill="auto"/>
            <w:noWrap/>
            <w:vAlign w:val="bottom"/>
            <w:hideMark/>
          </w:tcPr>
          <w:p w14:paraId="700E0B49"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CAGR</w:t>
            </w:r>
          </w:p>
        </w:tc>
        <w:tc>
          <w:tcPr>
            <w:tcW w:w="765" w:type="pct"/>
            <w:shd w:val="clear" w:color="auto" w:fill="auto"/>
            <w:noWrap/>
            <w:vAlign w:val="bottom"/>
            <w:hideMark/>
          </w:tcPr>
          <w:p w14:paraId="65D3F5B7" w14:textId="77777777" w:rsidR="006D0E42" w:rsidRPr="006D0E42" w:rsidRDefault="006D0E42" w:rsidP="006D0E42">
            <w:pPr>
              <w:jc w:val="center"/>
              <w:rPr>
                <w:rFonts w:ascii="Calibri" w:hAnsi="Calibri" w:cs="Calibri"/>
                <w:color w:val="000000"/>
              </w:rPr>
            </w:pPr>
            <w:r w:rsidRPr="006D0E42">
              <w:rPr>
                <w:rFonts w:ascii="Calibri" w:hAnsi="Calibri" w:cs="Calibri"/>
                <w:color w:val="000000"/>
              </w:rPr>
              <w:t>-0.38%</w:t>
            </w:r>
          </w:p>
        </w:tc>
      </w:tr>
    </w:tbl>
    <w:p w14:paraId="2F425141" w14:textId="5F3CCF34" w:rsidR="006D0E42" w:rsidRDefault="006D0E42" w:rsidP="00BF3DD0"/>
    <w:p w14:paraId="3AE5DE66" w14:textId="5BDB5194" w:rsidR="00FB6DDF" w:rsidRPr="00FB6DDF" w:rsidRDefault="00FB6DDF" w:rsidP="00BF3DD0">
      <w:pPr>
        <w:rPr>
          <w:i/>
        </w:rPr>
      </w:pPr>
      <w:r w:rsidRPr="00FB6DDF">
        <w:rPr>
          <w:i/>
        </w:rPr>
        <w:t>H</w:t>
      </w:r>
      <w:r w:rsidRPr="00FB6DDF">
        <w:rPr>
          <w:i/>
          <w:vertAlign w:val="subscript"/>
        </w:rPr>
        <w:t>0</w:t>
      </w:r>
      <w:r>
        <w:rPr>
          <w:i/>
        </w:rPr>
        <w:t>: There will be no</w:t>
      </w:r>
      <w:r w:rsidRPr="00FB6DDF">
        <w:rPr>
          <w:i/>
        </w:rPr>
        <w:t xml:space="preserve"> association between the stock performance and the investment decisions</w:t>
      </w:r>
    </w:p>
    <w:p w14:paraId="368FCDF8" w14:textId="77777777" w:rsidR="00FB6DDF" w:rsidRDefault="00FB6DDF" w:rsidP="00BF3D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226"/>
        <w:gridCol w:w="2004"/>
        <w:gridCol w:w="1648"/>
        <w:gridCol w:w="1007"/>
        <w:gridCol w:w="1532"/>
      </w:tblGrid>
      <w:tr w:rsidR="00280223" w:rsidRPr="00280223" w14:paraId="48FE1175" w14:textId="77777777" w:rsidTr="00280223">
        <w:trPr>
          <w:trHeight w:val="315"/>
        </w:trPr>
        <w:tc>
          <w:tcPr>
            <w:tcW w:w="5000" w:type="pct"/>
            <w:gridSpan w:val="6"/>
            <w:shd w:val="clear" w:color="auto" w:fill="auto"/>
            <w:noWrap/>
            <w:vAlign w:val="center"/>
            <w:hideMark/>
          </w:tcPr>
          <w:p w14:paraId="1E33EC54" w14:textId="77777777" w:rsidR="00280223" w:rsidRPr="00280223" w:rsidRDefault="00280223" w:rsidP="00280223">
            <w:pPr>
              <w:jc w:val="center"/>
              <w:rPr>
                <w:rFonts w:ascii="Calibri" w:hAnsi="Calibri" w:cs="Calibri"/>
                <w:b/>
                <w:bCs/>
                <w:color w:val="000000"/>
              </w:rPr>
            </w:pPr>
            <w:r w:rsidRPr="00280223">
              <w:rPr>
                <w:rFonts w:ascii="Calibri" w:hAnsi="Calibri" w:cs="Calibri"/>
                <w:b/>
                <w:bCs/>
                <w:color w:val="000000"/>
              </w:rPr>
              <w:t>Regression Statistics</w:t>
            </w:r>
          </w:p>
        </w:tc>
      </w:tr>
      <w:tr w:rsidR="00280223" w:rsidRPr="00280223" w14:paraId="45DCD5C2" w14:textId="77777777" w:rsidTr="00280223">
        <w:trPr>
          <w:trHeight w:val="315"/>
        </w:trPr>
        <w:tc>
          <w:tcPr>
            <w:tcW w:w="1152" w:type="pct"/>
            <w:shd w:val="clear" w:color="auto" w:fill="auto"/>
            <w:noWrap/>
            <w:vAlign w:val="center"/>
            <w:hideMark/>
          </w:tcPr>
          <w:p w14:paraId="55F07F28"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Multiple R</w:t>
            </w:r>
          </w:p>
        </w:tc>
        <w:tc>
          <w:tcPr>
            <w:tcW w:w="773" w:type="pct"/>
            <w:shd w:val="clear" w:color="auto" w:fill="auto"/>
            <w:noWrap/>
            <w:vAlign w:val="center"/>
            <w:hideMark/>
          </w:tcPr>
          <w:p w14:paraId="064B1094"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R Square</w:t>
            </w:r>
          </w:p>
        </w:tc>
        <w:tc>
          <w:tcPr>
            <w:tcW w:w="992" w:type="pct"/>
            <w:shd w:val="clear" w:color="auto" w:fill="auto"/>
            <w:noWrap/>
            <w:vAlign w:val="center"/>
            <w:hideMark/>
          </w:tcPr>
          <w:p w14:paraId="08C7B897"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Adjusted R Square</w:t>
            </w:r>
          </w:p>
        </w:tc>
        <w:tc>
          <w:tcPr>
            <w:tcW w:w="818" w:type="pct"/>
            <w:shd w:val="clear" w:color="auto" w:fill="auto"/>
            <w:noWrap/>
            <w:vAlign w:val="center"/>
            <w:hideMark/>
          </w:tcPr>
          <w:p w14:paraId="71011C85"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Standard Error</w:t>
            </w:r>
          </w:p>
        </w:tc>
        <w:tc>
          <w:tcPr>
            <w:tcW w:w="1264" w:type="pct"/>
            <w:gridSpan w:val="2"/>
            <w:shd w:val="clear" w:color="auto" w:fill="auto"/>
            <w:noWrap/>
            <w:vAlign w:val="center"/>
            <w:hideMark/>
          </w:tcPr>
          <w:p w14:paraId="52B005D6"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Observations</w:t>
            </w:r>
          </w:p>
        </w:tc>
      </w:tr>
      <w:tr w:rsidR="00280223" w:rsidRPr="00280223" w14:paraId="183FB6B3" w14:textId="77777777" w:rsidTr="00280223">
        <w:trPr>
          <w:trHeight w:val="315"/>
        </w:trPr>
        <w:tc>
          <w:tcPr>
            <w:tcW w:w="1152" w:type="pct"/>
            <w:shd w:val="clear" w:color="auto" w:fill="auto"/>
            <w:noWrap/>
            <w:vAlign w:val="center"/>
            <w:hideMark/>
          </w:tcPr>
          <w:p w14:paraId="44014659"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0.466221679</w:t>
            </w:r>
          </w:p>
        </w:tc>
        <w:tc>
          <w:tcPr>
            <w:tcW w:w="773" w:type="pct"/>
            <w:shd w:val="clear" w:color="auto" w:fill="auto"/>
            <w:noWrap/>
            <w:vAlign w:val="center"/>
            <w:hideMark/>
          </w:tcPr>
          <w:p w14:paraId="7FF49A1F"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0.217363</w:t>
            </w:r>
          </w:p>
        </w:tc>
        <w:tc>
          <w:tcPr>
            <w:tcW w:w="992" w:type="pct"/>
            <w:shd w:val="clear" w:color="auto" w:fill="auto"/>
            <w:noWrap/>
            <w:vAlign w:val="center"/>
            <w:hideMark/>
          </w:tcPr>
          <w:p w14:paraId="65C996A3"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0.178231</w:t>
            </w:r>
          </w:p>
        </w:tc>
        <w:tc>
          <w:tcPr>
            <w:tcW w:w="818" w:type="pct"/>
            <w:shd w:val="clear" w:color="auto" w:fill="auto"/>
            <w:noWrap/>
            <w:vAlign w:val="center"/>
            <w:hideMark/>
          </w:tcPr>
          <w:p w14:paraId="01A4E354"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62.70474</w:t>
            </w:r>
          </w:p>
        </w:tc>
        <w:tc>
          <w:tcPr>
            <w:tcW w:w="1264" w:type="pct"/>
            <w:gridSpan w:val="2"/>
            <w:shd w:val="clear" w:color="auto" w:fill="auto"/>
            <w:noWrap/>
            <w:vAlign w:val="center"/>
            <w:hideMark/>
          </w:tcPr>
          <w:p w14:paraId="2DB1C783"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22</w:t>
            </w:r>
          </w:p>
        </w:tc>
      </w:tr>
      <w:tr w:rsidR="00280223" w:rsidRPr="00280223" w14:paraId="336EEE5A" w14:textId="77777777" w:rsidTr="00280223">
        <w:trPr>
          <w:trHeight w:val="315"/>
        </w:trPr>
        <w:tc>
          <w:tcPr>
            <w:tcW w:w="5000" w:type="pct"/>
            <w:gridSpan w:val="6"/>
            <w:shd w:val="clear" w:color="auto" w:fill="auto"/>
            <w:noWrap/>
            <w:vAlign w:val="center"/>
            <w:hideMark/>
          </w:tcPr>
          <w:p w14:paraId="5F50A24B" w14:textId="77777777" w:rsidR="00280223" w:rsidRPr="00280223" w:rsidRDefault="00280223" w:rsidP="00280223">
            <w:pPr>
              <w:jc w:val="center"/>
              <w:rPr>
                <w:rFonts w:ascii="Calibri" w:hAnsi="Calibri" w:cs="Calibri"/>
                <w:b/>
                <w:color w:val="000000"/>
              </w:rPr>
            </w:pPr>
            <w:r w:rsidRPr="00280223">
              <w:rPr>
                <w:rFonts w:ascii="Calibri" w:hAnsi="Calibri" w:cs="Calibri"/>
                <w:b/>
                <w:color w:val="000000"/>
              </w:rPr>
              <w:t>ANOVA</w:t>
            </w:r>
          </w:p>
        </w:tc>
      </w:tr>
      <w:tr w:rsidR="00280223" w:rsidRPr="00280223" w14:paraId="293DF699" w14:textId="77777777" w:rsidTr="00280223">
        <w:trPr>
          <w:trHeight w:val="315"/>
        </w:trPr>
        <w:tc>
          <w:tcPr>
            <w:tcW w:w="1152" w:type="pct"/>
            <w:shd w:val="clear" w:color="auto" w:fill="auto"/>
            <w:noWrap/>
            <w:vAlign w:val="bottom"/>
            <w:hideMark/>
          </w:tcPr>
          <w:p w14:paraId="41BABF6C" w14:textId="77777777" w:rsidR="00280223" w:rsidRPr="00280223" w:rsidRDefault="00280223" w:rsidP="00280223">
            <w:pPr>
              <w:jc w:val="center"/>
              <w:rPr>
                <w:rFonts w:ascii="Calibri" w:hAnsi="Calibri" w:cs="Calibri"/>
                <w:color w:val="000000"/>
              </w:rPr>
            </w:pPr>
          </w:p>
        </w:tc>
        <w:tc>
          <w:tcPr>
            <w:tcW w:w="773" w:type="pct"/>
            <w:shd w:val="clear" w:color="auto" w:fill="auto"/>
            <w:noWrap/>
            <w:vAlign w:val="center"/>
            <w:hideMark/>
          </w:tcPr>
          <w:p w14:paraId="344E6C13" w14:textId="77777777" w:rsidR="00280223" w:rsidRPr="00280223" w:rsidRDefault="00280223" w:rsidP="00280223">
            <w:pPr>
              <w:jc w:val="center"/>
              <w:rPr>
                <w:rFonts w:ascii="Calibri" w:hAnsi="Calibri" w:cs="Calibri"/>
                <w:color w:val="000000"/>
              </w:rPr>
            </w:pPr>
            <w:proofErr w:type="spellStart"/>
            <w:r w:rsidRPr="00280223">
              <w:rPr>
                <w:rFonts w:ascii="Calibri" w:hAnsi="Calibri" w:cs="Calibri"/>
                <w:color w:val="000000"/>
              </w:rPr>
              <w:t>df</w:t>
            </w:r>
            <w:proofErr w:type="spellEnd"/>
          </w:p>
        </w:tc>
        <w:tc>
          <w:tcPr>
            <w:tcW w:w="992" w:type="pct"/>
            <w:shd w:val="clear" w:color="auto" w:fill="auto"/>
            <w:noWrap/>
            <w:vAlign w:val="center"/>
            <w:hideMark/>
          </w:tcPr>
          <w:p w14:paraId="3F94E693"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SS</w:t>
            </w:r>
          </w:p>
        </w:tc>
        <w:tc>
          <w:tcPr>
            <w:tcW w:w="818" w:type="pct"/>
            <w:shd w:val="clear" w:color="auto" w:fill="auto"/>
            <w:noWrap/>
            <w:vAlign w:val="center"/>
            <w:hideMark/>
          </w:tcPr>
          <w:p w14:paraId="4E5E6ECB"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MS</w:t>
            </w:r>
          </w:p>
        </w:tc>
        <w:tc>
          <w:tcPr>
            <w:tcW w:w="503" w:type="pct"/>
            <w:shd w:val="clear" w:color="auto" w:fill="auto"/>
            <w:noWrap/>
            <w:vAlign w:val="center"/>
            <w:hideMark/>
          </w:tcPr>
          <w:p w14:paraId="17CD2FF9"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F</w:t>
            </w:r>
          </w:p>
        </w:tc>
        <w:tc>
          <w:tcPr>
            <w:tcW w:w="761" w:type="pct"/>
            <w:shd w:val="clear" w:color="auto" w:fill="auto"/>
            <w:noWrap/>
            <w:vAlign w:val="center"/>
            <w:hideMark/>
          </w:tcPr>
          <w:p w14:paraId="35B62F36"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Significance F</w:t>
            </w:r>
          </w:p>
        </w:tc>
      </w:tr>
      <w:tr w:rsidR="00280223" w:rsidRPr="00280223" w14:paraId="1BDEFF70" w14:textId="77777777" w:rsidTr="00280223">
        <w:trPr>
          <w:trHeight w:val="315"/>
        </w:trPr>
        <w:tc>
          <w:tcPr>
            <w:tcW w:w="1152" w:type="pct"/>
            <w:shd w:val="clear" w:color="auto" w:fill="auto"/>
            <w:noWrap/>
            <w:vAlign w:val="center"/>
            <w:hideMark/>
          </w:tcPr>
          <w:p w14:paraId="492A061A"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Regression</w:t>
            </w:r>
          </w:p>
        </w:tc>
        <w:tc>
          <w:tcPr>
            <w:tcW w:w="773" w:type="pct"/>
            <w:shd w:val="clear" w:color="auto" w:fill="auto"/>
            <w:noWrap/>
            <w:vAlign w:val="center"/>
            <w:hideMark/>
          </w:tcPr>
          <w:p w14:paraId="6C38E7F6"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1</w:t>
            </w:r>
          </w:p>
        </w:tc>
        <w:tc>
          <w:tcPr>
            <w:tcW w:w="992" w:type="pct"/>
            <w:shd w:val="clear" w:color="auto" w:fill="auto"/>
            <w:noWrap/>
            <w:vAlign w:val="center"/>
            <w:hideMark/>
          </w:tcPr>
          <w:p w14:paraId="5E27C45F"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21840.12</w:t>
            </w:r>
          </w:p>
        </w:tc>
        <w:tc>
          <w:tcPr>
            <w:tcW w:w="818" w:type="pct"/>
            <w:shd w:val="clear" w:color="auto" w:fill="auto"/>
            <w:noWrap/>
            <w:vAlign w:val="center"/>
            <w:hideMark/>
          </w:tcPr>
          <w:p w14:paraId="36A56207"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21840.12</w:t>
            </w:r>
          </w:p>
        </w:tc>
        <w:tc>
          <w:tcPr>
            <w:tcW w:w="503" w:type="pct"/>
            <w:shd w:val="clear" w:color="auto" w:fill="auto"/>
            <w:noWrap/>
            <w:vAlign w:val="center"/>
            <w:hideMark/>
          </w:tcPr>
          <w:p w14:paraId="01AE8781"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5.55462</w:t>
            </w:r>
          </w:p>
        </w:tc>
        <w:tc>
          <w:tcPr>
            <w:tcW w:w="761" w:type="pct"/>
            <w:shd w:val="clear" w:color="auto" w:fill="auto"/>
            <w:noWrap/>
            <w:vAlign w:val="center"/>
            <w:hideMark/>
          </w:tcPr>
          <w:p w14:paraId="1F9114FD"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0.028738</w:t>
            </w:r>
          </w:p>
        </w:tc>
      </w:tr>
      <w:tr w:rsidR="00280223" w:rsidRPr="00280223" w14:paraId="24B6851D" w14:textId="77777777" w:rsidTr="00280223">
        <w:trPr>
          <w:trHeight w:val="315"/>
        </w:trPr>
        <w:tc>
          <w:tcPr>
            <w:tcW w:w="1152" w:type="pct"/>
            <w:shd w:val="clear" w:color="auto" w:fill="auto"/>
            <w:noWrap/>
            <w:vAlign w:val="center"/>
            <w:hideMark/>
          </w:tcPr>
          <w:p w14:paraId="54FA27C7"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Residual</w:t>
            </w:r>
          </w:p>
        </w:tc>
        <w:tc>
          <w:tcPr>
            <w:tcW w:w="773" w:type="pct"/>
            <w:shd w:val="clear" w:color="auto" w:fill="auto"/>
            <w:noWrap/>
            <w:vAlign w:val="center"/>
            <w:hideMark/>
          </w:tcPr>
          <w:p w14:paraId="1BD4F10F"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20</w:t>
            </w:r>
          </w:p>
        </w:tc>
        <w:tc>
          <w:tcPr>
            <w:tcW w:w="992" w:type="pct"/>
            <w:shd w:val="clear" w:color="auto" w:fill="auto"/>
            <w:noWrap/>
            <w:vAlign w:val="center"/>
            <w:hideMark/>
          </w:tcPr>
          <w:p w14:paraId="53309847"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78637.69</w:t>
            </w:r>
          </w:p>
        </w:tc>
        <w:tc>
          <w:tcPr>
            <w:tcW w:w="818" w:type="pct"/>
            <w:shd w:val="clear" w:color="auto" w:fill="auto"/>
            <w:noWrap/>
            <w:vAlign w:val="center"/>
            <w:hideMark/>
          </w:tcPr>
          <w:p w14:paraId="0A4EAEBE"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3931.884</w:t>
            </w:r>
          </w:p>
        </w:tc>
        <w:tc>
          <w:tcPr>
            <w:tcW w:w="503" w:type="pct"/>
            <w:shd w:val="clear" w:color="auto" w:fill="auto"/>
            <w:noWrap/>
            <w:vAlign w:val="bottom"/>
            <w:hideMark/>
          </w:tcPr>
          <w:p w14:paraId="0792656D" w14:textId="77777777" w:rsidR="00280223" w:rsidRPr="00280223" w:rsidRDefault="00280223" w:rsidP="00280223">
            <w:pPr>
              <w:jc w:val="center"/>
              <w:rPr>
                <w:rFonts w:ascii="Calibri" w:hAnsi="Calibri" w:cs="Calibri"/>
                <w:color w:val="000000"/>
              </w:rPr>
            </w:pPr>
          </w:p>
        </w:tc>
        <w:tc>
          <w:tcPr>
            <w:tcW w:w="761" w:type="pct"/>
            <w:shd w:val="clear" w:color="auto" w:fill="auto"/>
            <w:noWrap/>
            <w:vAlign w:val="bottom"/>
            <w:hideMark/>
          </w:tcPr>
          <w:p w14:paraId="1649B522" w14:textId="77777777" w:rsidR="00280223" w:rsidRPr="00280223" w:rsidRDefault="00280223" w:rsidP="00280223">
            <w:pPr>
              <w:jc w:val="center"/>
              <w:rPr>
                <w:rFonts w:ascii="Calibri" w:hAnsi="Calibri" w:cs="Calibri"/>
                <w:color w:val="000000"/>
              </w:rPr>
            </w:pPr>
          </w:p>
        </w:tc>
      </w:tr>
      <w:tr w:rsidR="00280223" w:rsidRPr="00280223" w14:paraId="5D1093B7" w14:textId="77777777" w:rsidTr="00280223">
        <w:trPr>
          <w:trHeight w:val="315"/>
        </w:trPr>
        <w:tc>
          <w:tcPr>
            <w:tcW w:w="1152" w:type="pct"/>
            <w:shd w:val="clear" w:color="auto" w:fill="auto"/>
            <w:noWrap/>
            <w:vAlign w:val="center"/>
            <w:hideMark/>
          </w:tcPr>
          <w:p w14:paraId="091D6003"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Total</w:t>
            </w:r>
          </w:p>
        </w:tc>
        <w:tc>
          <w:tcPr>
            <w:tcW w:w="773" w:type="pct"/>
            <w:shd w:val="clear" w:color="auto" w:fill="auto"/>
            <w:noWrap/>
            <w:vAlign w:val="center"/>
            <w:hideMark/>
          </w:tcPr>
          <w:p w14:paraId="46F90897"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21</w:t>
            </w:r>
          </w:p>
        </w:tc>
        <w:tc>
          <w:tcPr>
            <w:tcW w:w="992" w:type="pct"/>
            <w:shd w:val="clear" w:color="auto" w:fill="auto"/>
            <w:noWrap/>
            <w:vAlign w:val="center"/>
            <w:hideMark/>
          </w:tcPr>
          <w:p w14:paraId="5ACB56DB"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100477.8</w:t>
            </w:r>
          </w:p>
        </w:tc>
        <w:tc>
          <w:tcPr>
            <w:tcW w:w="818" w:type="pct"/>
            <w:shd w:val="clear" w:color="auto" w:fill="auto"/>
            <w:noWrap/>
            <w:vAlign w:val="bottom"/>
            <w:hideMark/>
          </w:tcPr>
          <w:p w14:paraId="45CFECC5" w14:textId="77777777" w:rsidR="00280223" w:rsidRPr="00280223" w:rsidRDefault="00280223" w:rsidP="00280223">
            <w:pPr>
              <w:jc w:val="center"/>
              <w:rPr>
                <w:rFonts w:ascii="Calibri" w:hAnsi="Calibri" w:cs="Calibri"/>
                <w:color w:val="000000"/>
              </w:rPr>
            </w:pPr>
          </w:p>
        </w:tc>
        <w:tc>
          <w:tcPr>
            <w:tcW w:w="503" w:type="pct"/>
            <w:shd w:val="clear" w:color="auto" w:fill="auto"/>
            <w:noWrap/>
            <w:vAlign w:val="bottom"/>
            <w:hideMark/>
          </w:tcPr>
          <w:p w14:paraId="54BB19E8" w14:textId="77777777" w:rsidR="00280223" w:rsidRPr="00280223" w:rsidRDefault="00280223" w:rsidP="00280223">
            <w:pPr>
              <w:jc w:val="center"/>
              <w:rPr>
                <w:rFonts w:ascii="Calibri" w:hAnsi="Calibri" w:cs="Calibri"/>
                <w:color w:val="000000"/>
              </w:rPr>
            </w:pPr>
          </w:p>
        </w:tc>
        <w:tc>
          <w:tcPr>
            <w:tcW w:w="761" w:type="pct"/>
            <w:shd w:val="clear" w:color="auto" w:fill="auto"/>
            <w:noWrap/>
            <w:vAlign w:val="bottom"/>
            <w:hideMark/>
          </w:tcPr>
          <w:p w14:paraId="28DDB90B" w14:textId="77777777" w:rsidR="00280223" w:rsidRPr="00280223" w:rsidRDefault="00280223" w:rsidP="00280223">
            <w:pPr>
              <w:jc w:val="center"/>
              <w:rPr>
                <w:rFonts w:ascii="Calibri" w:hAnsi="Calibri" w:cs="Calibri"/>
                <w:color w:val="000000"/>
              </w:rPr>
            </w:pPr>
          </w:p>
        </w:tc>
      </w:tr>
    </w:tbl>
    <w:p w14:paraId="5FFFC093" w14:textId="77777777" w:rsidR="00280223" w:rsidRPr="00280223" w:rsidRDefault="00280223" w:rsidP="00BF3DD0">
      <w:pPr>
        <w:rPr>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340"/>
        <w:gridCol w:w="1263"/>
        <w:gridCol w:w="794"/>
        <w:gridCol w:w="791"/>
        <w:gridCol w:w="1045"/>
        <w:gridCol w:w="1007"/>
        <w:gridCol w:w="988"/>
        <w:gridCol w:w="1030"/>
      </w:tblGrid>
      <w:tr w:rsidR="00280223" w:rsidRPr="00280223" w14:paraId="762E71B4" w14:textId="77777777" w:rsidTr="00280223">
        <w:trPr>
          <w:trHeight w:val="315"/>
          <w:jc w:val="center"/>
        </w:trPr>
        <w:tc>
          <w:tcPr>
            <w:tcW w:w="1039" w:type="dxa"/>
            <w:shd w:val="clear" w:color="auto" w:fill="auto"/>
            <w:noWrap/>
            <w:vAlign w:val="bottom"/>
            <w:hideMark/>
          </w:tcPr>
          <w:p w14:paraId="718BB339" w14:textId="77777777" w:rsidR="00280223" w:rsidRPr="00280223" w:rsidRDefault="00280223" w:rsidP="00280223">
            <w:pPr>
              <w:jc w:val="center"/>
              <w:rPr>
                <w:rFonts w:ascii="Calibri" w:hAnsi="Calibri" w:cs="Calibri"/>
                <w:color w:val="000000"/>
              </w:rPr>
            </w:pPr>
          </w:p>
        </w:tc>
        <w:tc>
          <w:tcPr>
            <w:tcW w:w="1272" w:type="dxa"/>
            <w:shd w:val="clear" w:color="auto" w:fill="auto"/>
            <w:noWrap/>
            <w:vAlign w:val="center"/>
            <w:hideMark/>
          </w:tcPr>
          <w:p w14:paraId="17677A29"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Coefficients</w:t>
            </w:r>
          </w:p>
        </w:tc>
        <w:tc>
          <w:tcPr>
            <w:tcW w:w="1289" w:type="dxa"/>
            <w:shd w:val="clear" w:color="auto" w:fill="auto"/>
            <w:noWrap/>
            <w:vAlign w:val="center"/>
            <w:hideMark/>
          </w:tcPr>
          <w:p w14:paraId="77C63276"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Standard Error</w:t>
            </w:r>
          </w:p>
        </w:tc>
        <w:tc>
          <w:tcPr>
            <w:tcW w:w="809" w:type="dxa"/>
            <w:shd w:val="clear" w:color="auto" w:fill="auto"/>
            <w:noWrap/>
            <w:vAlign w:val="center"/>
            <w:hideMark/>
          </w:tcPr>
          <w:p w14:paraId="098AC238"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t Stat</w:t>
            </w:r>
          </w:p>
        </w:tc>
        <w:tc>
          <w:tcPr>
            <w:tcW w:w="806" w:type="dxa"/>
            <w:shd w:val="clear" w:color="auto" w:fill="auto"/>
            <w:noWrap/>
            <w:vAlign w:val="center"/>
            <w:hideMark/>
          </w:tcPr>
          <w:p w14:paraId="2B49A0CF"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P-value</w:t>
            </w:r>
          </w:p>
        </w:tc>
        <w:tc>
          <w:tcPr>
            <w:tcW w:w="1066" w:type="dxa"/>
            <w:shd w:val="clear" w:color="auto" w:fill="auto"/>
            <w:noWrap/>
            <w:vAlign w:val="center"/>
            <w:hideMark/>
          </w:tcPr>
          <w:p w14:paraId="42AADD19"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Lower 95%</w:t>
            </w:r>
          </w:p>
        </w:tc>
        <w:tc>
          <w:tcPr>
            <w:tcW w:w="1027" w:type="dxa"/>
            <w:shd w:val="clear" w:color="auto" w:fill="auto"/>
            <w:noWrap/>
            <w:vAlign w:val="center"/>
            <w:hideMark/>
          </w:tcPr>
          <w:p w14:paraId="2FF0CEE4"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Upper 95%</w:t>
            </w:r>
          </w:p>
        </w:tc>
        <w:tc>
          <w:tcPr>
            <w:tcW w:w="991" w:type="dxa"/>
            <w:shd w:val="clear" w:color="auto" w:fill="auto"/>
            <w:noWrap/>
            <w:vAlign w:val="center"/>
            <w:hideMark/>
          </w:tcPr>
          <w:p w14:paraId="443DCD41"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Lower 95.0%</w:t>
            </w:r>
          </w:p>
        </w:tc>
        <w:tc>
          <w:tcPr>
            <w:tcW w:w="1051" w:type="dxa"/>
            <w:shd w:val="clear" w:color="auto" w:fill="auto"/>
            <w:noWrap/>
            <w:vAlign w:val="center"/>
            <w:hideMark/>
          </w:tcPr>
          <w:p w14:paraId="11F81AF2"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Upper 95.0%</w:t>
            </w:r>
          </w:p>
        </w:tc>
      </w:tr>
      <w:tr w:rsidR="00280223" w:rsidRPr="00280223" w14:paraId="55C69B54" w14:textId="77777777" w:rsidTr="00280223">
        <w:trPr>
          <w:trHeight w:val="315"/>
          <w:jc w:val="center"/>
        </w:trPr>
        <w:tc>
          <w:tcPr>
            <w:tcW w:w="1039" w:type="dxa"/>
            <w:shd w:val="clear" w:color="auto" w:fill="auto"/>
            <w:noWrap/>
            <w:vAlign w:val="center"/>
            <w:hideMark/>
          </w:tcPr>
          <w:p w14:paraId="6ECD04A4"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Intercept</w:t>
            </w:r>
          </w:p>
        </w:tc>
        <w:tc>
          <w:tcPr>
            <w:tcW w:w="1272" w:type="dxa"/>
            <w:shd w:val="clear" w:color="auto" w:fill="auto"/>
            <w:noWrap/>
            <w:vAlign w:val="center"/>
            <w:hideMark/>
          </w:tcPr>
          <w:p w14:paraId="4A380A54"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4514.56</w:t>
            </w:r>
          </w:p>
        </w:tc>
        <w:tc>
          <w:tcPr>
            <w:tcW w:w="1289" w:type="dxa"/>
            <w:shd w:val="clear" w:color="auto" w:fill="auto"/>
            <w:noWrap/>
            <w:vAlign w:val="center"/>
            <w:hideMark/>
          </w:tcPr>
          <w:p w14:paraId="62F11101"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1089.46</w:t>
            </w:r>
          </w:p>
        </w:tc>
        <w:tc>
          <w:tcPr>
            <w:tcW w:w="809" w:type="dxa"/>
            <w:shd w:val="clear" w:color="auto" w:fill="auto"/>
            <w:noWrap/>
            <w:vAlign w:val="center"/>
            <w:hideMark/>
          </w:tcPr>
          <w:p w14:paraId="5526410F"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4.14</w:t>
            </w:r>
          </w:p>
        </w:tc>
        <w:tc>
          <w:tcPr>
            <w:tcW w:w="806" w:type="dxa"/>
            <w:shd w:val="clear" w:color="auto" w:fill="auto"/>
            <w:noWrap/>
            <w:vAlign w:val="center"/>
            <w:hideMark/>
          </w:tcPr>
          <w:p w14:paraId="379AB34B"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0.00</w:t>
            </w:r>
          </w:p>
        </w:tc>
        <w:tc>
          <w:tcPr>
            <w:tcW w:w="1066" w:type="dxa"/>
            <w:shd w:val="clear" w:color="auto" w:fill="auto"/>
            <w:noWrap/>
            <w:vAlign w:val="center"/>
            <w:hideMark/>
          </w:tcPr>
          <w:p w14:paraId="44DD0BBA"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2241.99</w:t>
            </w:r>
          </w:p>
        </w:tc>
        <w:tc>
          <w:tcPr>
            <w:tcW w:w="1027" w:type="dxa"/>
            <w:shd w:val="clear" w:color="auto" w:fill="auto"/>
            <w:noWrap/>
            <w:vAlign w:val="center"/>
            <w:hideMark/>
          </w:tcPr>
          <w:p w14:paraId="6F17C359"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6787.13</w:t>
            </w:r>
          </w:p>
        </w:tc>
        <w:tc>
          <w:tcPr>
            <w:tcW w:w="991" w:type="dxa"/>
            <w:shd w:val="clear" w:color="auto" w:fill="auto"/>
            <w:noWrap/>
            <w:vAlign w:val="center"/>
            <w:hideMark/>
          </w:tcPr>
          <w:p w14:paraId="7DAE12EE"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2241.99</w:t>
            </w:r>
          </w:p>
        </w:tc>
        <w:tc>
          <w:tcPr>
            <w:tcW w:w="1051" w:type="dxa"/>
            <w:shd w:val="clear" w:color="auto" w:fill="auto"/>
            <w:noWrap/>
            <w:vAlign w:val="center"/>
            <w:hideMark/>
          </w:tcPr>
          <w:p w14:paraId="1A19405B"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6787.13</w:t>
            </w:r>
          </w:p>
        </w:tc>
      </w:tr>
      <w:tr w:rsidR="00280223" w:rsidRPr="00280223" w14:paraId="718F9766" w14:textId="77777777" w:rsidTr="00280223">
        <w:trPr>
          <w:trHeight w:val="315"/>
          <w:jc w:val="center"/>
        </w:trPr>
        <w:tc>
          <w:tcPr>
            <w:tcW w:w="1039" w:type="dxa"/>
            <w:shd w:val="clear" w:color="auto" w:fill="auto"/>
            <w:noWrap/>
            <w:vAlign w:val="center"/>
            <w:hideMark/>
          </w:tcPr>
          <w:p w14:paraId="3F41CF2A"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X Variable</w:t>
            </w:r>
          </w:p>
        </w:tc>
        <w:tc>
          <w:tcPr>
            <w:tcW w:w="1272" w:type="dxa"/>
            <w:shd w:val="clear" w:color="auto" w:fill="auto"/>
            <w:noWrap/>
            <w:vAlign w:val="center"/>
            <w:hideMark/>
          </w:tcPr>
          <w:p w14:paraId="5AB55C71"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-1.30</w:t>
            </w:r>
          </w:p>
        </w:tc>
        <w:tc>
          <w:tcPr>
            <w:tcW w:w="1289" w:type="dxa"/>
            <w:shd w:val="clear" w:color="auto" w:fill="auto"/>
            <w:noWrap/>
            <w:vAlign w:val="center"/>
            <w:hideMark/>
          </w:tcPr>
          <w:p w14:paraId="7AA84140"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0.55</w:t>
            </w:r>
          </w:p>
        </w:tc>
        <w:tc>
          <w:tcPr>
            <w:tcW w:w="809" w:type="dxa"/>
            <w:shd w:val="clear" w:color="auto" w:fill="auto"/>
            <w:noWrap/>
            <w:vAlign w:val="center"/>
            <w:hideMark/>
          </w:tcPr>
          <w:p w14:paraId="23DC2B2A"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-2.36</w:t>
            </w:r>
          </w:p>
        </w:tc>
        <w:tc>
          <w:tcPr>
            <w:tcW w:w="806" w:type="dxa"/>
            <w:shd w:val="clear" w:color="auto" w:fill="auto"/>
            <w:noWrap/>
            <w:vAlign w:val="center"/>
            <w:hideMark/>
          </w:tcPr>
          <w:p w14:paraId="5070A7EC"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0.03</w:t>
            </w:r>
          </w:p>
        </w:tc>
        <w:tc>
          <w:tcPr>
            <w:tcW w:w="1066" w:type="dxa"/>
            <w:shd w:val="clear" w:color="auto" w:fill="auto"/>
            <w:noWrap/>
            <w:vAlign w:val="center"/>
            <w:hideMark/>
          </w:tcPr>
          <w:p w14:paraId="0CE6F562"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-2.45</w:t>
            </w:r>
          </w:p>
        </w:tc>
        <w:tc>
          <w:tcPr>
            <w:tcW w:w="1027" w:type="dxa"/>
            <w:shd w:val="clear" w:color="auto" w:fill="auto"/>
            <w:noWrap/>
            <w:vAlign w:val="center"/>
            <w:hideMark/>
          </w:tcPr>
          <w:p w14:paraId="1360729E"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-0.15</w:t>
            </w:r>
          </w:p>
        </w:tc>
        <w:tc>
          <w:tcPr>
            <w:tcW w:w="991" w:type="dxa"/>
            <w:shd w:val="clear" w:color="auto" w:fill="auto"/>
            <w:noWrap/>
            <w:vAlign w:val="center"/>
            <w:hideMark/>
          </w:tcPr>
          <w:p w14:paraId="7619CBD8"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-2.45</w:t>
            </w:r>
          </w:p>
        </w:tc>
        <w:tc>
          <w:tcPr>
            <w:tcW w:w="1051" w:type="dxa"/>
            <w:shd w:val="clear" w:color="auto" w:fill="auto"/>
            <w:noWrap/>
            <w:vAlign w:val="center"/>
            <w:hideMark/>
          </w:tcPr>
          <w:p w14:paraId="56AE235D"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-0.15</w:t>
            </w:r>
          </w:p>
        </w:tc>
      </w:tr>
    </w:tbl>
    <w:p w14:paraId="2CB0247C" w14:textId="2EC33236" w:rsidR="006D0E42" w:rsidRDefault="006D0E42" w:rsidP="00BF3DD0"/>
    <w:p w14:paraId="116A1D1C" w14:textId="605DDD32" w:rsidR="00FB6DDF" w:rsidRDefault="00FB6DDF" w:rsidP="00FB6DDF">
      <w:pPr>
        <w:spacing w:line="360" w:lineRule="auto"/>
        <w:jc w:val="both"/>
      </w:pPr>
      <w:r>
        <w:t>The reliance industries, investment decision was impacted in the average returns – it was reduced from 0.08% to -0.37%. The standard deviation was increased from 1.11% to 2.16% and the Compounded annual growth rate was decreased similar like average returns. As per the regression result the P-Value was less than 0.05 i.e., 0.02. Which infer that, there will be great association between the stock performance and the investment decision of Reliance Industries.</w:t>
      </w:r>
    </w:p>
    <w:p w14:paraId="0BFBAB59" w14:textId="77777777" w:rsidR="00FB6DDF" w:rsidRDefault="00FB6DDF" w:rsidP="00BF3DD0"/>
    <w:p w14:paraId="7C746968" w14:textId="77777777" w:rsidR="006D0E42" w:rsidRPr="00344FFE" w:rsidRDefault="00344FFE" w:rsidP="00344FFE">
      <w:pPr>
        <w:jc w:val="center"/>
        <w:rPr>
          <w:b/>
          <w:sz w:val="28"/>
        </w:rPr>
      </w:pPr>
      <w:r>
        <w:rPr>
          <w:b/>
          <w:sz w:val="28"/>
        </w:rPr>
        <w:t>2.</w:t>
      </w:r>
      <w:r w:rsidR="006D0E42" w:rsidRPr="00344FFE">
        <w:rPr>
          <w:b/>
          <w:sz w:val="28"/>
        </w:rPr>
        <w:t>Tata Investment Corporation Ltd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709"/>
        <w:gridCol w:w="1172"/>
        <w:gridCol w:w="1814"/>
        <w:gridCol w:w="1812"/>
        <w:gridCol w:w="1171"/>
      </w:tblGrid>
      <w:tr w:rsidR="00BC2885" w:rsidRPr="00BC2885" w14:paraId="6E795CD5" w14:textId="77777777" w:rsidTr="00FB6DDF">
        <w:trPr>
          <w:trHeight w:val="300"/>
        </w:trPr>
        <w:tc>
          <w:tcPr>
            <w:tcW w:w="2434" w:type="pct"/>
            <w:gridSpan w:val="3"/>
            <w:shd w:val="clear" w:color="auto" w:fill="auto"/>
            <w:noWrap/>
            <w:vAlign w:val="bottom"/>
            <w:hideMark/>
          </w:tcPr>
          <w:p w14:paraId="18FCBC1C"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Before Investment Decision</w:t>
            </w:r>
          </w:p>
        </w:tc>
        <w:tc>
          <w:tcPr>
            <w:tcW w:w="2566" w:type="pct"/>
            <w:gridSpan w:val="3"/>
            <w:shd w:val="clear" w:color="auto" w:fill="auto"/>
            <w:noWrap/>
            <w:vAlign w:val="bottom"/>
            <w:hideMark/>
          </w:tcPr>
          <w:p w14:paraId="32C9456E"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After Investment Decision</w:t>
            </w:r>
          </w:p>
        </w:tc>
      </w:tr>
      <w:tr w:rsidR="00BC2885" w:rsidRPr="00BC2885" w14:paraId="53A6B53F" w14:textId="77777777" w:rsidTr="00FB6DDF">
        <w:trPr>
          <w:trHeight w:val="300"/>
        </w:trPr>
        <w:tc>
          <w:tcPr>
            <w:tcW w:w="894" w:type="pct"/>
            <w:shd w:val="clear" w:color="auto" w:fill="auto"/>
            <w:noWrap/>
            <w:vAlign w:val="bottom"/>
            <w:hideMark/>
          </w:tcPr>
          <w:p w14:paraId="40EB4958"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Date</w:t>
            </w:r>
          </w:p>
        </w:tc>
        <w:tc>
          <w:tcPr>
            <w:tcW w:w="914" w:type="pct"/>
            <w:shd w:val="clear" w:color="auto" w:fill="auto"/>
            <w:noWrap/>
            <w:vAlign w:val="bottom"/>
            <w:hideMark/>
          </w:tcPr>
          <w:p w14:paraId="1D699973"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Close Price</w:t>
            </w:r>
          </w:p>
        </w:tc>
        <w:tc>
          <w:tcPr>
            <w:tcW w:w="627" w:type="pct"/>
            <w:shd w:val="clear" w:color="auto" w:fill="auto"/>
            <w:noWrap/>
            <w:vAlign w:val="bottom"/>
            <w:hideMark/>
          </w:tcPr>
          <w:p w14:paraId="77309A8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Return</w:t>
            </w:r>
          </w:p>
        </w:tc>
        <w:tc>
          <w:tcPr>
            <w:tcW w:w="970" w:type="pct"/>
            <w:shd w:val="clear" w:color="auto" w:fill="auto"/>
            <w:noWrap/>
            <w:vAlign w:val="bottom"/>
            <w:hideMark/>
          </w:tcPr>
          <w:p w14:paraId="1EA43CE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Date</w:t>
            </w:r>
          </w:p>
        </w:tc>
        <w:tc>
          <w:tcPr>
            <w:tcW w:w="969" w:type="pct"/>
            <w:shd w:val="clear" w:color="auto" w:fill="auto"/>
            <w:noWrap/>
            <w:vAlign w:val="bottom"/>
            <w:hideMark/>
          </w:tcPr>
          <w:p w14:paraId="1DC03A83"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Close Price</w:t>
            </w:r>
          </w:p>
        </w:tc>
        <w:tc>
          <w:tcPr>
            <w:tcW w:w="627" w:type="pct"/>
            <w:shd w:val="clear" w:color="auto" w:fill="auto"/>
            <w:noWrap/>
            <w:vAlign w:val="bottom"/>
            <w:hideMark/>
          </w:tcPr>
          <w:p w14:paraId="729184F6"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Return</w:t>
            </w:r>
          </w:p>
        </w:tc>
      </w:tr>
      <w:tr w:rsidR="00BC2885" w:rsidRPr="00BC2885" w14:paraId="5ECA8B54" w14:textId="77777777" w:rsidTr="00FB6DDF">
        <w:trPr>
          <w:trHeight w:val="300"/>
        </w:trPr>
        <w:tc>
          <w:tcPr>
            <w:tcW w:w="894" w:type="pct"/>
            <w:shd w:val="clear" w:color="auto" w:fill="auto"/>
            <w:noWrap/>
            <w:vAlign w:val="bottom"/>
            <w:hideMark/>
          </w:tcPr>
          <w:p w14:paraId="3D8410AC"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30-Mar-21</w:t>
            </w:r>
          </w:p>
        </w:tc>
        <w:tc>
          <w:tcPr>
            <w:tcW w:w="914" w:type="pct"/>
            <w:shd w:val="clear" w:color="auto" w:fill="auto"/>
            <w:noWrap/>
            <w:vAlign w:val="bottom"/>
            <w:hideMark/>
          </w:tcPr>
          <w:p w14:paraId="0E8067B6"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1043.1</w:t>
            </w:r>
          </w:p>
        </w:tc>
        <w:tc>
          <w:tcPr>
            <w:tcW w:w="627" w:type="pct"/>
            <w:shd w:val="clear" w:color="auto" w:fill="auto"/>
            <w:noWrap/>
            <w:vAlign w:val="bottom"/>
            <w:hideMark/>
          </w:tcPr>
          <w:p w14:paraId="6F1760B2"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 </w:t>
            </w:r>
          </w:p>
        </w:tc>
        <w:tc>
          <w:tcPr>
            <w:tcW w:w="970" w:type="pct"/>
            <w:shd w:val="clear" w:color="auto" w:fill="auto"/>
            <w:noWrap/>
            <w:vAlign w:val="bottom"/>
            <w:hideMark/>
          </w:tcPr>
          <w:p w14:paraId="6EE5739D"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28-Apr-21</w:t>
            </w:r>
          </w:p>
        </w:tc>
        <w:tc>
          <w:tcPr>
            <w:tcW w:w="969" w:type="pct"/>
            <w:shd w:val="clear" w:color="auto" w:fill="auto"/>
            <w:noWrap/>
            <w:vAlign w:val="bottom"/>
            <w:hideMark/>
          </w:tcPr>
          <w:p w14:paraId="73913E0D"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1031.2</w:t>
            </w:r>
          </w:p>
        </w:tc>
        <w:tc>
          <w:tcPr>
            <w:tcW w:w="627" w:type="pct"/>
            <w:shd w:val="clear" w:color="auto" w:fill="auto"/>
            <w:noWrap/>
            <w:vAlign w:val="bottom"/>
            <w:hideMark/>
          </w:tcPr>
          <w:p w14:paraId="260667D8"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 </w:t>
            </w:r>
          </w:p>
        </w:tc>
      </w:tr>
      <w:tr w:rsidR="00BC2885" w:rsidRPr="00BC2885" w14:paraId="23DCCC92" w14:textId="77777777" w:rsidTr="00FB6DDF">
        <w:trPr>
          <w:trHeight w:val="300"/>
        </w:trPr>
        <w:tc>
          <w:tcPr>
            <w:tcW w:w="894" w:type="pct"/>
            <w:shd w:val="clear" w:color="auto" w:fill="auto"/>
            <w:noWrap/>
            <w:vAlign w:val="bottom"/>
            <w:hideMark/>
          </w:tcPr>
          <w:p w14:paraId="1B5008C2"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31-Mar-21</w:t>
            </w:r>
          </w:p>
        </w:tc>
        <w:tc>
          <w:tcPr>
            <w:tcW w:w="914" w:type="pct"/>
            <w:shd w:val="clear" w:color="auto" w:fill="auto"/>
            <w:noWrap/>
            <w:vAlign w:val="bottom"/>
            <w:hideMark/>
          </w:tcPr>
          <w:p w14:paraId="686CBBE3"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1035.75</w:t>
            </w:r>
          </w:p>
        </w:tc>
        <w:tc>
          <w:tcPr>
            <w:tcW w:w="627" w:type="pct"/>
            <w:shd w:val="clear" w:color="auto" w:fill="auto"/>
            <w:noWrap/>
            <w:vAlign w:val="bottom"/>
            <w:hideMark/>
          </w:tcPr>
          <w:p w14:paraId="2E70E342"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-0.70%</w:t>
            </w:r>
          </w:p>
        </w:tc>
        <w:tc>
          <w:tcPr>
            <w:tcW w:w="970" w:type="pct"/>
            <w:shd w:val="clear" w:color="auto" w:fill="auto"/>
            <w:noWrap/>
            <w:vAlign w:val="bottom"/>
            <w:hideMark/>
          </w:tcPr>
          <w:p w14:paraId="3BCB351E"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29-Apr-21</w:t>
            </w:r>
          </w:p>
        </w:tc>
        <w:tc>
          <w:tcPr>
            <w:tcW w:w="969" w:type="pct"/>
            <w:shd w:val="clear" w:color="auto" w:fill="auto"/>
            <w:noWrap/>
            <w:vAlign w:val="bottom"/>
            <w:hideMark/>
          </w:tcPr>
          <w:p w14:paraId="7DC18714"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1041.25</w:t>
            </w:r>
          </w:p>
        </w:tc>
        <w:tc>
          <w:tcPr>
            <w:tcW w:w="627" w:type="pct"/>
            <w:shd w:val="clear" w:color="auto" w:fill="auto"/>
            <w:noWrap/>
            <w:vAlign w:val="bottom"/>
            <w:hideMark/>
          </w:tcPr>
          <w:p w14:paraId="0467F98A"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0.97%</w:t>
            </w:r>
          </w:p>
        </w:tc>
      </w:tr>
      <w:tr w:rsidR="00BC2885" w:rsidRPr="00BC2885" w14:paraId="77AC08E9" w14:textId="77777777" w:rsidTr="00FB6DDF">
        <w:trPr>
          <w:trHeight w:val="300"/>
        </w:trPr>
        <w:tc>
          <w:tcPr>
            <w:tcW w:w="894" w:type="pct"/>
            <w:shd w:val="clear" w:color="auto" w:fill="auto"/>
            <w:noWrap/>
            <w:vAlign w:val="bottom"/>
            <w:hideMark/>
          </w:tcPr>
          <w:p w14:paraId="68A0C1AC"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1-Apr-21</w:t>
            </w:r>
          </w:p>
        </w:tc>
        <w:tc>
          <w:tcPr>
            <w:tcW w:w="914" w:type="pct"/>
            <w:shd w:val="clear" w:color="auto" w:fill="auto"/>
            <w:noWrap/>
            <w:vAlign w:val="bottom"/>
            <w:hideMark/>
          </w:tcPr>
          <w:p w14:paraId="7A32CC02"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1035.3</w:t>
            </w:r>
          </w:p>
        </w:tc>
        <w:tc>
          <w:tcPr>
            <w:tcW w:w="627" w:type="pct"/>
            <w:shd w:val="clear" w:color="auto" w:fill="auto"/>
            <w:noWrap/>
            <w:vAlign w:val="bottom"/>
            <w:hideMark/>
          </w:tcPr>
          <w:p w14:paraId="09C9517B"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-0.04%</w:t>
            </w:r>
          </w:p>
        </w:tc>
        <w:tc>
          <w:tcPr>
            <w:tcW w:w="970" w:type="pct"/>
            <w:shd w:val="clear" w:color="auto" w:fill="auto"/>
            <w:noWrap/>
            <w:vAlign w:val="bottom"/>
            <w:hideMark/>
          </w:tcPr>
          <w:p w14:paraId="0B478CC4"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30-Apr-21</w:t>
            </w:r>
          </w:p>
        </w:tc>
        <w:tc>
          <w:tcPr>
            <w:tcW w:w="969" w:type="pct"/>
            <w:shd w:val="clear" w:color="auto" w:fill="auto"/>
            <w:noWrap/>
            <w:vAlign w:val="bottom"/>
            <w:hideMark/>
          </w:tcPr>
          <w:p w14:paraId="52EFEDB4"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1026.6</w:t>
            </w:r>
          </w:p>
        </w:tc>
        <w:tc>
          <w:tcPr>
            <w:tcW w:w="627" w:type="pct"/>
            <w:shd w:val="clear" w:color="auto" w:fill="auto"/>
            <w:noWrap/>
            <w:vAlign w:val="bottom"/>
            <w:hideMark/>
          </w:tcPr>
          <w:p w14:paraId="597EFC90"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-1.41%</w:t>
            </w:r>
          </w:p>
        </w:tc>
      </w:tr>
      <w:tr w:rsidR="00BC2885" w:rsidRPr="00BC2885" w14:paraId="1B34105E" w14:textId="77777777" w:rsidTr="00FB6DDF">
        <w:trPr>
          <w:trHeight w:val="300"/>
        </w:trPr>
        <w:tc>
          <w:tcPr>
            <w:tcW w:w="894" w:type="pct"/>
            <w:shd w:val="clear" w:color="auto" w:fill="auto"/>
            <w:noWrap/>
            <w:vAlign w:val="bottom"/>
            <w:hideMark/>
          </w:tcPr>
          <w:p w14:paraId="1DDEC25D"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2-Apr-21</w:t>
            </w:r>
          </w:p>
        </w:tc>
        <w:tc>
          <w:tcPr>
            <w:tcW w:w="914" w:type="pct"/>
            <w:shd w:val="clear" w:color="auto" w:fill="auto"/>
            <w:noWrap/>
            <w:vAlign w:val="bottom"/>
            <w:hideMark/>
          </w:tcPr>
          <w:p w14:paraId="05D33D09"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1036.3</w:t>
            </w:r>
          </w:p>
        </w:tc>
        <w:tc>
          <w:tcPr>
            <w:tcW w:w="627" w:type="pct"/>
            <w:shd w:val="clear" w:color="auto" w:fill="auto"/>
            <w:noWrap/>
            <w:vAlign w:val="bottom"/>
            <w:hideMark/>
          </w:tcPr>
          <w:p w14:paraId="13D92E2E"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0.10%</w:t>
            </w:r>
          </w:p>
        </w:tc>
        <w:tc>
          <w:tcPr>
            <w:tcW w:w="970" w:type="pct"/>
            <w:shd w:val="clear" w:color="auto" w:fill="auto"/>
            <w:noWrap/>
            <w:vAlign w:val="bottom"/>
            <w:hideMark/>
          </w:tcPr>
          <w:p w14:paraId="0DCD5F20"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3-May-21</w:t>
            </w:r>
          </w:p>
        </w:tc>
        <w:tc>
          <w:tcPr>
            <w:tcW w:w="969" w:type="pct"/>
            <w:shd w:val="clear" w:color="auto" w:fill="auto"/>
            <w:noWrap/>
            <w:vAlign w:val="bottom"/>
            <w:hideMark/>
          </w:tcPr>
          <w:p w14:paraId="1AC6FBE2"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1044</w:t>
            </w:r>
          </w:p>
        </w:tc>
        <w:tc>
          <w:tcPr>
            <w:tcW w:w="627" w:type="pct"/>
            <w:shd w:val="clear" w:color="auto" w:fill="auto"/>
            <w:noWrap/>
            <w:vAlign w:val="bottom"/>
            <w:hideMark/>
          </w:tcPr>
          <w:p w14:paraId="5EB9DBDA"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1.69%</w:t>
            </w:r>
          </w:p>
        </w:tc>
      </w:tr>
      <w:tr w:rsidR="00BC2885" w:rsidRPr="00BC2885" w14:paraId="3EE47FEA" w14:textId="77777777" w:rsidTr="00FB6DDF">
        <w:trPr>
          <w:trHeight w:val="300"/>
        </w:trPr>
        <w:tc>
          <w:tcPr>
            <w:tcW w:w="894" w:type="pct"/>
            <w:shd w:val="clear" w:color="auto" w:fill="auto"/>
            <w:noWrap/>
            <w:vAlign w:val="bottom"/>
            <w:hideMark/>
          </w:tcPr>
          <w:p w14:paraId="37649547"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5-Apr-21</w:t>
            </w:r>
          </w:p>
        </w:tc>
        <w:tc>
          <w:tcPr>
            <w:tcW w:w="914" w:type="pct"/>
            <w:shd w:val="clear" w:color="auto" w:fill="auto"/>
            <w:noWrap/>
            <w:vAlign w:val="bottom"/>
            <w:hideMark/>
          </w:tcPr>
          <w:p w14:paraId="28BFA84D"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1025.3</w:t>
            </w:r>
          </w:p>
        </w:tc>
        <w:tc>
          <w:tcPr>
            <w:tcW w:w="627" w:type="pct"/>
            <w:shd w:val="clear" w:color="auto" w:fill="auto"/>
            <w:noWrap/>
            <w:vAlign w:val="bottom"/>
            <w:hideMark/>
          </w:tcPr>
          <w:p w14:paraId="5BA84DD7"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-1.06%</w:t>
            </w:r>
          </w:p>
        </w:tc>
        <w:tc>
          <w:tcPr>
            <w:tcW w:w="970" w:type="pct"/>
            <w:shd w:val="clear" w:color="auto" w:fill="auto"/>
            <w:noWrap/>
            <w:vAlign w:val="bottom"/>
            <w:hideMark/>
          </w:tcPr>
          <w:p w14:paraId="62BF0FF7"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4-May-21</w:t>
            </w:r>
          </w:p>
        </w:tc>
        <w:tc>
          <w:tcPr>
            <w:tcW w:w="969" w:type="pct"/>
            <w:shd w:val="clear" w:color="auto" w:fill="auto"/>
            <w:noWrap/>
            <w:vAlign w:val="bottom"/>
            <w:hideMark/>
          </w:tcPr>
          <w:p w14:paraId="56D44EEC"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1031.7</w:t>
            </w:r>
          </w:p>
        </w:tc>
        <w:tc>
          <w:tcPr>
            <w:tcW w:w="627" w:type="pct"/>
            <w:shd w:val="clear" w:color="auto" w:fill="auto"/>
            <w:noWrap/>
            <w:vAlign w:val="bottom"/>
            <w:hideMark/>
          </w:tcPr>
          <w:p w14:paraId="29E4858F"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-1.18%</w:t>
            </w:r>
          </w:p>
        </w:tc>
      </w:tr>
      <w:tr w:rsidR="00BC2885" w:rsidRPr="00BC2885" w14:paraId="7482C981" w14:textId="77777777" w:rsidTr="00FB6DDF">
        <w:trPr>
          <w:trHeight w:val="300"/>
        </w:trPr>
        <w:tc>
          <w:tcPr>
            <w:tcW w:w="894" w:type="pct"/>
            <w:shd w:val="clear" w:color="auto" w:fill="auto"/>
            <w:noWrap/>
            <w:vAlign w:val="bottom"/>
            <w:hideMark/>
          </w:tcPr>
          <w:p w14:paraId="5F0BF9FD"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6-Apr-21</w:t>
            </w:r>
          </w:p>
        </w:tc>
        <w:tc>
          <w:tcPr>
            <w:tcW w:w="914" w:type="pct"/>
            <w:shd w:val="clear" w:color="auto" w:fill="auto"/>
            <w:noWrap/>
            <w:vAlign w:val="bottom"/>
            <w:hideMark/>
          </w:tcPr>
          <w:p w14:paraId="698251C6"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1023.55</w:t>
            </w:r>
          </w:p>
        </w:tc>
        <w:tc>
          <w:tcPr>
            <w:tcW w:w="627" w:type="pct"/>
            <w:shd w:val="clear" w:color="auto" w:fill="auto"/>
            <w:noWrap/>
            <w:vAlign w:val="bottom"/>
            <w:hideMark/>
          </w:tcPr>
          <w:p w14:paraId="4788043A"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-0.17%</w:t>
            </w:r>
          </w:p>
        </w:tc>
        <w:tc>
          <w:tcPr>
            <w:tcW w:w="970" w:type="pct"/>
            <w:shd w:val="clear" w:color="auto" w:fill="auto"/>
            <w:noWrap/>
            <w:vAlign w:val="bottom"/>
            <w:hideMark/>
          </w:tcPr>
          <w:p w14:paraId="4817031B"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5-May-21</w:t>
            </w:r>
          </w:p>
        </w:tc>
        <w:tc>
          <w:tcPr>
            <w:tcW w:w="969" w:type="pct"/>
            <w:shd w:val="clear" w:color="auto" w:fill="auto"/>
            <w:noWrap/>
            <w:vAlign w:val="bottom"/>
            <w:hideMark/>
          </w:tcPr>
          <w:p w14:paraId="35DEFB13"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1043.15</w:t>
            </w:r>
          </w:p>
        </w:tc>
        <w:tc>
          <w:tcPr>
            <w:tcW w:w="627" w:type="pct"/>
            <w:shd w:val="clear" w:color="auto" w:fill="auto"/>
            <w:noWrap/>
            <w:vAlign w:val="bottom"/>
            <w:hideMark/>
          </w:tcPr>
          <w:p w14:paraId="4652E0B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1.11%</w:t>
            </w:r>
          </w:p>
        </w:tc>
      </w:tr>
      <w:tr w:rsidR="00BC2885" w:rsidRPr="00BC2885" w14:paraId="754C0869" w14:textId="77777777" w:rsidTr="00FB6DDF">
        <w:trPr>
          <w:trHeight w:val="300"/>
        </w:trPr>
        <w:tc>
          <w:tcPr>
            <w:tcW w:w="894" w:type="pct"/>
            <w:shd w:val="clear" w:color="auto" w:fill="auto"/>
            <w:noWrap/>
            <w:vAlign w:val="bottom"/>
            <w:hideMark/>
          </w:tcPr>
          <w:p w14:paraId="58794695"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7-Apr-21</w:t>
            </w:r>
          </w:p>
        </w:tc>
        <w:tc>
          <w:tcPr>
            <w:tcW w:w="914" w:type="pct"/>
            <w:shd w:val="clear" w:color="auto" w:fill="auto"/>
            <w:noWrap/>
            <w:vAlign w:val="bottom"/>
            <w:hideMark/>
          </w:tcPr>
          <w:p w14:paraId="3F95B18C"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1026.25</w:t>
            </w:r>
          </w:p>
        </w:tc>
        <w:tc>
          <w:tcPr>
            <w:tcW w:w="627" w:type="pct"/>
            <w:shd w:val="clear" w:color="auto" w:fill="auto"/>
            <w:noWrap/>
            <w:vAlign w:val="bottom"/>
            <w:hideMark/>
          </w:tcPr>
          <w:p w14:paraId="6CC92584"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0.26%</w:t>
            </w:r>
          </w:p>
        </w:tc>
        <w:tc>
          <w:tcPr>
            <w:tcW w:w="970" w:type="pct"/>
            <w:shd w:val="clear" w:color="auto" w:fill="auto"/>
            <w:noWrap/>
            <w:vAlign w:val="bottom"/>
            <w:hideMark/>
          </w:tcPr>
          <w:p w14:paraId="7BB13B1A"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6-May-21</w:t>
            </w:r>
          </w:p>
        </w:tc>
        <w:tc>
          <w:tcPr>
            <w:tcW w:w="969" w:type="pct"/>
            <w:shd w:val="clear" w:color="auto" w:fill="auto"/>
            <w:noWrap/>
            <w:vAlign w:val="bottom"/>
            <w:hideMark/>
          </w:tcPr>
          <w:p w14:paraId="593541EA"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1054.35</w:t>
            </w:r>
          </w:p>
        </w:tc>
        <w:tc>
          <w:tcPr>
            <w:tcW w:w="627" w:type="pct"/>
            <w:shd w:val="clear" w:color="auto" w:fill="auto"/>
            <w:noWrap/>
            <w:vAlign w:val="bottom"/>
            <w:hideMark/>
          </w:tcPr>
          <w:p w14:paraId="6B2E966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1.07%</w:t>
            </w:r>
          </w:p>
        </w:tc>
      </w:tr>
      <w:tr w:rsidR="00BC2885" w:rsidRPr="00BC2885" w14:paraId="5518B28C" w14:textId="77777777" w:rsidTr="00FB6DDF">
        <w:trPr>
          <w:trHeight w:val="300"/>
        </w:trPr>
        <w:tc>
          <w:tcPr>
            <w:tcW w:w="894" w:type="pct"/>
            <w:shd w:val="clear" w:color="auto" w:fill="auto"/>
            <w:noWrap/>
            <w:vAlign w:val="bottom"/>
            <w:hideMark/>
          </w:tcPr>
          <w:p w14:paraId="00EBAA0C"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8-Apr-21</w:t>
            </w:r>
          </w:p>
        </w:tc>
        <w:tc>
          <w:tcPr>
            <w:tcW w:w="914" w:type="pct"/>
            <w:shd w:val="clear" w:color="auto" w:fill="auto"/>
            <w:noWrap/>
            <w:vAlign w:val="bottom"/>
            <w:hideMark/>
          </w:tcPr>
          <w:p w14:paraId="6BE7323F"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1023.85</w:t>
            </w:r>
          </w:p>
        </w:tc>
        <w:tc>
          <w:tcPr>
            <w:tcW w:w="627" w:type="pct"/>
            <w:shd w:val="clear" w:color="auto" w:fill="auto"/>
            <w:noWrap/>
            <w:vAlign w:val="bottom"/>
            <w:hideMark/>
          </w:tcPr>
          <w:p w14:paraId="1F7F9B5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-0.23%</w:t>
            </w:r>
          </w:p>
        </w:tc>
        <w:tc>
          <w:tcPr>
            <w:tcW w:w="970" w:type="pct"/>
            <w:shd w:val="clear" w:color="auto" w:fill="auto"/>
            <w:noWrap/>
            <w:vAlign w:val="bottom"/>
            <w:hideMark/>
          </w:tcPr>
          <w:p w14:paraId="7D763E2D"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7-May-21</w:t>
            </w:r>
          </w:p>
        </w:tc>
        <w:tc>
          <w:tcPr>
            <w:tcW w:w="969" w:type="pct"/>
            <w:shd w:val="clear" w:color="auto" w:fill="auto"/>
            <w:noWrap/>
            <w:vAlign w:val="bottom"/>
            <w:hideMark/>
          </w:tcPr>
          <w:p w14:paraId="3C3C36B0"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1044.45</w:t>
            </w:r>
          </w:p>
        </w:tc>
        <w:tc>
          <w:tcPr>
            <w:tcW w:w="627" w:type="pct"/>
            <w:shd w:val="clear" w:color="auto" w:fill="auto"/>
            <w:noWrap/>
            <w:vAlign w:val="bottom"/>
            <w:hideMark/>
          </w:tcPr>
          <w:p w14:paraId="6D0ADEF8"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-0.94%</w:t>
            </w:r>
          </w:p>
        </w:tc>
      </w:tr>
      <w:tr w:rsidR="00BC2885" w:rsidRPr="00BC2885" w14:paraId="5E1B0D7A" w14:textId="77777777" w:rsidTr="00FB6DDF">
        <w:trPr>
          <w:trHeight w:val="300"/>
        </w:trPr>
        <w:tc>
          <w:tcPr>
            <w:tcW w:w="894" w:type="pct"/>
            <w:shd w:val="clear" w:color="auto" w:fill="auto"/>
            <w:noWrap/>
            <w:vAlign w:val="bottom"/>
            <w:hideMark/>
          </w:tcPr>
          <w:p w14:paraId="2F8698C6"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9-Apr-21</w:t>
            </w:r>
          </w:p>
        </w:tc>
        <w:tc>
          <w:tcPr>
            <w:tcW w:w="914" w:type="pct"/>
            <w:shd w:val="clear" w:color="auto" w:fill="auto"/>
            <w:noWrap/>
            <w:vAlign w:val="bottom"/>
            <w:hideMark/>
          </w:tcPr>
          <w:p w14:paraId="599FBDB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1025.3</w:t>
            </w:r>
          </w:p>
        </w:tc>
        <w:tc>
          <w:tcPr>
            <w:tcW w:w="627" w:type="pct"/>
            <w:shd w:val="clear" w:color="auto" w:fill="auto"/>
            <w:noWrap/>
            <w:vAlign w:val="bottom"/>
            <w:hideMark/>
          </w:tcPr>
          <w:p w14:paraId="603D205E"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0.14%</w:t>
            </w:r>
          </w:p>
        </w:tc>
        <w:tc>
          <w:tcPr>
            <w:tcW w:w="970" w:type="pct"/>
            <w:shd w:val="clear" w:color="auto" w:fill="auto"/>
            <w:noWrap/>
            <w:vAlign w:val="bottom"/>
            <w:hideMark/>
          </w:tcPr>
          <w:p w14:paraId="240F93A9"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10-May-21</w:t>
            </w:r>
          </w:p>
        </w:tc>
        <w:tc>
          <w:tcPr>
            <w:tcW w:w="969" w:type="pct"/>
            <w:shd w:val="clear" w:color="auto" w:fill="auto"/>
            <w:noWrap/>
            <w:vAlign w:val="bottom"/>
            <w:hideMark/>
          </w:tcPr>
          <w:p w14:paraId="04A08840"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1068.6</w:t>
            </w:r>
          </w:p>
        </w:tc>
        <w:tc>
          <w:tcPr>
            <w:tcW w:w="627" w:type="pct"/>
            <w:shd w:val="clear" w:color="auto" w:fill="auto"/>
            <w:noWrap/>
            <w:vAlign w:val="bottom"/>
            <w:hideMark/>
          </w:tcPr>
          <w:p w14:paraId="1D97A82A"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2.31%</w:t>
            </w:r>
          </w:p>
        </w:tc>
      </w:tr>
      <w:tr w:rsidR="00BC2885" w:rsidRPr="00BC2885" w14:paraId="46BE89E8" w14:textId="77777777" w:rsidTr="00FB6DDF">
        <w:trPr>
          <w:trHeight w:val="315"/>
        </w:trPr>
        <w:tc>
          <w:tcPr>
            <w:tcW w:w="894" w:type="pct"/>
            <w:shd w:val="clear" w:color="auto" w:fill="auto"/>
            <w:noWrap/>
            <w:vAlign w:val="bottom"/>
            <w:hideMark/>
          </w:tcPr>
          <w:p w14:paraId="4EE0E054"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12-Apr-21</w:t>
            </w:r>
          </w:p>
        </w:tc>
        <w:tc>
          <w:tcPr>
            <w:tcW w:w="914" w:type="pct"/>
            <w:shd w:val="clear" w:color="auto" w:fill="auto"/>
            <w:noWrap/>
            <w:vAlign w:val="bottom"/>
            <w:hideMark/>
          </w:tcPr>
          <w:p w14:paraId="240ADCA5"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1004.5</w:t>
            </w:r>
          </w:p>
        </w:tc>
        <w:tc>
          <w:tcPr>
            <w:tcW w:w="627" w:type="pct"/>
            <w:shd w:val="clear" w:color="auto" w:fill="auto"/>
            <w:noWrap/>
            <w:vAlign w:val="bottom"/>
            <w:hideMark/>
          </w:tcPr>
          <w:p w14:paraId="4FBF6F85"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-2.03%</w:t>
            </w:r>
          </w:p>
        </w:tc>
        <w:tc>
          <w:tcPr>
            <w:tcW w:w="970" w:type="pct"/>
            <w:shd w:val="clear" w:color="auto" w:fill="auto"/>
            <w:noWrap/>
            <w:vAlign w:val="bottom"/>
            <w:hideMark/>
          </w:tcPr>
          <w:p w14:paraId="7E262963"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11-May-21</w:t>
            </w:r>
          </w:p>
        </w:tc>
        <w:tc>
          <w:tcPr>
            <w:tcW w:w="969" w:type="pct"/>
            <w:shd w:val="clear" w:color="auto" w:fill="auto"/>
            <w:noWrap/>
            <w:vAlign w:val="bottom"/>
            <w:hideMark/>
          </w:tcPr>
          <w:p w14:paraId="190EC6A2"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1067.55</w:t>
            </w:r>
          </w:p>
        </w:tc>
        <w:tc>
          <w:tcPr>
            <w:tcW w:w="627" w:type="pct"/>
            <w:shd w:val="clear" w:color="auto" w:fill="auto"/>
            <w:noWrap/>
            <w:vAlign w:val="bottom"/>
            <w:hideMark/>
          </w:tcPr>
          <w:p w14:paraId="66E6FE8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-0.10%</w:t>
            </w:r>
          </w:p>
        </w:tc>
      </w:tr>
      <w:tr w:rsidR="00BC2885" w:rsidRPr="00BC2885" w14:paraId="1933C59D" w14:textId="77777777" w:rsidTr="00FB6DDF">
        <w:trPr>
          <w:trHeight w:val="300"/>
        </w:trPr>
        <w:tc>
          <w:tcPr>
            <w:tcW w:w="894" w:type="pct"/>
            <w:shd w:val="clear" w:color="auto" w:fill="auto"/>
            <w:noWrap/>
            <w:vAlign w:val="bottom"/>
            <w:hideMark/>
          </w:tcPr>
          <w:p w14:paraId="16BD6A77"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lastRenderedPageBreak/>
              <w:t>13-Apr-21</w:t>
            </w:r>
          </w:p>
        </w:tc>
        <w:tc>
          <w:tcPr>
            <w:tcW w:w="914" w:type="pct"/>
            <w:shd w:val="clear" w:color="auto" w:fill="auto"/>
            <w:noWrap/>
            <w:vAlign w:val="bottom"/>
            <w:hideMark/>
          </w:tcPr>
          <w:p w14:paraId="7BAA2142"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1002.9</w:t>
            </w:r>
          </w:p>
        </w:tc>
        <w:tc>
          <w:tcPr>
            <w:tcW w:w="627" w:type="pct"/>
            <w:shd w:val="clear" w:color="auto" w:fill="auto"/>
            <w:noWrap/>
            <w:vAlign w:val="bottom"/>
            <w:hideMark/>
          </w:tcPr>
          <w:p w14:paraId="48CACC80"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-0.16%</w:t>
            </w:r>
          </w:p>
        </w:tc>
        <w:tc>
          <w:tcPr>
            <w:tcW w:w="970" w:type="pct"/>
            <w:shd w:val="clear" w:color="auto" w:fill="auto"/>
            <w:noWrap/>
            <w:vAlign w:val="bottom"/>
            <w:hideMark/>
          </w:tcPr>
          <w:p w14:paraId="27141727"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12-May-21</w:t>
            </w:r>
          </w:p>
        </w:tc>
        <w:tc>
          <w:tcPr>
            <w:tcW w:w="969" w:type="pct"/>
            <w:shd w:val="clear" w:color="auto" w:fill="auto"/>
            <w:noWrap/>
            <w:vAlign w:val="bottom"/>
            <w:hideMark/>
          </w:tcPr>
          <w:p w14:paraId="48C9060A"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1083.6</w:t>
            </w:r>
          </w:p>
        </w:tc>
        <w:tc>
          <w:tcPr>
            <w:tcW w:w="627" w:type="pct"/>
            <w:shd w:val="clear" w:color="auto" w:fill="auto"/>
            <w:noWrap/>
            <w:vAlign w:val="bottom"/>
            <w:hideMark/>
          </w:tcPr>
          <w:p w14:paraId="62F9836D"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1.50%</w:t>
            </w:r>
          </w:p>
        </w:tc>
      </w:tr>
      <w:tr w:rsidR="00BC2885" w:rsidRPr="00BC2885" w14:paraId="3D8E18F6" w14:textId="77777777" w:rsidTr="00FB6DDF">
        <w:trPr>
          <w:trHeight w:val="300"/>
        </w:trPr>
        <w:tc>
          <w:tcPr>
            <w:tcW w:w="894" w:type="pct"/>
            <w:shd w:val="clear" w:color="auto" w:fill="auto"/>
            <w:noWrap/>
            <w:vAlign w:val="bottom"/>
            <w:hideMark/>
          </w:tcPr>
          <w:p w14:paraId="7230E9C7"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15-Apr-21</w:t>
            </w:r>
          </w:p>
        </w:tc>
        <w:tc>
          <w:tcPr>
            <w:tcW w:w="914" w:type="pct"/>
            <w:shd w:val="clear" w:color="auto" w:fill="auto"/>
            <w:noWrap/>
            <w:vAlign w:val="bottom"/>
            <w:hideMark/>
          </w:tcPr>
          <w:p w14:paraId="59857E03"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1000</w:t>
            </w:r>
          </w:p>
        </w:tc>
        <w:tc>
          <w:tcPr>
            <w:tcW w:w="627" w:type="pct"/>
            <w:shd w:val="clear" w:color="auto" w:fill="auto"/>
            <w:noWrap/>
            <w:vAlign w:val="bottom"/>
            <w:hideMark/>
          </w:tcPr>
          <w:p w14:paraId="714029B4"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-0.29%</w:t>
            </w:r>
          </w:p>
        </w:tc>
        <w:tc>
          <w:tcPr>
            <w:tcW w:w="970" w:type="pct"/>
            <w:shd w:val="clear" w:color="auto" w:fill="auto"/>
            <w:noWrap/>
            <w:vAlign w:val="bottom"/>
            <w:hideMark/>
          </w:tcPr>
          <w:p w14:paraId="458CDED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14-May-21</w:t>
            </w:r>
          </w:p>
        </w:tc>
        <w:tc>
          <w:tcPr>
            <w:tcW w:w="969" w:type="pct"/>
            <w:shd w:val="clear" w:color="auto" w:fill="auto"/>
            <w:noWrap/>
            <w:vAlign w:val="bottom"/>
            <w:hideMark/>
          </w:tcPr>
          <w:p w14:paraId="484CDEA7"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1067.8</w:t>
            </w:r>
          </w:p>
        </w:tc>
        <w:tc>
          <w:tcPr>
            <w:tcW w:w="627" w:type="pct"/>
            <w:shd w:val="clear" w:color="auto" w:fill="auto"/>
            <w:noWrap/>
            <w:vAlign w:val="bottom"/>
            <w:hideMark/>
          </w:tcPr>
          <w:p w14:paraId="480687A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-1.46%</w:t>
            </w:r>
          </w:p>
        </w:tc>
      </w:tr>
      <w:tr w:rsidR="00BC2885" w:rsidRPr="00BC2885" w14:paraId="30DF3A8F" w14:textId="77777777" w:rsidTr="00FB6DDF">
        <w:trPr>
          <w:trHeight w:val="300"/>
        </w:trPr>
        <w:tc>
          <w:tcPr>
            <w:tcW w:w="894" w:type="pct"/>
            <w:shd w:val="clear" w:color="auto" w:fill="auto"/>
            <w:noWrap/>
            <w:vAlign w:val="bottom"/>
            <w:hideMark/>
          </w:tcPr>
          <w:p w14:paraId="0F60574F"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16-Apr-21</w:t>
            </w:r>
          </w:p>
        </w:tc>
        <w:tc>
          <w:tcPr>
            <w:tcW w:w="914" w:type="pct"/>
            <w:shd w:val="clear" w:color="auto" w:fill="auto"/>
            <w:noWrap/>
            <w:vAlign w:val="bottom"/>
            <w:hideMark/>
          </w:tcPr>
          <w:p w14:paraId="7E021F2D"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1000.2</w:t>
            </w:r>
          </w:p>
        </w:tc>
        <w:tc>
          <w:tcPr>
            <w:tcW w:w="627" w:type="pct"/>
            <w:shd w:val="clear" w:color="auto" w:fill="auto"/>
            <w:noWrap/>
            <w:vAlign w:val="bottom"/>
            <w:hideMark/>
          </w:tcPr>
          <w:p w14:paraId="32730B5E"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0.02%</w:t>
            </w:r>
          </w:p>
        </w:tc>
        <w:tc>
          <w:tcPr>
            <w:tcW w:w="970" w:type="pct"/>
            <w:shd w:val="clear" w:color="auto" w:fill="auto"/>
            <w:noWrap/>
            <w:vAlign w:val="bottom"/>
            <w:hideMark/>
          </w:tcPr>
          <w:p w14:paraId="0287DF1B"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17-May-21</w:t>
            </w:r>
          </w:p>
        </w:tc>
        <w:tc>
          <w:tcPr>
            <w:tcW w:w="969" w:type="pct"/>
            <w:shd w:val="clear" w:color="auto" w:fill="auto"/>
            <w:noWrap/>
            <w:vAlign w:val="bottom"/>
            <w:hideMark/>
          </w:tcPr>
          <w:p w14:paraId="3186CD00"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1078.3</w:t>
            </w:r>
          </w:p>
        </w:tc>
        <w:tc>
          <w:tcPr>
            <w:tcW w:w="627" w:type="pct"/>
            <w:shd w:val="clear" w:color="auto" w:fill="auto"/>
            <w:noWrap/>
            <w:vAlign w:val="bottom"/>
            <w:hideMark/>
          </w:tcPr>
          <w:p w14:paraId="1B7349B4"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0.98%</w:t>
            </w:r>
          </w:p>
        </w:tc>
      </w:tr>
      <w:tr w:rsidR="00BC2885" w:rsidRPr="00BC2885" w14:paraId="46AA4945" w14:textId="77777777" w:rsidTr="00FB6DDF">
        <w:trPr>
          <w:trHeight w:val="300"/>
        </w:trPr>
        <w:tc>
          <w:tcPr>
            <w:tcW w:w="894" w:type="pct"/>
            <w:shd w:val="clear" w:color="auto" w:fill="auto"/>
            <w:noWrap/>
            <w:vAlign w:val="bottom"/>
            <w:hideMark/>
          </w:tcPr>
          <w:p w14:paraId="7ED6545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17-Apr-21</w:t>
            </w:r>
          </w:p>
        </w:tc>
        <w:tc>
          <w:tcPr>
            <w:tcW w:w="914" w:type="pct"/>
            <w:shd w:val="clear" w:color="auto" w:fill="auto"/>
            <w:noWrap/>
            <w:vAlign w:val="bottom"/>
            <w:hideMark/>
          </w:tcPr>
          <w:p w14:paraId="7F6D957E"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1000.2</w:t>
            </w:r>
          </w:p>
        </w:tc>
        <w:tc>
          <w:tcPr>
            <w:tcW w:w="627" w:type="pct"/>
            <w:shd w:val="clear" w:color="auto" w:fill="auto"/>
            <w:noWrap/>
            <w:vAlign w:val="bottom"/>
            <w:hideMark/>
          </w:tcPr>
          <w:p w14:paraId="2A0CFC89"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0.00%</w:t>
            </w:r>
          </w:p>
        </w:tc>
        <w:tc>
          <w:tcPr>
            <w:tcW w:w="970" w:type="pct"/>
            <w:shd w:val="clear" w:color="auto" w:fill="auto"/>
            <w:noWrap/>
            <w:vAlign w:val="bottom"/>
            <w:hideMark/>
          </w:tcPr>
          <w:p w14:paraId="4F40CDB0"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18-May-21</w:t>
            </w:r>
          </w:p>
        </w:tc>
        <w:tc>
          <w:tcPr>
            <w:tcW w:w="969" w:type="pct"/>
            <w:shd w:val="clear" w:color="auto" w:fill="auto"/>
            <w:noWrap/>
            <w:vAlign w:val="bottom"/>
            <w:hideMark/>
          </w:tcPr>
          <w:p w14:paraId="041FC27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1066</w:t>
            </w:r>
          </w:p>
        </w:tc>
        <w:tc>
          <w:tcPr>
            <w:tcW w:w="627" w:type="pct"/>
            <w:shd w:val="clear" w:color="auto" w:fill="auto"/>
            <w:noWrap/>
            <w:vAlign w:val="bottom"/>
            <w:hideMark/>
          </w:tcPr>
          <w:p w14:paraId="517312EF"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-1.14%</w:t>
            </w:r>
          </w:p>
        </w:tc>
      </w:tr>
      <w:tr w:rsidR="00BC2885" w:rsidRPr="00BC2885" w14:paraId="5CFDB735" w14:textId="77777777" w:rsidTr="00FB6DDF">
        <w:trPr>
          <w:trHeight w:val="300"/>
        </w:trPr>
        <w:tc>
          <w:tcPr>
            <w:tcW w:w="894" w:type="pct"/>
            <w:shd w:val="clear" w:color="auto" w:fill="auto"/>
            <w:noWrap/>
            <w:vAlign w:val="bottom"/>
            <w:hideMark/>
          </w:tcPr>
          <w:p w14:paraId="0DC9ABDE"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19-Apr-21</w:t>
            </w:r>
          </w:p>
        </w:tc>
        <w:tc>
          <w:tcPr>
            <w:tcW w:w="914" w:type="pct"/>
            <w:shd w:val="clear" w:color="auto" w:fill="auto"/>
            <w:noWrap/>
            <w:vAlign w:val="bottom"/>
            <w:hideMark/>
          </w:tcPr>
          <w:p w14:paraId="0CD32849"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988.55</w:t>
            </w:r>
          </w:p>
        </w:tc>
        <w:tc>
          <w:tcPr>
            <w:tcW w:w="627" w:type="pct"/>
            <w:shd w:val="clear" w:color="auto" w:fill="auto"/>
            <w:noWrap/>
            <w:vAlign w:val="bottom"/>
            <w:hideMark/>
          </w:tcPr>
          <w:p w14:paraId="1BBD3AAF"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-1.16%</w:t>
            </w:r>
          </w:p>
        </w:tc>
        <w:tc>
          <w:tcPr>
            <w:tcW w:w="970" w:type="pct"/>
            <w:shd w:val="clear" w:color="auto" w:fill="auto"/>
            <w:noWrap/>
            <w:vAlign w:val="bottom"/>
            <w:hideMark/>
          </w:tcPr>
          <w:p w14:paraId="45810DF6"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19-May-21</w:t>
            </w:r>
          </w:p>
        </w:tc>
        <w:tc>
          <w:tcPr>
            <w:tcW w:w="969" w:type="pct"/>
            <w:shd w:val="clear" w:color="auto" w:fill="auto"/>
            <w:noWrap/>
            <w:vAlign w:val="bottom"/>
            <w:hideMark/>
          </w:tcPr>
          <w:p w14:paraId="03016DAA"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1067.05</w:t>
            </w:r>
          </w:p>
        </w:tc>
        <w:tc>
          <w:tcPr>
            <w:tcW w:w="627" w:type="pct"/>
            <w:shd w:val="clear" w:color="auto" w:fill="auto"/>
            <w:noWrap/>
            <w:vAlign w:val="bottom"/>
            <w:hideMark/>
          </w:tcPr>
          <w:p w14:paraId="68D8B752"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0.10%</w:t>
            </w:r>
          </w:p>
        </w:tc>
      </w:tr>
      <w:tr w:rsidR="00BC2885" w:rsidRPr="00BC2885" w14:paraId="1E29DDD0" w14:textId="77777777" w:rsidTr="00FB6DDF">
        <w:trPr>
          <w:trHeight w:val="300"/>
        </w:trPr>
        <w:tc>
          <w:tcPr>
            <w:tcW w:w="894" w:type="pct"/>
            <w:shd w:val="clear" w:color="auto" w:fill="auto"/>
            <w:noWrap/>
            <w:vAlign w:val="bottom"/>
            <w:hideMark/>
          </w:tcPr>
          <w:p w14:paraId="0C6A44BF"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20-Apr-21</w:t>
            </w:r>
          </w:p>
        </w:tc>
        <w:tc>
          <w:tcPr>
            <w:tcW w:w="914" w:type="pct"/>
            <w:shd w:val="clear" w:color="auto" w:fill="auto"/>
            <w:noWrap/>
            <w:vAlign w:val="bottom"/>
            <w:hideMark/>
          </w:tcPr>
          <w:p w14:paraId="63DC1AB7"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980.65</w:t>
            </w:r>
          </w:p>
        </w:tc>
        <w:tc>
          <w:tcPr>
            <w:tcW w:w="627" w:type="pct"/>
            <w:shd w:val="clear" w:color="auto" w:fill="auto"/>
            <w:noWrap/>
            <w:vAlign w:val="bottom"/>
            <w:hideMark/>
          </w:tcPr>
          <w:p w14:paraId="0DF9DBB0"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-0.80%</w:t>
            </w:r>
          </w:p>
        </w:tc>
        <w:tc>
          <w:tcPr>
            <w:tcW w:w="970" w:type="pct"/>
            <w:shd w:val="clear" w:color="auto" w:fill="auto"/>
            <w:noWrap/>
            <w:vAlign w:val="bottom"/>
            <w:hideMark/>
          </w:tcPr>
          <w:p w14:paraId="456DB66B"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20-May-21</w:t>
            </w:r>
          </w:p>
        </w:tc>
        <w:tc>
          <w:tcPr>
            <w:tcW w:w="969" w:type="pct"/>
            <w:shd w:val="clear" w:color="auto" w:fill="auto"/>
            <w:noWrap/>
            <w:vAlign w:val="bottom"/>
            <w:hideMark/>
          </w:tcPr>
          <w:p w14:paraId="1CFC0BA7"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1055.85</w:t>
            </w:r>
          </w:p>
        </w:tc>
        <w:tc>
          <w:tcPr>
            <w:tcW w:w="627" w:type="pct"/>
            <w:shd w:val="clear" w:color="auto" w:fill="auto"/>
            <w:noWrap/>
            <w:vAlign w:val="bottom"/>
            <w:hideMark/>
          </w:tcPr>
          <w:p w14:paraId="0C57C4E9"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-1.05%</w:t>
            </w:r>
          </w:p>
        </w:tc>
      </w:tr>
      <w:tr w:rsidR="00BC2885" w:rsidRPr="00BC2885" w14:paraId="7F435AF3" w14:textId="77777777" w:rsidTr="00FB6DDF">
        <w:trPr>
          <w:trHeight w:val="300"/>
        </w:trPr>
        <w:tc>
          <w:tcPr>
            <w:tcW w:w="894" w:type="pct"/>
            <w:shd w:val="clear" w:color="auto" w:fill="auto"/>
            <w:noWrap/>
            <w:vAlign w:val="bottom"/>
            <w:hideMark/>
          </w:tcPr>
          <w:p w14:paraId="472F2CC2"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22-Apr-21</w:t>
            </w:r>
          </w:p>
        </w:tc>
        <w:tc>
          <w:tcPr>
            <w:tcW w:w="914" w:type="pct"/>
            <w:shd w:val="clear" w:color="auto" w:fill="auto"/>
            <w:noWrap/>
            <w:vAlign w:val="bottom"/>
            <w:hideMark/>
          </w:tcPr>
          <w:p w14:paraId="77D4F127"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990.9</w:t>
            </w:r>
          </w:p>
        </w:tc>
        <w:tc>
          <w:tcPr>
            <w:tcW w:w="627" w:type="pct"/>
            <w:shd w:val="clear" w:color="auto" w:fill="auto"/>
            <w:noWrap/>
            <w:vAlign w:val="bottom"/>
            <w:hideMark/>
          </w:tcPr>
          <w:p w14:paraId="3F346DD6"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1.05%</w:t>
            </w:r>
          </w:p>
        </w:tc>
        <w:tc>
          <w:tcPr>
            <w:tcW w:w="970" w:type="pct"/>
            <w:shd w:val="clear" w:color="auto" w:fill="auto"/>
            <w:noWrap/>
            <w:vAlign w:val="bottom"/>
            <w:hideMark/>
          </w:tcPr>
          <w:p w14:paraId="59669092"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21-May-21</w:t>
            </w:r>
          </w:p>
        </w:tc>
        <w:tc>
          <w:tcPr>
            <w:tcW w:w="969" w:type="pct"/>
            <w:shd w:val="clear" w:color="auto" w:fill="auto"/>
            <w:noWrap/>
            <w:vAlign w:val="bottom"/>
            <w:hideMark/>
          </w:tcPr>
          <w:p w14:paraId="4EC5051C"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1053.5</w:t>
            </w:r>
          </w:p>
        </w:tc>
        <w:tc>
          <w:tcPr>
            <w:tcW w:w="627" w:type="pct"/>
            <w:shd w:val="clear" w:color="auto" w:fill="auto"/>
            <w:noWrap/>
            <w:vAlign w:val="bottom"/>
            <w:hideMark/>
          </w:tcPr>
          <w:p w14:paraId="7761D55D"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-0.22%</w:t>
            </w:r>
          </w:p>
        </w:tc>
      </w:tr>
      <w:tr w:rsidR="00BC2885" w:rsidRPr="00BC2885" w14:paraId="5B7EFED6" w14:textId="77777777" w:rsidTr="00FB6DDF">
        <w:trPr>
          <w:trHeight w:val="300"/>
        </w:trPr>
        <w:tc>
          <w:tcPr>
            <w:tcW w:w="894" w:type="pct"/>
            <w:shd w:val="clear" w:color="auto" w:fill="auto"/>
            <w:noWrap/>
            <w:vAlign w:val="bottom"/>
            <w:hideMark/>
          </w:tcPr>
          <w:p w14:paraId="56051A6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23-Apr-21</w:t>
            </w:r>
          </w:p>
        </w:tc>
        <w:tc>
          <w:tcPr>
            <w:tcW w:w="914" w:type="pct"/>
            <w:shd w:val="clear" w:color="auto" w:fill="auto"/>
            <w:noWrap/>
            <w:vAlign w:val="bottom"/>
            <w:hideMark/>
          </w:tcPr>
          <w:p w14:paraId="1CD1F00E"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1000.3</w:t>
            </w:r>
          </w:p>
        </w:tc>
        <w:tc>
          <w:tcPr>
            <w:tcW w:w="627" w:type="pct"/>
            <w:shd w:val="clear" w:color="auto" w:fill="auto"/>
            <w:noWrap/>
            <w:vAlign w:val="bottom"/>
            <w:hideMark/>
          </w:tcPr>
          <w:p w14:paraId="3CF3036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0.95%</w:t>
            </w:r>
          </w:p>
        </w:tc>
        <w:tc>
          <w:tcPr>
            <w:tcW w:w="970" w:type="pct"/>
            <w:shd w:val="clear" w:color="auto" w:fill="auto"/>
            <w:noWrap/>
            <w:vAlign w:val="bottom"/>
            <w:hideMark/>
          </w:tcPr>
          <w:p w14:paraId="51D58637"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24-May-21</w:t>
            </w:r>
          </w:p>
        </w:tc>
        <w:tc>
          <w:tcPr>
            <w:tcW w:w="969" w:type="pct"/>
            <w:shd w:val="clear" w:color="auto" w:fill="auto"/>
            <w:noWrap/>
            <w:vAlign w:val="bottom"/>
            <w:hideMark/>
          </w:tcPr>
          <w:p w14:paraId="078ACDFE"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1051</w:t>
            </w:r>
          </w:p>
        </w:tc>
        <w:tc>
          <w:tcPr>
            <w:tcW w:w="627" w:type="pct"/>
            <w:shd w:val="clear" w:color="auto" w:fill="auto"/>
            <w:noWrap/>
            <w:vAlign w:val="bottom"/>
            <w:hideMark/>
          </w:tcPr>
          <w:p w14:paraId="730D2CDD"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-0.24%</w:t>
            </w:r>
          </w:p>
        </w:tc>
      </w:tr>
      <w:tr w:rsidR="00BC2885" w:rsidRPr="00BC2885" w14:paraId="1C9B2C59" w14:textId="77777777" w:rsidTr="00FB6DDF">
        <w:trPr>
          <w:trHeight w:val="300"/>
        </w:trPr>
        <w:tc>
          <w:tcPr>
            <w:tcW w:w="894" w:type="pct"/>
            <w:shd w:val="clear" w:color="auto" w:fill="auto"/>
            <w:noWrap/>
            <w:vAlign w:val="bottom"/>
            <w:hideMark/>
          </w:tcPr>
          <w:p w14:paraId="32034EF4"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26-Apr-21</w:t>
            </w:r>
          </w:p>
        </w:tc>
        <w:tc>
          <w:tcPr>
            <w:tcW w:w="914" w:type="pct"/>
            <w:shd w:val="clear" w:color="auto" w:fill="auto"/>
            <w:noWrap/>
            <w:vAlign w:val="bottom"/>
            <w:hideMark/>
          </w:tcPr>
          <w:p w14:paraId="43F8C01B"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1016.95</w:t>
            </w:r>
          </w:p>
        </w:tc>
        <w:tc>
          <w:tcPr>
            <w:tcW w:w="627" w:type="pct"/>
            <w:shd w:val="clear" w:color="auto" w:fill="auto"/>
            <w:noWrap/>
            <w:vAlign w:val="bottom"/>
            <w:hideMark/>
          </w:tcPr>
          <w:p w14:paraId="38EEA10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1.66%</w:t>
            </w:r>
          </w:p>
        </w:tc>
        <w:tc>
          <w:tcPr>
            <w:tcW w:w="970" w:type="pct"/>
            <w:shd w:val="clear" w:color="auto" w:fill="auto"/>
            <w:noWrap/>
            <w:vAlign w:val="bottom"/>
            <w:hideMark/>
          </w:tcPr>
          <w:p w14:paraId="35A36AFF"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25-May-21</w:t>
            </w:r>
          </w:p>
        </w:tc>
        <w:tc>
          <w:tcPr>
            <w:tcW w:w="969" w:type="pct"/>
            <w:shd w:val="clear" w:color="auto" w:fill="auto"/>
            <w:noWrap/>
            <w:vAlign w:val="bottom"/>
            <w:hideMark/>
          </w:tcPr>
          <w:p w14:paraId="594C84FD"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1052.75</w:t>
            </w:r>
          </w:p>
        </w:tc>
        <w:tc>
          <w:tcPr>
            <w:tcW w:w="627" w:type="pct"/>
            <w:shd w:val="clear" w:color="auto" w:fill="auto"/>
            <w:noWrap/>
            <w:vAlign w:val="bottom"/>
            <w:hideMark/>
          </w:tcPr>
          <w:p w14:paraId="6796BB45"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0.17%</w:t>
            </w:r>
          </w:p>
        </w:tc>
      </w:tr>
      <w:tr w:rsidR="00BC2885" w:rsidRPr="00BC2885" w14:paraId="59AC84AC" w14:textId="77777777" w:rsidTr="00FB6DDF">
        <w:trPr>
          <w:trHeight w:val="300"/>
        </w:trPr>
        <w:tc>
          <w:tcPr>
            <w:tcW w:w="894" w:type="pct"/>
            <w:shd w:val="clear" w:color="auto" w:fill="auto"/>
            <w:noWrap/>
            <w:vAlign w:val="bottom"/>
            <w:hideMark/>
          </w:tcPr>
          <w:p w14:paraId="0801037D"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27-Apr-21</w:t>
            </w:r>
          </w:p>
        </w:tc>
        <w:tc>
          <w:tcPr>
            <w:tcW w:w="914" w:type="pct"/>
            <w:shd w:val="clear" w:color="auto" w:fill="auto"/>
            <w:noWrap/>
            <w:vAlign w:val="bottom"/>
            <w:hideMark/>
          </w:tcPr>
          <w:p w14:paraId="29EF8BE2"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1038.95</w:t>
            </w:r>
          </w:p>
        </w:tc>
        <w:tc>
          <w:tcPr>
            <w:tcW w:w="627" w:type="pct"/>
            <w:shd w:val="clear" w:color="auto" w:fill="auto"/>
            <w:noWrap/>
            <w:vAlign w:val="bottom"/>
            <w:hideMark/>
          </w:tcPr>
          <w:p w14:paraId="65D61CCA"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2.16%</w:t>
            </w:r>
          </w:p>
        </w:tc>
        <w:tc>
          <w:tcPr>
            <w:tcW w:w="970" w:type="pct"/>
            <w:shd w:val="clear" w:color="auto" w:fill="auto"/>
            <w:noWrap/>
            <w:vAlign w:val="bottom"/>
            <w:hideMark/>
          </w:tcPr>
          <w:p w14:paraId="621B5A5B"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26-May-21</w:t>
            </w:r>
          </w:p>
        </w:tc>
        <w:tc>
          <w:tcPr>
            <w:tcW w:w="969" w:type="pct"/>
            <w:shd w:val="clear" w:color="auto" w:fill="auto"/>
            <w:noWrap/>
            <w:vAlign w:val="bottom"/>
            <w:hideMark/>
          </w:tcPr>
          <w:p w14:paraId="4E66414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1054.1</w:t>
            </w:r>
          </w:p>
        </w:tc>
        <w:tc>
          <w:tcPr>
            <w:tcW w:w="627" w:type="pct"/>
            <w:shd w:val="clear" w:color="auto" w:fill="auto"/>
            <w:noWrap/>
            <w:vAlign w:val="bottom"/>
            <w:hideMark/>
          </w:tcPr>
          <w:p w14:paraId="43E23F8B"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0.13%</w:t>
            </w:r>
          </w:p>
        </w:tc>
      </w:tr>
      <w:tr w:rsidR="00BC2885" w:rsidRPr="00BC2885" w14:paraId="5CE4CBBB" w14:textId="77777777" w:rsidTr="00FB6DDF">
        <w:trPr>
          <w:trHeight w:val="300"/>
        </w:trPr>
        <w:tc>
          <w:tcPr>
            <w:tcW w:w="894" w:type="pct"/>
            <w:shd w:val="clear" w:color="auto" w:fill="auto"/>
            <w:noWrap/>
            <w:vAlign w:val="bottom"/>
            <w:hideMark/>
          </w:tcPr>
          <w:p w14:paraId="4A6A97C5"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28-Apr-21</w:t>
            </w:r>
          </w:p>
        </w:tc>
        <w:tc>
          <w:tcPr>
            <w:tcW w:w="914" w:type="pct"/>
            <w:shd w:val="clear" w:color="auto" w:fill="auto"/>
            <w:noWrap/>
            <w:vAlign w:val="bottom"/>
            <w:hideMark/>
          </w:tcPr>
          <w:p w14:paraId="764D3FDF"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1031.2</w:t>
            </w:r>
          </w:p>
        </w:tc>
        <w:tc>
          <w:tcPr>
            <w:tcW w:w="627" w:type="pct"/>
            <w:shd w:val="clear" w:color="auto" w:fill="auto"/>
            <w:noWrap/>
            <w:vAlign w:val="bottom"/>
            <w:hideMark/>
          </w:tcPr>
          <w:p w14:paraId="0C985004"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-0.75%</w:t>
            </w:r>
          </w:p>
        </w:tc>
        <w:tc>
          <w:tcPr>
            <w:tcW w:w="970" w:type="pct"/>
            <w:shd w:val="clear" w:color="auto" w:fill="auto"/>
            <w:noWrap/>
            <w:vAlign w:val="bottom"/>
            <w:hideMark/>
          </w:tcPr>
          <w:p w14:paraId="4A4262A0"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27-May-21</w:t>
            </w:r>
          </w:p>
        </w:tc>
        <w:tc>
          <w:tcPr>
            <w:tcW w:w="969" w:type="pct"/>
            <w:shd w:val="clear" w:color="auto" w:fill="auto"/>
            <w:noWrap/>
            <w:vAlign w:val="bottom"/>
            <w:hideMark/>
          </w:tcPr>
          <w:p w14:paraId="6FCE5E4D"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1059.85</w:t>
            </w:r>
          </w:p>
        </w:tc>
        <w:tc>
          <w:tcPr>
            <w:tcW w:w="627" w:type="pct"/>
            <w:shd w:val="clear" w:color="auto" w:fill="auto"/>
            <w:noWrap/>
            <w:vAlign w:val="bottom"/>
            <w:hideMark/>
          </w:tcPr>
          <w:p w14:paraId="5B04A96E"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0.55%</w:t>
            </w:r>
          </w:p>
        </w:tc>
      </w:tr>
      <w:tr w:rsidR="00BC2885" w:rsidRPr="00BC2885" w14:paraId="0DAF6BD9" w14:textId="77777777" w:rsidTr="00FB6DDF">
        <w:trPr>
          <w:trHeight w:val="300"/>
        </w:trPr>
        <w:tc>
          <w:tcPr>
            <w:tcW w:w="894" w:type="pct"/>
            <w:shd w:val="clear" w:color="auto" w:fill="auto"/>
            <w:noWrap/>
            <w:vAlign w:val="bottom"/>
            <w:hideMark/>
          </w:tcPr>
          <w:p w14:paraId="5068BEEB"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29-Apr-21</w:t>
            </w:r>
          </w:p>
        </w:tc>
        <w:tc>
          <w:tcPr>
            <w:tcW w:w="914" w:type="pct"/>
            <w:shd w:val="clear" w:color="auto" w:fill="auto"/>
            <w:noWrap/>
            <w:vAlign w:val="bottom"/>
            <w:hideMark/>
          </w:tcPr>
          <w:p w14:paraId="5D710C1F"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1031.2</w:t>
            </w:r>
          </w:p>
        </w:tc>
        <w:tc>
          <w:tcPr>
            <w:tcW w:w="627" w:type="pct"/>
            <w:shd w:val="clear" w:color="auto" w:fill="auto"/>
            <w:noWrap/>
            <w:vAlign w:val="bottom"/>
            <w:hideMark/>
          </w:tcPr>
          <w:p w14:paraId="54EAD76E"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0.00%</w:t>
            </w:r>
          </w:p>
        </w:tc>
        <w:tc>
          <w:tcPr>
            <w:tcW w:w="970" w:type="pct"/>
            <w:shd w:val="clear" w:color="auto" w:fill="auto"/>
            <w:noWrap/>
            <w:vAlign w:val="bottom"/>
            <w:hideMark/>
          </w:tcPr>
          <w:p w14:paraId="50576C74"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28-May-21</w:t>
            </w:r>
          </w:p>
        </w:tc>
        <w:tc>
          <w:tcPr>
            <w:tcW w:w="969" w:type="pct"/>
            <w:shd w:val="clear" w:color="auto" w:fill="auto"/>
            <w:noWrap/>
            <w:vAlign w:val="bottom"/>
            <w:hideMark/>
          </w:tcPr>
          <w:p w14:paraId="44E881A5"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1060.25</w:t>
            </w:r>
          </w:p>
        </w:tc>
        <w:tc>
          <w:tcPr>
            <w:tcW w:w="627" w:type="pct"/>
            <w:shd w:val="clear" w:color="auto" w:fill="auto"/>
            <w:noWrap/>
            <w:vAlign w:val="bottom"/>
            <w:hideMark/>
          </w:tcPr>
          <w:p w14:paraId="26C2792D"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0.04%</w:t>
            </w:r>
          </w:p>
        </w:tc>
      </w:tr>
      <w:tr w:rsidR="00BC2885" w:rsidRPr="00BC2885" w14:paraId="416E9D14" w14:textId="77777777" w:rsidTr="00FB6DDF">
        <w:trPr>
          <w:trHeight w:val="300"/>
        </w:trPr>
        <w:tc>
          <w:tcPr>
            <w:tcW w:w="1808" w:type="pct"/>
            <w:gridSpan w:val="2"/>
            <w:shd w:val="clear" w:color="auto" w:fill="auto"/>
            <w:noWrap/>
            <w:vAlign w:val="bottom"/>
            <w:hideMark/>
          </w:tcPr>
          <w:p w14:paraId="1DC915A9"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Mean</w:t>
            </w:r>
          </w:p>
        </w:tc>
        <w:tc>
          <w:tcPr>
            <w:tcW w:w="627" w:type="pct"/>
            <w:shd w:val="clear" w:color="auto" w:fill="auto"/>
            <w:noWrap/>
            <w:vAlign w:val="bottom"/>
            <w:hideMark/>
          </w:tcPr>
          <w:p w14:paraId="4650C637"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-0.05%</w:t>
            </w:r>
          </w:p>
        </w:tc>
        <w:tc>
          <w:tcPr>
            <w:tcW w:w="1939" w:type="pct"/>
            <w:gridSpan w:val="2"/>
            <w:shd w:val="clear" w:color="auto" w:fill="auto"/>
            <w:noWrap/>
            <w:vAlign w:val="bottom"/>
            <w:hideMark/>
          </w:tcPr>
          <w:p w14:paraId="23D1134F"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Mean</w:t>
            </w:r>
          </w:p>
        </w:tc>
        <w:tc>
          <w:tcPr>
            <w:tcW w:w="627" w:type="pct"/>
            <w:shd w:val="clear" w:color="auto" w:fill="auto"/>
            <w:noWrap/>
            <w:vAlign w:val="bottom"/>
            <w:hideMark/>
          </w:tcPr>
          <w:p w14:paraId="26DE83AF"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0.14%</w:t>
            </w:r>
          </w:p>
        </w:tc>
      </w:tr>
      <w:tr w:rsidR="00BC2885" w:rsidRPr="00BC2885" w14:paraId="1CECCB89" w14:textId="77777777" w:rsidTr="00FB6DDF">
        <w:trPr>
          <w:trHeight w:val="300"/>
        </w:trPr>
        <w:tc>
          <w:tcPr>
            <w:tcW w:w="1808" w:type="pct"/>
            <w:gridSpan w:val="2"/>
            <w:shd w:val="clear" w:color="auto" w:fill="auto"/>
            <w:noWrap/>
            <w:vAlign w:val="bottom"/>
            <w:hideMark/>
          </w:tcPr>
          <w:p w14:paraId="4B8CCD33" w14:textId="77777777" w:rsidR="00BC2885" w:rsidRPr="00BC2885" w:rsidRDefault="00BC2885" w:rsidP="00BC2885">
            <w:pPr>
              <w:jc w:val="center"/>
              <w:rPr>
                <w:rFonts w:ascii="Calibri" w:hAnsi="Calibri" w:cs="Calibri"/>
                <w:color w:val="000000"/>
              </w:rPr>
            </w:pPr>
            <w:proofErr w:type="spellStart"/>
            <w:r w:rsidRPr="00BC2885">
              <w:rPr>
                <w:rFonts w:ascii="Calibri" w:hAnsi="Calibri" w:cs="Calibri"/>
                <w:color w:val="000000"/>
              </w:rPr>
              <w:t>Std.Dev</w:t>
            </w:r>
            <w:proofErr w:type="spellEnd"/>
          </w:p>
        </w:tc>
        <w:tc>
          <w:tcPr>
            <w:tcW w:w="627" w:type="pct"/>
            <w:shd w:val="clear" w:color="auto" w:fill="auto"/>
            <w:noWrap/>
            <w:vAlign w:val="bottom"/>
            <w:hideMark/>
          </w:tcPr>
          <w:p w14:paraId="73A8FB8F"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0.95%</w:t>
            </w:r>
          </w:p>
        </w:tc>
        <w:tc>
          <w:tcPr>
            <w:tcW w:w="1939" w:type="pct"/>
            <w:gridSpan w:val="2"/>
            <w:shd w:val="clear" w:color="auto" w:fill="auto"/>
            <w:noWrap/>
            <w:vAlign w:val="bottom"/>
            <w:hideMark/>
          </w:tcPr>
          <w:p w14:paraId="34C79B94" w14:textId="77777777" w:rsidR="00BC2885" w:rsidRPr="00BC2885" w:rsidRDefault="00BC2885" w:rsidP="00BC2885">
            <w:pPr>
              <w:jc w:val="center"/>
              <w:rPr>
                <w:rFonts w:ascii="Calibri" w:hAnsi="Calibri" w:cs="Calibri"/>
                <w:color w:val="000000"/>
              </w:rPr>
            </w:pPr>
            <w:proofErr w:type="spellStart"/>
            <w:r w:rsidRPr="00BC2885">
              <w:rPr>
                <w:rFonts w:ascii="Calibri" w:hAnsi="Calibri" w:cs="Calibri"/>
                <w:color w:val="000000"/>
              </w:rPr>
              <w:t>Std.Dev</w:t>
            </w:r>
            <w:proofErr w:type="spellEnd"/>
          </w:p>
        </w:tc>
        <w:tc>
          <w:tcPr>
            <w:tcW w:w="627" w:type="pct"/>
            <w:shd w:val="clear" w:color="auto" w:fill="auto"/>
            <w:noWrap/>
            <w:vAlign w:val="bottom"/>
            <w:hideMark/>
          </w:tcPr>
          <w:p w14:paraId="68A855B4"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1.09%</w:t>
            </w:r>
          </w:p>
        </w:tc>
      </w:tr>
      <w:tr w:rsidR="00BC2885" w:rsidRPr="00BC2885" w14:paraId="682F6B87" w14:textId="77777777" w:rsidTr="00FB6DDF">
        <w:trPr>
          <w:trHeight w:val="315"/>
        </w:trPr>
        <w:tc>
          <w:tcPr>
            <w:tcW w:w="1808" w:type="pct"/>
            <w:gridSpan w:val="2"/>
            <w:shd w:val="clear" w:color="auto" w:fill="auto"/>
            <w:noWrap/>
            <w:vAlign w:val="bottom"/>
            <w:hideMark/>
          </w:tcPr>
          <w:p w14:paraId="434904E3"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CAGR</w:t>
            </w:r>
          </w:p>
        </w:tc>
        <w:tc>
          <w:tcPr>
            <w:tcW w:w="627" w:type="pct"/>
            <w:shd w:val="clear" w:color="auto" w:fill="auto"/>
            <w:noWrap/>
            <w:vAlign w:val="bottom"/>
            <w:hideMark/>
          </w:tcPr>
          <w:p w14:paraId="634D423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-0.05%</w:t>
            </w:r>
          </w:p>
        </w:tc>
        <w:tc>
          <w:tcPr>
            <w:tcW w:w="1939" w:type="pct"/>
            <w:gridSpan w:val="2"/>
            <w:shd w:val="clear" w:color="auto" w:fill="auto"/>
            <w:noWrap/>
            <w:vAlign w:val="bottom"/>
            <w:hideMark/>
          </w:tcPr>
          <w:p w14:paraId="25F147D1"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CAGR</w:t>
            </w:r>
          </w:p>
        </w:tc>
        <w:tc>
          <w:tcPr>
            <w:tcW w:w="627" w:type="pct"/>
            <w:shd w:val="clear" w:color="auto" w:fill="auto"/>
            <w:noWrap/>
            <w:vAlign w:val="bottom"/>
            <w:hideMark/>
          </w:tcPr>
          <w:p w14:paraId="345CD3A0" w14:textId="77777777" w:rsidR="00BC2885" w:rsidRPr="00BC2885" w:rsidRDefault="00BC2885" w:rsidP="00BC2885">
            <w:pPr>
              <w:jc w:val="center"/>
              <w:rPr>
                <w:rFonts w:ascii="Calibri" w:hAnsi="Calibri" w:cs="Calibri"/>
                <w:color w:val="000000"/>
              </w:rPr>
            </w:pPr>
            <w:r w:rsidRPr="00BC2885">
              <w:rPr>
                <w:rFonts w:ascii="Calibri" w:hAnsi="Calibri" w:cs="Calibri"/>
                <w:color w:val="000000"/>
              </w:rPr>
              <w:t>0.13%</w:t>
            </w:r>
          </w:p>
        </w:tc>
      </w:tr>
    </w:tbl>
    <w:p w14:paraId="7E3D020A" w14:textId="77777777" w:rsidR="00BC2885" w:rsidRDefault="00BC2885" w:rsidP="00BF3DD0"/>
    <w:p w14:paraId="5BCC1287" w14:textId="77777777" w:rsidR="00FB6DDF" w:rsidRPr="00FB6DDF" w:rsidRDefault="00FB6DDF" w:rsidP="00FB6DDF">
      <w:pPr>
        <w:rPr>
          <w:i/>
        </w:rPr>
      </w:pPr>
      <w:r w:rsidRPr="00FB6DDF">
        <w:rPr>
          <w:i/>
        </w:rPr>
        <w:t>H</w:t>
      </w:r>
      <w:r w:rsidRPr="00FB6DDF">
        <w:rPr>
          <w:i/>
          <w:vertAlign w:val="subscript"/>
        </w:rPr>
        <w:t>0</w:t>
      </w:r>
      <w:r>
        <w:rPr>
          <w:i/>
        </w:rPr>
        <w:t>: There will be no</w:t>
      </w:r>
      <w:r w:rsidRPr="00FB6DDF">
        <w:rPr>
          <w:i/>
        </w:rPr>
        <w:t xml:space="preserve"> association between the stock performance and the investment decisions</w:t>
      </w:r>
    </w:p>
    <w:p w14:paraId="1C7F5427" w14:textId="77777777" w:rsidR="00FB6DDF" w:rsidRDefault="00FB6DDF" w:rsidP="00BF3DD0"/>
    <w:tbl>
      <w:tblPr>
        <w:tblW w:w="5000" w:type="pct"/>
        <w:tblLook w:val="04A0" w:firstRow="1" w:lastRow="0" w:firstColumn="1" w:lastColumn="0" w:noHBand="0" w:noVBand="1"/>
      </w:tblPr>
      <w:tblGrid>
        <w:gridCol w:w="1278"/>
        <w:gridCol w:w="1008"/>
        <w:gridCol w:w="1153"/>
        <w:gridCol w:w="838"/>
        <w:gridCol w:w="1250"/>
        <w:gridCol w:w="887"/>
        <w:gridCol w:w="892"/>
        <w:gridCol w:w="1019"/>
        <w:gridCol w:w="1025"/>
      </w:tblGrid>
      <w:tr w:rsidR="00280223" w:rsidRPr="00280223" w14:paraId="7686A534" w14:textId="77777777" w:rsidTr="00280223">
        <w:trPr>
          <w:trHeight w:val="31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810BB" w14:textId="77777777" w:rsidR="00280223" w:rsidRPr="00280223" w:rsidRDefault="00280223" w:rsidP="00280223">
            <w:pPr>
              <w:jc w:val="center"/>
              <w:rPr>
                <w:rFonts w:ascii="Calibri" w:hAnsi="Calibri" w:cs="Calibri"/>
                <w:b/>
                <w:bCs/>
                <w:i/>
                <w:iCs/>
                <w:color w:val="000000"/>
              </w:rPr>
            </w:pPr>
            <w:r w:rsidRPr="00280223">
              <w:rPr>
                <w:rFonts w:ascii="Calibri" w:hAnsi="Calibri" w:cs="Calibri"/>
                <w:b/>
                <w:bCs/>
                <w:i/>
                <w:iCs/>
                <w:color w:val="000000"/>
              </w:rPr>
              <w:t>Regression Statistics</w:t>
            </w:r>
          </w:p>
        </w:tc>
      </w:tr>
      <w:tr w:rsidR="00280223" w:rsidRPr="00280223" w14:paraId="03DC142D" w14:textId="77777777" w:rsidTr="00280223">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267CC2D7" w14:textId="77777777" w:rsidR="00280223" w:rsidRPr="00280223" w:rsidRDefault="00280223" w:rsidP="00280223">
            <w:pPr>
              <w:rPr>
                <w:rFonts w:ascii="Calibri" w:hAnsi="Calibri" w:cs="Calibri"/>
                <w:color w:val="000000"/>
              </w:rPr>
            </w:pPr>
            <w:r w:rsidRPr="00280223">
              <w:rPr>
                <w:rFonts w:ascii="Calibri" w:hAnsi="Calibri" w:cs="Calibri"/>
                <w:color w:val="000000"/>
              </w:rPr>
              <w:t>Multiple R</w:t>
            </w:r>
          </w:p>
        </w:tc>
        <w:tc>
          <w:tcPr>
            <w:tcW w:w="1163" w:type="pct"/>
            <w:gridSpan w:val="2"/>
            <w:tcBorders>
              <w:top w:val="single" w:sz="4" w:space="0" w:color="auto"/>
              <w:left w:val="nil"/>
              <w:bottom w:val="single" w:sz="4" w:space="0" w:color="auto"/>
              <w:right w:val="single" w:sz="4" w:space="0" w:color="auto"/>
            </w:tcBorders>
            <w:shd w:val="clear" w:color="auto" w:fill="auto"/>
            <w:noWrap/>
            <w:vAlign w:val="bottom"/>
            <w:hideMark/>
          </w:tcPr>
          <w:p w14:paraId="1B4B6AD4"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R Square</w:t>
            </w:r>
          </w:p>
        </w:tc>
        <w:tc>
          <w:tcPr>
            <w:tcW w:w="1069" w:type="pct"/>
            <w:gridSpan w:val="2"/>
            <w:tcBorders>
              <w:top w:val="single" w:sz="4" w:space="0" w:color="auto"/>
              <w:left w:val="nil"/>
              <w:bottom w:val="single" w:sz="4" w:space="0" w:color="auto"/>
              <w:right w:val="single" w:sz="4" w:space="0" w:color="auto"/>
            </w:tcBorders>
            <w:shd w:val="clear" w:color="auto" w:fill="auto"/>
            <w:noWrap/>
            <w:vAlign w:val="bottom"/>
            <w:hideMark/>
          </w:tcPr>
          <w:p w14:paraId="374E0DC0"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Adjusted R Square</w:t>
            </w:r>
          </w:p>
        </w:tc>
        <w:tc>
          <w:tcPr>
            <w:tcW w:w="995" w:type="pct"/>
            <w:gridSpan w:val="2"/>
            <w:tcBorders>
              <w:top w:val="single" w:sz="4" w:space="0" w:color="auto"/>
              <w:left w:val="nil"/>
              <w:bottom w:val="single" w:sz="4" w:space="0" w:color="auto"/>
              <w:right w:val="single" w:sz="4" w:space="0" w:color="auto"/>
            </w:tcBorders>
            <w:shd w:val="clear" w:color="auto" w:fill="auto"/>
            <w:noWrap/>
            <w:vAlign w:val="bottom"/>
            <w:hideMark/>
          </w:tcPr>
          <w:p w14:paraId="48724435"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Standard Error</w:t>
            </w:r>
          </w:p>
        </w:tc>
        <w:tc>
          <w:tcPr>
            <w:tcW w:w="1137" w:type="pct"/>
            <w:gridSpan w:val="2"/>
            <w:tcBorders>
              <w:top w:val="single" w:sz="4" w:space="0" w:color="auto"/>
              <w:left w:val="nil"/>
              <w:bottom w:val="single" w:sz="4" w:space="0" w:color="auto"/>
              <w:right w:val="single" w:sz="4" w:space="0" w:color="auto"/>
            </w:tcBorders>
            <w:shd w:val="clear" w:color="auto" w:fill="auto"/>
            <w:noWrap/>
            <w:vAlign w:val="bottom"/>
            <w:hideMark/>
          </w:tcPr>
          <w:p w14:paraId="62AF8DB4"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Observations</w:t>
            </w:r>
          </w:p>
        </w:tc>
      </w:tr>
      <w:tr w:rsidR="00280223" w:rsidRPr="00280223" w14:paraId="2B7EBA62" w14:textId="77777777" w:rsidTr="00280223">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2CFEB766"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0.5755</w:t>
            </w:r>
          </w:p>
        </w:tc>
        <w:tc>
          <w:tcPr>
            <w:tcW w:w="1163" w:type="pct"/>
            <w:gridSpan w:val="2"/>
            <w:tcBorders>
              <w:top w:val="single" w:sz="4" w:space="0" w:color="auto"/>
              <w:left w:val="nil"/>
              <w:bottom w:val="single" w:sz="4" w:space="0" w:color="auto"/>
              <w:right w:val="single" w:sz="4" w:space="0" w:color="auto"/>
            </w:tcBorders>
            <w:shd w:val="clear" w:color="auto" w:fill="auto"/>
            <w:noWrap/>
            <w:vAlign w:val="bottom"/>
            <w:hideMark/>
          </w:tcPr>
          <w:p w14:paraId="42CE8E9C"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0.3312</w:t>
            </w:r>
          </w:p>
        </w:tc>
        <w:tc>
          <w:tcPr>
            <w:tcW w:w="1069" w:type="pct"/>
            <w:gridSpan w:val="2"/>
            <w:tcBorders>
              <w:top w:val="single" w:sz="4" w:space="0" w:color="auto"/>
              <w:left w:val="nil"/>
              <w:bottom w:val="single" w:sz="4" w:space="0" w:color="auto"/>
              <w:right w:val="single" w:sz="4" w:space="0" w:color="auto"/>
            </w:tcBorders>
            <w:shd w:val="clear" w:color="auto" w:fill="auto"/>
            <w:noWrap/>
            <w:vAlign w:val="bottom"/>
            <w:hideMark/>
          </w:tcPr>
          <w:p w14:paraId="0941C640"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0.2978</w:t>
            </w:r>
          </w:p>
        </w:tc>
        <w:tc>
          <w:tcPr>
            <w:tcW w:w="995" w:type="pct"/>
            <w:gridSpan w:val="2"/>
            <w:tcBorders>
              <w:top w:val="single" w:sz="4" w:space="0" w:color="auto"/>
              <w:left w:val="nil"/>
              <w:bottom w:val="single" w:sz="4" w:space="0" w:color="auto"/>
              <w:right w:val="single" w:sz="4" w:space="0" w:color="auto"/>
            </w:tcBorders>
            <w:shd w:val="clear" w:color="auto" w:fill="auto"/>
            <w:noWrap/>
            <w:vAlign w:val="bottom"/>
            <w:hideMark/>
          </w:tcPr>
          <w:p w14:paraId="3B5F34FB"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12.5168</w:t>
            </w:r>
          </w:p>
        </w:tc>
        <w:tc>
          <w:tcPr>
            <w:tcW w:w="1137" w:type="pct"/>
            <w:gridSpan w:val="2"/>
            <w:tcBorders>
              <w:top w:val="single" w:sz="4" w:space="0" w:color="auto"/>
              <w:left w:val="nil"/>
              <w:bottom w:val="single" w:sz="4" w:space="0" w:color="auto"/>
              <w:right w:val="single" w:sz="4" w:space="0" w:color="auto"/>
            </w:tcBorders>
            <w:shd w:val="clear" w:color="auto" w:fill="auto"/>
            <w:noWrap/>
            <w:vAlign w:val="bottom"/>
            <w:hideMark/>
          </w:tcPr>
          <w:p w14:paraId="4E804FB5"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22.0000</w:t>
            </w:r>
          </w:p>
        </w:tc>
      </w:tr>
      <w:tr w:rsidR="00280223" w:rsidRPr="00280223" w14:paraId="01BA641B" w14:textId="77777777" w:rsidTr="00280223">
        <w:trPr>
          <w:trHeight w:val="300"/>
        </w:trPr>
        <w:tc>
          <w:tcPr>
            <w:tcW w:w="5000" w:type="pct"/>
            <w:gridSpan w:val="9"/>
            <w:tcBorders>
              <w:top w:val="nil"/>
              <w:left w:val="single" w:sz="4" w:space="0" w:color="auto"/>
              <w:bottom w:val="single" w:sz="4" w:space="0" w:color="auto"/>
              <w:right w:val="single" w:sz="4" w:space="0" w:color="auto"/>
            </w:tcBorders>
            <w:shd w:val="clear" w:color="auto" w:fill="auto"/>
            <w:noWrap/>
            <w:vAlign w:val="bottom"/>
            <w:hideMark/>
          </w:tcPr>
          <w:p w14:paraId="37C0FD18" w14:textId="77777777" w:rsidR="00280223" w:rsidRPr="00280223" w:rsidRDefault="00280223" w:rsidP="00280223">
            <w:pPr>
              <w:jc w:val="center"/>
              <w:rPr>
                <w:rFonts w:ascii="Calibri" w:hAnsi="Calibri" w:cs="Calibri"/>
                <w:b/>
                <w:color w:val="000000"/>
              </w:rPr>
            </w:pPr>
            <w:r w:rsidRPr="00280223">
              <w:rPr>
                <w:rFonts w:ascii="Calibri" w:hAnsi="Calibri" w:cs="Calibri"/>
                <w:b/>
                <w:color w:val="000000"/>
              </w:rPr>
              <w:t>ANOVA</w:t>
            </w:r>
          </w:p>
        </w:tc>
      </w:tr>
      <w:tr w:rsidR="00280223" w:rsidRPr="00280223" w14:paraId="122468DC" w14:textId="77777777" w:rsidTr="00280223">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669EFFE0" w14:textId="77777777" w:rsidR="00280223" w:rsidRPr="00280223" w:rsidRDefault="00280223" w:rsidP="00280223">
            <w:pPr>
              <w:jc w:val="center"/>
              <w:rPr>
                <w:rFonts w:ascii="Calibri" w:hAnsi="Calibri" w:cs="Calibri"/>
                <w:i/>
                <w:iCs/>
                <w:color w:val="000000"/>
              </w:rPr>
            </w:pPr>
            <w:r w:rsidRPr="00280223">
              <w:rPr>
                <w:rFonts w:ascii="Calibri" w:hAnsi="Calibri" w:cs="Calibri"/>
                <w:i/>
                <w:iCs/>
                <w:color w:val="000000"/>
              </w:rPr>
              <w:t> </w:t>
            </w:r>
          </w:p>
        </w:tc>
        <w:tc>
          <w:tcPr>
            <w:tcW w:w="524" w:type="pct"/>
            <w:tcBorders>
              <w:top w:val="nil"/>
              <w:left w:val="nil"/>
              <w:bottom w:val="single" w:sz="4" w:space="0" w:color="auto"/>
              <w:right w:val="single" w:sz="4" w:space="0" w:color="auto"/>
            </w:tcBorders>
            <w:shd w:val="clear" w:color="auto" w:fill="auto"/>
            <w:noWrap/>
            <w:vAlign w:val="bottom"/>
            <w:hideMark/>
          </w:tcPr>
          <w:p w14:paraId="7CCB2AB0" w14:textId="77777777" w:rsidR="00280223" w:rsidRPr="00280223" w:rsidRDefault="00280223" w:rsidP="00280223">
            <w:pPr>
              <w:jc w:val="center"/>
              <w:rPr>
                <w:rFonts w:ascii="Calibri" w:hAnsi="Calibri" w:cs="Calibri"/>
                <w:i/>
                <w:iCs/>
                <w:color w:val="000000"/>
              </w:rPr>
            </w:pPr>
            <w:proofErr w:type="spellStart"/>
            <w:r w:rsidRPr="00280223">
              <w:rPr>
                <w:rFonts w:ascii="Calibri" w:hAnsi="Calibri" w:cs="Calibri"/>
                <w:i/>
                <w:iCs/>
                <w:color w:val="000000"/>
              </w:rPr>
              <w:t>df</w:t>
            </w:r>
            <w:proofErr w:type="spellEnd"/>
          </w:p>
        </w:tc>
        <w:tc>
          <w:tcPr>
            <w:tcW w:w="1086" w:type="pct"/>
            <w:gridSpan w:val="2"/>
            <w:tcBorders>
              <w:top w:val="single" w:sz="4" w:space="0" w:color="auto"/>
              <w:left w:val="nil"/>
              <w:bottom w:val="single" w:sz="4" w:space="0" w:color="auto"/>
              <w:right w:val="single" w:sz="4" w:space="0" w:color="auto"/>
            </w:tcBorders>
            <w:shd w:val="clear" w:color="auto" w:fill="auto"/>
            <w:noWrap/>
            <w:vAlign w:val="bottom"/>
            <w:hideMark/>
          </w:tcPr>
          <w:p w14:paraId="19318B84" w14:textId="77777777" w:rsidR="00280223" w:rsidRPr="00280223" w:rsidRDefault="00280223" w:rsidP="00280223">
            <w:pPr>
              <w:jc w:val="center"/>
              <w:rPr>
                <w:rFonts w:ascii="Calibri" w:hAnsi="Calibri" w:cs="Calibri"/>
                <w:i/>
                <w:iCs/>
                <w:color w:val="000000"/>
              </w:rPr>
            </w:pPr>
            <w:r w:rsidRPr="00280223">
              <w:rPr>
                <w:rFonts w:ascii="Calibri" w:hAnsi="Calibri" w:cs="Calibri"/>
                <w:i/>
                <w:iCs/>
                <w:color w:val="000000"/>
              </w:rPr>
              <w:t>SS</w:t>
            </w:r>
          </w:p>
        </w:tc>
        <w:tc>
          <w:tcPr>
            <w:tcW w:w="622" w:type="pct"/>
            <w:tcBorders>
              <w:top w:val="nil"/>
              <w:left w:val="nil"/>
              <w:bottom w:val="single" w:sz="4" w:space="0" w:color="auto"/>
              <w:right w:val="single" w:sz="4" w:space="0" w:color="auto"/>
            </w:tcBorders>
            <w:shd w:val="clear" w:color="auto" w:fill="auto"/>
            <w:noWrap/>
            <w:vAlign w:val="bottom"/>
            <w:hideMark/>
          </w:tcPr>
          <w:p w14:paraId="1CC1F7E2" w14:textId="77777777" w:rsidR="00280223" w:rsidRPr="00280223" w:rsidRDefault="00280223" w:rsidP="00280223">
            <w:pPr>
              <w:jc w:val="center"/>
              <w:rPr>
                <w:rFonts w:ascii="Calibri" w:hAnsi="Calibri" w:cs="Calibri"/>
                <w:i/>
                <w:iCs/>
                <w:color w:val="000000"/>
              </w:rPr>
            </w:pPr>
            <w:r w:rsidRPr="00280223">
              <w:rPr>
                <w:rFonts w:ascii="Calibri" w:hAnsi="Calibri" w:cs="Calibri"/>
                <w:i/>
                <w:iCs/>
                <w:color w:val="000000"/>
              </w:rPr>
              <w:t>MS</w:t>
            </w:r>
          </w:p>
        </w:tc>
        <w:tc>
          <w:tcPr>
            <w:tcW w:w="99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84F6407" w14:textId="77777777" w:rsidR="00280223" w:rsidRPr="00280223" w:rsidRDefault="00280223" w:rsidP="00280223">
            <w:pPr>
              <w:jc w:val="center"/>
              <w:rPr>
                <w:rFonts w:ascii="Calibri" w:hAnsi="Calibri" w:cs="Calibri"/>
                <w:i/>
                <w:iCs/>
                <w:color w:val="000000"/>
              </w:rPr>
            </w:pPr>
            <w:r w:rsidRPr="00280223">
              <w:rPr>
                <w:rFonts w:ascii="Calibri" w:hAnsi="Calibri" w:cs="Calibri"/>
                <w:i/>
                <w:iCs/>
                <w:color w:val="000000"/>
              </w:rPr>
              <w:t>F</w:t>
            </w:r>
          </w:p>
        </w:tc>
        <w:tc>
          <w:tcPr>
            <w:tcW w:w="1137" w:type="pct"/>
            <w:gridSpan w:val="2"/>
            <w:tcBorders>
              <w:top w:val="single" w:sz="4" w:space="0" w:color="auto"/>
              <w:left w:val="nil"/>
              <w:bottom w:val="single" w:sz="4" w:space="0" w:color="auto"/>
              <w:right w:val="single" w:sz="4" w:space="0" w:color="auto"/>
            </w:tcBorders>
            <w:shd w:val="clear" w:color="auto" w:fill="auto"/>
            <w:noWrap/>
            <w:vAlign w:val="bottom"/>
            <w:hideMark/>
          </w:tcPr>
          <w:p w14:paraId="78BD52F5" w14:textId="77777777" w:rsidR="00280223" w:rsidRPr="00280223" w:rsidRDefault="00280223" w:rsidP="00280223">
            <w:pPr>
              <w:jc w:val="center"/>
              <w:rPr>
                <w:rFonts w:ascii="Calibri" w:hAnsi="Calibri" w:cs="Calibri"/>
                <w:i/>
                <w:iCs/>
                <w:color w:val="000000"/>
              </w:rPr>
            </w:pPr>
            <w:r w:rsidRPr="00280223">
              <w:rPr>
                <w:rFonts w:ascii="Calibri" w:hAnsi="Calibri" w:cs="Calibri"/>
                <w:i/>
                <w:iCs/>
                <w:color w:val="000000"/>
              </w:rPr>
              <w:t>Significance F</w:t>
            </w:r>
          </w:p>
        </w:tc>
      </w:tr>
      <w:tr w:rsidR="00280223" w:rsidRPr="00280223" w14:paraId="60DD6A41" w14:textId="77777777" w:rsidTr="00280223">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9D76A1C" w14:textId="77777777" w:rsidR="00280223" w:rsidRPr="00280223" w:rsidRDefault="00280223" w:rsidP="00280223">
            <w:pPr>
              <w:rPr>
                <w:rFonts w:ascii="Calibri" w:hAnsi="Calibri" w:cs="Calibri"/>
                <w:color w:val="000000"/>
              </w:rPr>
            </w:pPr>
            <w:r w:rsidRPr="00280223">
              <w:rPr>
                <w:rFonts w:ascii="Calibri" w:hAnsi="Calibri" w:cs="Calibri"/>
                <w:color w:val="000000"/>
              </w:rPr>
              <w:t>Regression</w:t>
            </w:r>
          </w:p>
        </w:tc>
        <w:tc>
          <w:tcPr>
            <w:tcW w:w="524" w:type="pct"/>
            <w:tcBorders>
              <w:top w:val="nil"/>
              <w:left w:val="nil"/>
              <w:bottom w:val="single" w:sz="4" w:space="0" w:color="auto"/>
              <w:right w:val="single" w:sz="4" w:space="0" w:color="auto"/>
            </w:tcBorders>
            <w:shd w:val="clear" w:color="auto" w:fill="auto"/>
            <w:noWrap/>
            <w:vAlign w:val="bottom"/>
            <w:hideMark/>
          </w:tcPr>
          <w:p w14:paraId="780E71C3"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1.0000</w:t>
            </w:r>
          </w:p>
        </w:tc>
        <w:tc>
          <w:tcPr>
            <w:tcW w:w="1086" w:type="pct"/>
            <w:gridSpan w:val="2"/>
            <w:tcBorders>
              <w:top w:val="single" w:sz="4" w:space="0" w:color="auto"/>
              <w:left w:val="nil"/>
              <w:bottom w:val="single" w:sz="4" w:space="0" w:color="auto"/>
              <w:right w:val="single" w:sz="4" w:space="0" w:color="auto"/>
            </w:tcBorders>
            <w:shd w:val="clear" w:color="auto" w:fill="auto"/>
            <w:noWrap/>
            <w:vAlign w:val="bottom"/>
            <w:hideMark/>
          </w:tcPr>
          <w:p w14:paraId="5D2F2B84"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1551.6975</w:t>
            </w:r>
          </w:p>
        </w:tc>
        <w:tc>
          <w:tcPr>
            <w:tcW w:w="622" w:type="pct"/>
            <w:tcBorders>
              <w:top w:val="nil"/>
              <w:left w:val="nil"/>
              <w:bottom w:val="single" w:sz="4" w:space="0" w:color="auto"/>
              <w:right w:val="single" w:sz="4" w:space="0" w:color="auto"/>
            </w:tcBorders>
            <w:shd w:val="clear" w:color="auto" w:fill="auto"/>
            <w:noWrap/>
            <w:vAlign w:val="bottom"/>
            <w:hideMark/>
          </w:tcPr>
          <w:p w14:paraId="75A55385"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1551.6975</w:t>
            </w:r>
          </w:p>
        </w:tc>
        <w:tc>
          <w:tcPr>
            <w:tcW w:w="99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2821D16"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9.9043</w:t>
            </w:r>
          </w:p>
        </w:tc>
        <w:tc>
          <w:tcPr>
            <w:tcW w:w="1137" w:type="pct"/>
            <w:gridSpan w:val="2"/>
            <w:tcBorders>
              <w:top w:val="single" w:sz="4" w:space="0" w:color="auto"/>
              <w:left w:val="nil"/>
              <w:bottom w:val="single" w:sz="4" w:space="0" w:color="auto"/>
              <w:right w:val="single" w:sz="4" w:space="0" w:color="auto"/>
            </w:tcBorders>
            <w:shd w:val="clear" w:color="auto" w:fill="auto"/>
            <w:noWrap/>
            <w:vAlign w:val="bottom"/>
            <w:hideMark/>
          </w:tcPr>
          <w:p w14:paraId="34A2B3ED"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0.0051</w:t>
            </w:r>
          </w:p>
        </w:tc>
      </w:tr>
      <w:tr w:rsidR="00280223" w:rsidRPr="00280223" w14:paraId="22D31687" w14:textId="77777777" w:rsidTr="00280223">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294233AE" w14:textId="77777777" w:rsidR="00280223" w:rsidRPr="00280223" w:rsidRDefault="00280223" w:rsidP="00280223">
            <w:pPr>
              <w:rPr>
                <w:rFonts w:ascii="Calibri" w:hAnsi="Calibri" w:cs="Calibri"/>
                <w:color w:val="000000"/>
              </w:rPr>
            </w:pPr>
            <w:r w:rsidRPr="00280223">
              <w:rPr>
                <w:rFonts w:ascii="Calibri" w:hAnsi="Calibri" w:cs="Calibri"/>
                <w:color w:val="000000"/>
              </w:rPr>
              <w:t>Residual</w:t>
            </w:r>
          </w:p>
        </w:tc>
        <w:tc>
          <w:tcPr>
            <w:tcW w:w="524" w:type="pct"/>
            <w:tcBorders>
              <w:top w:val="nil"/>
              <w:left w:val="nil"/>
              <w:bottom w:val="single" w:sz="4" w:space="0" w:color="auto"/>
              <w:right w:val="single" w:sz="4" w:space="0" w:color="auto"/>
            </w:tcBorders>
            <w:shd w:val="clear" w:color="auto" w:fill="auto"/>
            <w:noWrap/>
            <w:vAlign w:val="bottom"/>
            <w:hideMark/>
          </w:tcPr>
          <w:p w14:paraId="6BC55B8C"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20.0000</w:t>
            </w:r>
          </w:p>
        </w:tc>
        <w:tc>
          <w:tcPr>
            <w:tcW w:w="108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D55F2B0"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3133.3962</w:t>
            </w:r>
          </w:p>
        </w:tc>
        <w:tc>
          <w:tcPr>
            <w:tcW w:w="622" w:type="pct"/>
            <w:tcBorders>
              <w:top w:val="nil"/>
              <w:left w:val="nil"/>
              <w:bottom w:val="single" w:sz="4" w:space="0" w:color="auto"/>
              <w:right w:val="single" w:sz="4" w:space="0" w:color="auto"/>
            </w:tcBorders>
            <w:shd w:val="clear" w:color="auto" w:fill="auto"/>
            <w:noWrap/>
            <w:vAlign w:val="bottom"/>
            <w:hideMark/>
          </w:tcPr>
          <w:p w14:paraId="354C01E9"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156.6698</w:t>
            </w:r>
          </w:p>
        </w:tc>
        <w:tc>
          <w:tcPr>
            <w:tcW w:w="496" w:type="pct"/>
            <w:tcBorders>
              <w:top w:val="nil"/>
              <w:left w:val="nil"/>
              <w:bottom w:val="single" w:sz="4" w:space="0" w:color="auto"/>
              <w:right w:val="single" w:sz="4" w:space="0" w:color="auto"/>
            </w:tcBorders>
            <w:shd w:val="clear" w:color="auto" w:fill="auto"/>
            <w:noWrap/>
            <w:vAlign w:val="bottom"/>
            <w:hideMark/>
          </w:tcPr>
          <w:p w14:paraId="3FF2156C" w14:textId="77777777" w:rsidR="00280223" w:rsidRPr="00280223" w:rsidRDefault="00280223" w:rsidP="00280223">
            <w:pPr>
              <w:rPr>
                <w:rFonts w:ascii="Calibri" w:hAnsi="Calibri" w:cs="Calibri"/>
                <w:color w:val="000000"/>
              </w:rPr>
            </w:pPr>
            <w:r w:rsidRPr="00280223">
              <w:rPr>
                <w:rFonts w:ascii="Calibri" w:hAnsi="Calibri" w:cs="Calibri"/>
                <w:color w:val="000000"/>
              </w:rPr>
              <w:t> </w:t>
            </w:r>
          </w:p>
        </w:tc>
        <w:tc>
          <w:tcPr>
            <w:tcW w:w="498" w:type="pct"/>
            <w:tcBorders>
              <w:top w:val="nil"/>
              <w:left w:val="nil"/>
              <w:bottom w:val="single" w:sz="4" w:space="0" w:color="auto"/>
              <w:right w:val="single" w:sz="4" w:space="0" w:color="auto"/>
            </w:tcBorders>
            <w:shd w:val="clear" w:color="auto" w:fill="auto"/>
            <w:noWrap/>
            <w:vAlign w:val="bottom"/>
            <w:hideMark/>
          </w:tcPr>
          <w:p w14:paraId="452C988A" w14:textId="77777777" w:rsidR="00280223" w:rsidRPr="00280223" w:rsidRDefault="00280223" w:rsidP="00280223">
            <w:pPr>
              <w:rPr>
                <w:rFonts w:ascii="Calibri" w:hAnsi="Calibri" w:cs="Calibri"/>
                <w:color w:val="000000"/>
              </w:rPr>
            </w:pPr>
            <w:r w:rsidRPr="00280223">
              <w:rPr>
                <w:rFonts w:ascii="Calibri" w:hAnsi="Calibri" w:cs="Calibri"/>
                <w:color w:val="000000"/>
              </w:rPr>
              <w:t> </w:t>
            </w:r>
          </w:p>
        </w:tc>
        <w:tc>
          <w:tcPr>
            <w:tcW w:w="567" w:type="pct"/>
            <w:tcBorders>
              <w:top w:val="nil"/>
              <w:left w:val="nil"/>
              <w:bottom w:val="single" w:sz="4" w:space="0" w:color="auto"/>
              <w:right w:val="single" w:sz="4" w:space="0" w:color="auto"/>
            </w:tcBorders>
            <w:shd w:val="clear" w:color="auto" w:fill="auto"/>
            <w:noWrap/>
            <w:vAlign w:val="bottom"/>
            <w:hideMark/>
          </w:tcPr>
          <w:p w14:paraId="5AE4CAD6" w14:textId="77777777" w:rsidR="00280223" w:rsidRPr="00280223" w:rsidRDefault="00280223" w:rsidP="00280223">
            <w:pPr>
              <w:rPr>
                <w:rFonts w:ascii="Calibri" w:hAnsi="Calibri" w:cs="Calibri"/>
                <w:color w:val="000000"/>
              </w:rPr>
            </w:pPr>
            <w:r w:rsidRPr="00280223">
              <w:rPr>
                <w:rFonts w:ascii="Calibri" w:hAnsi="Calibri" w:cs="Calibri"/>
                <w:color w:val="000000"/>
              </w:rPr>
              <w:t> </w:t>
            </w:r>
          </w:p>
        </w:tc>
        <w:tc>
          <w:tcPr>
            <w:tcW w:w="570" w:type="pct"/>
            <w:tcBorders>
              <w:top w:val="nil"/>
              <w:left w:val="nil"/>
              <w:bottom w:val="single" w:sz="4" w:space="0" w:color="auto"/>
              <w:right w:val="single" w:sz="4" w:space="0" w:color="auto"/>
            </w:tcBorders>
            <w:shd w:val="clear" w:color="auto" w:fill="auto"/>
            <w:noWrap/>
            <w:vAlign w:val="bottom"/>
            <w:hideMark/>
          </w:tcPr>
          <w:p w14:paraId="16465261" w14:textId="77777777" w:rsidR="00280223" w:rsidRPr="00280223" w:rsidRDefault="00280223" w:rsidP="00280223">
            <w:pPr>
              <w:rPr>
                <w:rFonts w:ascii="Calibri" w:hAnsi="Calibri" w:cs="Calibri"/>
                <w:color w:val="000000"/>
              </w:rPr>
            </w:pPr>
            <w:r w:rsidRPr="00280223">
              <w:rPr>
                <w:rFonts w:ascii="Calibri" w:hAnsi="Calibri" w:cs="Calibri"/>
                <w:color w:val="000000"/>
              </w:rPr>
              <w:t> </w:t>
            </w:r>
          </w:p>
        </w:tc>
      </w:tr>
      <w:tr w:rsidR="00280223" w:rsidRPr="00280223" w14:paraId="63D20F3F" w14:textId="77777777" w:rsidTr="00280223">
        <w:trPr>
          <w:trHeight w:val="300"/>
        </w:trPr>
        <w:tc>
          <w:tcPr>
            <w:tcW w:w="636" w:type="pct"/>
            <w:tcBorders>
              <w:top w:val="nil"/>
              <w:left w:val="single" w:sz="4" w:space="0" w:color="auto"/>
              <w:bottom w:val="single" w:sz="4" w:space="0" w:color="auto"/>
              <w:right w:val="single" w:sz="4" w:space="0" w:color="auto"/>
            </w:tcBorders>
            <w:shd w:val="clear" w:color="auto" w:fill="auto"/>
            <w:noWrap/>
            <w:vAlign w:val="bottom"/>
            <w:hideMark/>
          </w:tcPr>
          <w:p w14:paraId="1713F0DE" w14:textId="77777777" w:rsidR="00280223" w:rsidRPr="00280223" w:rsidRDefault="00280223" w:rsidP="00280223">
            <w:pPr>
              <w:rPr>
                <w:rFonts w:ascii="Calibri" w:hAnsi="Calibri" w:cs="Calibri"/>
                <w:color w:val="000000"/>
              </w:rPr>
            </w:pPr>
            <w:r w:rsidRPr="00280223">
              <w:rPr>
                <w:rFonts w:ascii="Calibri" w:hAnsi="Calibri" w:cs="Calibri"/>
                <w:color w:val="000000"/>
              </w:rPr>
              <w:t>Total</w:t>
            </w:r>
          </w:p>
        </w:tc>
        <w:tc>
          <w:tcPr>
            <w:tcW w:w="524" w:type="pct"/>
            <w:tcBorders>
              <w:top w:val="nil"/>
              <w:left w:val="nil"/>
              <w:bottom w:val="single" w:sz="4" w:space="0" w:color="auto"/>
              <w:right w:val="single" w:sz="4" w:space="0" w:color="auto"/>
            </w:tcBorders>
            <w:shd w:val="clear" w:color="auto" w:fill="auto"/>
            <w:noWrap/>
            <w:vAlign w:val="bottom"/>
            <w:hideMark/>
          </w:tcPr>
          <w:p w14:paraId="730C347C"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21.0000</w:t>
            </w:r>
          </w:p>
        </w:tc>
        <w:tc>
          <w:tcPr>
            <w:tcW w:w="1086" w:type="pct"/>
            <w:gridSpan w:val="2"/>
            <w:tcBorders>
              <w:top w:val="single" w:sz="4" w:space="0" w:color="auto"/>
              <w:left w:val="nil"/>
              <w:bottom w:val="single" w:sz="4" w:space="0" w:color="auto"/>
              <w:right w:val="single" w:sz="4" w:space="0" w:color="auto"/>
            </w:tcBorders>
            <w:shd w:val="clear" w:color="auto" w:fill="auto"/>
            <w:noWrap/>
            <w:vAlign w:val="bottom"/>
            <w:hideMark/>
          </w:tcPr>
          <w:p w14:paraId="36466FF6" w14:textId="77777777" w:rsidR="00280223" w:rsidRPr="00280223" w:rsidRDefault="00280223" w:rsidP="00280223">
            <w:pPr>
              <w:jc w:val="center"/>
              <w:rPr>
                <w:rFonts w:ascii="Calibri" w:hAnsi="Calibri" w:cs="Calibri"/>
                <w:color w:val="000000"/>
              </w:rPr>
            </w:pPr>
            <w:r w:rsidRPr="00280223">
              <w:rPr>
                <w:rFonts w:ascii="Calibri" w:hAnsi="Calibri" w:cs="Calibri"/>
                <w:color w:val="000000"/>
              </w:rPr>
              <w:t>4685.0936</w:t>
            </w:r>
          </w:p>
        </w:tc>
        <w:tc>
          <w:tcPr>
            <w:tcW w:w="622" w:type="pct"/>
            <w:tcBorders>
              <w:top w:val="nil"/>
              <w:left w:val="nil"/>
              <w:bottom w:val="single" w:sz="4" w:space="0" w:color="auto"/>
              <w:right w:val="single" w:sz="4" w:space="0" w:color="auto"/>
            </w:tcBorders>
            <w:shd w:val="clear" w:color="auto" w:fill="auto"/>
            <w:noWrap/>
            <w:vAlign w:val="bottom"/>
            <w:hideMark/>
          </w:tcPr>
          <w:p w14:paraId="4741EE08" w14:textId="77777777" w:rsidR="00280223" w:rsidRPr="00280223" w:rsidRDefault="00280223" w:rsidP="00280223">
            <w:pPr>
              <w:rPr>
                <w:rFonts w:ascii="Calibri" w:hAnsi="Calibri" w:cs="Calibri"/>
                <w:color w:val="000000"/>
              </w:rPr>
            </w:pPr>
            <w:r w:rsidRPr="00280223">
              <w:rPr>
                <w:rFonts w:ascii="Calibri" w:hAnsi="Calibri" w:cs="Calibri"/>
                <w:color w:val="000000"/>
              </w:rPr>
              <w:t> </w:t>
            </w:r>
          </w:p>
        </w:tc>
        <w:tc>
          <w:tcPr>
            <w:tcW w:w="496" w:type="pct"/>
            <w:tcBorders>
              <w:top w:val="nil"/>
              <w:left w:val="nil"/>
              <w:bottom w:val="single" w:sz="4" w:space="0" w:color="auto"/>
              <w:right w:val="single" w:sz="4" w:space="0" w:color="auto"/>
            </w:tcBorders>
            <w:shd w:val="clear" w:color="auto" w:fill="auto"/>
            <w:noWrap/>
            <w:vAlign w:val="bottom"/>
            <w:hideMark/>
          </w:tcPr>
          <w:p w14:paraId="4755958D" w14:textId="77777777" w:rsidR="00280223" w:rsidRPr="00280223" w:rsidRDefault="00280223" w:rsidP="00280223">
            <w:pPr>
              <w:rPr>
                <w:rFonts w:ascii="Calibri" w:hAnsi="Calibri" w:cs="Calibri"/>
                <w:color w:val="000000"/>
              </w:rPr>
            </w:pPr>
            <w:r w:rsidRPr="00280223">
              <w:rPr>
                <w:rFonts w:ascii="Calibri" w:hAnsi="Calibri" w:cs="Calibri"/>
                <w:color w:val="000000"/>
              </w:rPr>
              <w:t> </w:t>
            </w:r>
          </w:p>
        </w:tc>
        <w:tc>
          <w:tcPr>
            <w:tcW w:w="498" w:type="pct"/>
            <w:tcBorders>
              <w:top w:val="nil"/>
              <w:left w:val="nil"/>
              <w:bottom w:val="single" w:sz="4" w:space="0" w:color="auto"/>
              <w:right w:val="single" w:sz="4" w:space="0" w:color="auto"/>
            </w:tcBorders>
            <w:shd w:val="clear" w:color="auto" w:fill="auto"/>
            <w:noWrap/>
            <w:vAlign w:val="bottom"/>
            <w:hideMark/>
          </w:tcPr>
          <w:p w14:paraId="39572A99" w14:textId="77777777" w:rsidR="00280223" w:rsidRPr="00280223" w:rsidRDefault="00280223" w:rsidP="00280223">
            <w:pPr>
              <w:rPr>
                <w:rFonts w:ascii="Calibri" w:hAnsi="Calibri" w:cs="Calibri"/>
                <w:color w:val="000000"/>
              </w:rPr>
            </w:pPr>
            <w:r w:rsidRPr="00280223">
              <w:rPr>
                <w:rFonts w:ascii="Calibri" w:hAnsi="Calibri" w:cs="Calibri"/>
                <w:color w:val="000000"/>
              </w:rPr>
              <w:t> </w:t>
            </w:r>
          </w:p>
        </w:tc>
        <w:tc>
          <w:tcPr>
            <w:tcW w:w="567" w:type="pct"/>
            <w:tcBorders>
              <w:top w:val="nil"/>
              <w:left w:val="nil"/>
              <w:bottom w:val="single" w:sz="4" w:space="0" w:color="auto"/>
              <w:right w:val="single" w:sz="4" w:space="0" w:color="auto"/>
            </w:tcBorders>
            <w:shd w:val="clear" w:color="auto" w:fill="auto"/>
            <w:noWrap/>
            <w:vAlign w:val="bottom"/>
            <w:hideMark/>
          </w:tcPr>
          <w:p w14:paraId="600A0A65" w14:textId="77777777" w:rsidR="00280223" w:rsidRPr="00280223" w:rsidRDefault="00280223" w:rsidP="00280223">
            <w:pPr>
              <w:rPr>
                <w:rFonts w:ascii="Calibri" w:hAnsi="Calibri" w:cs="Calibri"/>
                <w:color w:val="000000"/>
              </w:rPr>
            </w:pPr>
            <w:r w:rsidRPr="00280223">
              <w:rPr>
                <w:rFonts w:ascii="Calibri" w:hAnsi="Calibri" w:cs="Calibri"/>
                <w:color w:val="000000"/>
              </w:rPr>
              <w:t> </w:t>
            </w:r>
          </w:p>
        </w:tc>
        <w:tc>
          <w:tcPr>
            <w:tcW w:w="570" w:type="pct"/>
            <w:tcBorders>
              <w:top w:val="nil"/>
              <w:left w:val="nil"/>
              <w:bottom w:val="single" w:sz="4" w:space="0" w:color="auto"/>
              <w:right w:val="single" w:sz="4" w:space="0" w:color="auto"/>
            </w:tcBorders>
            <w:shd w:val="clear" w:color="auto" w:fill="auto"/>
            <w:noWrap/>
            <w:vAlign w:val="bottom"/>
            <w:hideMark/>
          </w:tcPr>
          <w:p w14:paraId="7C3DA439" w14:textId="77777777" w:rsidR="00280223" w:rsidRPr="00280223" w:rsidRDefault="00280223" w:rsidP="00280223">
            <w:pPr>
              <w:rPr>
                <w:rFonts w:ascii="Calibri" w:hAnsi="Calibri" w:cs="Calibri"/>
                <w:color w:val="000000"/>
              </w:rPr>
            </w:pPr>
            <w:r w:rsidRPr="00280223">
              <w:rPr>
                <w:rFonts w:ascii="Calibri" w:hAnsi="Calibri" w:cs="Calibri"/>
                <w:color w:val="000000"/>
              </w:rPr>
              <w:t> </w:t>
            </w:r>
          </w:p>
        </w:tc>
      </w:tr>
    </w:tbl>
    <w:p w14:paraId="0C9FDD80" w14:textId="77777777" w:rsidR="00280223" w:rsidRPr="00280223" w:rsidRDefault="00280223" w:rsidP="00BF3DD0">
      <w:pPr>
        <w:rPr>
          <w:sz w:val="2"/>
        </w:rPr>
      </w:pPr>
    </w:p>
    <w:tbl>
      <w:tblPr>
        <w:tblW w:w="0" w:type="auto"/>
        <w:tblLayout w:type="fixed"/>
        <w:tblLook w:val="04A0" w:firstRow="1" w:lastRow="0" w:firstColumn="1" w:lastColumn="0" w:noHBand="0" w:noVBand="1"/>
      </w:tblPr>
      <w:tblGrid>
        <w:gridCol w:w="1255"/>
        <w:gridCol w:w="1260"/>
        <w:gridCol w:w="1080"/>
        <w:gridCol w:w="799"/>
        <w:gridCol w:w="812"/>
        <w:gridCol w:w="1095"/>
        <w:gridCol w:w="1074"/>
        <w:gridCol w:w="990"/>
        <w:gridCol w:w="985"/>
      </w:tblGrid>
      <w:tr w:rsidR="00280223" w:rsidRPr="00280223" w14:paraId="1AD340D7" w14:textId="77777777" w:rsidTr="00280223">
        <w:trPr>
          <w:trHeight w:val="300"/>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12368" w14:textId="77777777" w:rsidR="00280223" w:rsidRPr="00280223" w:rsidRDefault="00280223" w:rsidP="00280223">
            <w:pPr>
              <w:jc w:val="center"/>
              <w:rPr>
                <w:rFonts w:ascii="Calibri" w:hAnsi="Calibri" w:cs="Calibri"/>
                <w:i/>
                <w:iCs/>
                <w:color w:val="000000"/>
              </w:rPr>
            </w:pPr>
            <w:r w:rsidRPr="00280223">
              <w:rPr>
                <w:rFonts w:ascii="Calibri" w:hAnsi="Calibri" w:cs="Calibri"/>
                <w:i/>
                <w:iCs/>
                <w:color w:val="00000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2B8378F" w14:textId="77777777" w:rsidR="00280223" w:rsidRPr="00280223" w:rsidRDefault="00280223" w:rsidP="00280223">
            <w:pPr>
              <w:jc w:val="center"/>
              <w:rPr>
                <w:rFonts w:ascii="Calibri" w:hAnsi="Calibri" w:cs="Calibri"/>
                <w:i/>
                <w:iCs/>
                <w:color w:val="000000"/>
              </w:rPr>
            </w:pPr>
            <w:r w:rsidRPr="00280223">
              <w:rPr>
                <w:rFonts w:ascii="Calibri" w:hAnsi="Calibri" w:cs="Calibri"/>
                <w:i/>
                <w:iCs/>
                <w:color w:val="000000"/>
              </w:rPr>
              <w:t>Coefficients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0381647" w14:textId="77777777" w:rsidR="00280223" w:rsidRPr="00280223" w:rsidRDefault="00280223" w:rsidP="00280223">
            <w:pPr>
              <w:jc w:val="center"/>
              <w:rPr>
                <w:rFonts w:ascii="Calibri" w:hAnsi="Calibri" w:cs="Calibri"/>
                <w:i/>
                <w:iCs/>
                <w:color w:val="000000"/>
              </w:rPr>
            </w:pPr>
            <w:r w:rsidRPr="00280223">
              <w:rPr>
                <w:rFonts w:ascii="Calibri" w:hAnsi="Calibri" w:cs="Calibri"/>
                <w:i/>
                <w:iCs/>
                <w:color w:val="000000"/>
              </w:rPr>
              <w:t>Standard Error</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14:paraId="32BB9DE1" w14:textId="77777777" w:rsidR="00280223" w:rsidRPr="00280223" w:rsidRDefault="00280223" w:rsidP="00280223">
            <w:pPr>
              <w:jc w:val="center"/>
              <w:rPr>
                <w:rFonts w:ascii="Calibri" w:hAnsi="Calibri" w:cs="Calibri"/>
                <w:i/>
                <w:iCs/>
                <w:color w:val="000000"/>
              </w:rPr>
            </w:pPr>
            <w:r w:rsidRPr="00280223">
              <w:rPr>
                <w:rFonts w:ascii="Calibri" w:hAnsi="Calibri" w:cs="Calibri"/>
                <w:i/>
                <w:iCs/>
                <w:color w:val="000000"/>
              </w:rPr>
              <w:t>t Stat</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62A4837F" w14:textId="77777777" w:rsidR="00280223" w:rsidRPr="00280223" w:rsidRDefault="00280223" w:rsidP="00280223">
            <w:pPr>
              <w:jc w:val="center"/>
              <w:rPr>
                <w:rFonts w:ascii="Calibri" w:hAnsi="Calibri" w:cs="Calibri"/>
                <w:i/>
                <w:iCs/>
                <w:color w:val="000000"/>
              </w:rPr>
            </w:pPr>
            <w:r w:rsidRPr="00280223">
              <w:rPr>
                <w:rFonts w:ascii="Calibri" w:hAnsi="Calibri" w:cs="Calibri"/>
                <w:i/>
                <w:iCs/>
                <w:color w:val="000000"/>
              </w:rPr>
              <w:t>P-value</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14:paraId="5C559945" w14:textId="77777777" w:rsidR="00280223" w:rsidRPr="00280223" w:rsidRDefault="00280223" w:rsidP="00280223">
            <w:pPr>
              <w:jc w:val="center"/>
              <w:rPr>
                <w:rFonts w:ascii="Calibri" w:hAnsi="Calibri" w:cs="Calibri"/>
                <w:i/>
                <w:iCs/>
                <w:color w:val="000000"/>
              </w:rPr>
            </w:pPr>
            <w:r w:rsidRPr="00280223">
              <w:rPr>
                <w:rFonts w:ascii="Calibri" w:hAnsi="Calibri" w:cs="Calibri"/>
                <w:i/>
                <w:iCs/>
                <w:color w:val="000000"/>
              </w:rPr>
              <w:t>Lower 95%</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5AE5C8C0" w14:textId="77777777" w:rsidR="00280223" w:rsidRPr="00280223" w:rsidRDefault="00280223" w:rsidP="00280223">
            <w:pPr>
              <w:jc w:val="center"/>
              <w:rPr>
                <w:rFonts w:ascii="Calibri" w:hAnsi="Calibri" w:cs="Calibri"/>
                <w:i/>
                <w:iCs/>
                <w:color w:val="000000"/>
              </w:rPr>
            </w:pPr>
            <w:r w:rsidRPr="00280223">
              <w:rPr>
                <w:rFonts w:ascii="Calibri" w:hAnsi="Calibri" w:cs="Calibri"/>
                <w:i/>
                <w:iCs/>
                <w:color w:val="000000"/>
              </w:rPr>
              <w:t>Upper 95%</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C53620A" w14:textId="77777777" w:rsidR="00280223" w:rsidRPr="00280223" w:rsidRDefault="00280223" w:rsidP="00280223">
            <w:pPr>
              <w:jc w:val="center"/>
              <w:rPr>
                <w:rFonts w:ascii="Calibri" w:hAnsi="Calibri" w:cs="Calibri"/>
                <w:i/>
                <w:iCs/>
                <w:color w:val="000000"/>
              </w:rPr>
            </w:pPr>
            <w:r w:rsidRPr="00280223">
              <w:rPr>
                <w:rFonts w:ascii="Calibri" w:hAnsi="Calibri" w:cs="Calibri"/>
                <w:i/>
                <w:iCs/>
                <w:color w:val="000000"/>
              </w:rPr>
              <w:t>Lower 95.0%</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14:paraId="65E4EFE0" w14:textId="77777777" w:rsidR="00280223" w:rsidRPr="00280223" w:rsidRDefault="00280223" w:rsidP="00280223">
            <w:pPr>
              <w:jc w:val="center"/>
              <w:rPr>
                <w:rFonts w:ascii="Calibri" w:hAnsi="Calibri" w:cs="Calibri"/>
                <w:i/>
                <w:iCs/>
                <w:color w:val="000000"/>
              </w:rPr>
            </w:pPr>
            <w:r w:rsidRPr="00280223">
              <w:rPr>
                <w:rFonts w:ascii="Calibri" w:hAnsi="Calibri" w:cs="Calibri"/>
                <w:i/>
                <w:iCs/>
                <w:color w:val="000000"/>
              </w:rPr>
              <w:t>Upper 95.0%</w:t>
            </w:r>
          </w:p>
        </w:tc>
      </w:tr>
      <w:tr w:rsidR="00280223" w:rsidRPr="00280223" w14:paraId="0AABAE73" w14:textId="77777777" w:rsidTr="00280223">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356B3120" w14:textId="77777777" w:rsidR="00280223" w:rsidRPr="00280223" w:rsidRDefault="00280223" w:rsidP="00280223">
            <w:pPr>
              <w:rPr>
                <w:rFonts w:ascii="Calibri" w:hAnsi="Calibri" w:cs="Calibri"/>
                <w:color w:val="000000"/>
              </w:rPr>
            </w:pPr>
            <w:r w:rsidRPr="00280223">
              <w:rPr>
                <w:rFonts w:ascii="Calibri" w:hAnsi="Calibri" w:cs="Calibri"/>
                <w:color w:val="000000"/>
              </w:rPr>
              <w:t>Intercept</w:t>
            </w:r>
          </w:p>
        </w:tc>
        <w:tc>
          <w:tcPr>
            <w:tcW w:w="1260" w:type="dxa"/>
            <w:tcBorders>
              <w:top w:val="nil"/>
              <w:left w:val="nil"/>
              <w:bottom w:val="single" w:sz="4" w:space="0" w:color="auto"/>
              <w:right w:val="single" w:sz="4" w:space="0" w:color="auto"/>
            </w:tcBorders>
            <w:shd w:val="clear" w:color="auto" w:fill="auto"/>
            <w:noWrap/>
            <w:vAlign w:val="bottom"/>
            <w:hideMark/>
          </w:tcPr>
          <w:p w14:paraId="6C487B3A"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1525.54</w:t>
            </w:r>
          </w:p>
        </w:tc>
        <w:tc>
          <w:tcPr>
            <w:tcW w:w="1080" w:type="dxa"/>
            <w:tcBorders>
              <w:top w:val="nil"/>
              <w:left w:val="nil"/>
              <w:bottom w:val="single" w:sz="4" w:space="0" w:color="auto"/>
              <w:right w:val="single" w:sz="4" w:space="0" w:color="auto"/>
            </w:tcBorders>
            <w:shd w:val="clear" w:color="auto" w:fill="auto"/>
            <w:noWrap/>
            <w:vAlign w:val="bottom"/>
            <w:hideMark/>
          </w:tcPr>
          <w:p w14:paraId="33AC61C6"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149.64</w:t>
            </w:r>
          </w:p>
        </w:tc>
        <w:tc>
          <w:tcPr>
            <w:tcW w:w="799" w:type="dxa"/>
            <w:tcBorders>
              <w:top w:val="nil"/>
              <w:left w:val="nil"/>
              <w:bottom w:val="single" w:sz="4" w:space="0" w:color="auto"/>
              <w:right w:val="single" w:sz="4" w:space="0" w:color="auto"/>
            </w:tcBorders>
            <w:shd w:val="clear" w:color="auto" w:fill="auto"/>
            <w:noWrap/>
            <w:vAlign w:val="bottom"/>
            <w:hideMark/>
          </w:tcPr>
          <w:p w14:paraId="772FAC96"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10.19</w:t>
            </w:r>
          </w:p>
        </w:tc>
        <w:tc>
          <w:tcPr>
            <w:tcW w:w="812" w:type="dxa"/>
            <w:tcBorders>
              <w:top w:val="nil"/>
              <w:left w:val="nil"/>
              <w:bottom w:val="single" w:sz="4" w:space="0" w:color="auto"/>
              <w:right w:val="single" w:sz="4" w:space="0" w:color="auto"/>
            </w:tcBorders>
            <w:shd w:val="clear" w:color="auto" w:fill="auto"/>
            <w:noWrap/>
            <w:vAlign w:val="bottom"/>
            <w:hideMark/>
          </w:tcPr>
          <w:p w14:paraId="7AFCF784"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0.00</w:t>
            </w:r>
          </w:p>
        </w:tc>
        <w:tc>
          <w:tcPr>
            <w:tcW w:w="1095" w:type="dxa"/>
            <w:tcBorders>
              <w:top w:val="nil"/>
              <w:left w:val="nil"/>
              <w:bottom w:val="single" w:sz="4" w:space="0" w:color="auto"/>
              <w:right w:val="single" w:sz="4" w:space="0" w:color="auto"/>
            </w:tcBorders>
            <w:shd w:val="clear" w:color="auto" w:fill="auto"/>
            <w:noWrap/>
            <w:vAlign w:val="bottom"/>
            <w:hideMark/>
          </w:tcPr>
          <w:p w14:paraId="55B07B10"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1213.39</w:t>
            </w:r>
          </w:p>
        </w:tc>
        <w:tc>
          <w:tcPr>
            <w:tcW w:w="1074" w:type="dxa"/>
            <w:tcBorders>
              <w:top w:val="nil"/>
              <w:left w:val="nil"/>
              <w:bottom w:val="single" w:sz="4" w:space="0" w:color="auto"/>
              <w:right w:val="single" w:sz="4" w:space="0" w:color="auto"/>
            </w:tcBorders>
            <w:shd w:val="clear" w:color="auto" w:fill="auto"/>
            <w:noWrap/>
            <w:vAlign w:val="bottom"/>
            <w:hideMark/>
          </w:tcPr>
          <w:p w14:paraId="6E6DF53E"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1837.69</w:t>
            </w:r>
          </w:p>
        </w:tc>
        <w:tc>
          <w:tcPr>
            <w:tcW w:w="990" w:type="dxa"/>
            <w:tcBorders>
              <w:top w:val="nil"/>
              <w:left w:val="nil"/>
              <w:bottom w:val="single" w:sz="4" w:space="0" w:color="auto"/>
              <w:right w:val="single" w:sz="4" w:space="0" w:color="auto"/>
            </w:tcBorders>
            <w:shd w:val="clear" w:color="auto" w:fill="auto"/>
            <w:noWrap/>
            <w:vAlign w:val="bottom"/>
            <w:hideMark/>
          </w:tcPr>
          <w:p w14:paraId="0B6642F6"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1213.39</w:t>
            </w:r>
          </w:p>
        </w:tc>
        <w:tc>
          <w:tcPr>
            <w:tcW w:w="985" w:type="dxa"/>
            <w:tcBorders>
              <w:top w:val="nil"/>
              <w:left w:val="nil"/>
              <w:bottom w:val="single" w:sz="4" w:space="0" w:color="auto"/>
              <w:right w:val="single" w:sz="4" w:space="0" w:color="auto"/>
            </w:tcBorders>
            <w:shd w:val="clear" w:color="auto" w:fill="auto"/>
            <w:noWrap/>
            <w:vAlign w:val="bottom"/>
            <w:hideMark/>
          </w:tcPr>
          <w:p w14:paraId="6D239F85"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1837.69</w:t>
            </w:r>
          </w:p>
        </w:tc>
      </w:tr>
      <w:tr w:rsidR="00280223" w:rsidRPr="00280223" w14:paraId="47260AEF" w14:textId="77777777" w:rsidTr="00280223">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7503270" w14:textId="77777777" w:rsidR="00280223" w:rsidRPr="00280223" w:rsidRDefault="00280223" w:rsidP="00280223">
            <w:pPr>
              <w:rPr>
                <w:rFonts w:ascii="Calibri" w:hAnsi="Calibri" w:cs="Calibri"/>
                <w:color w:val="000000"/>
              </w:rPr>
            </w:pPr>
            <w:r>
              <w:rPr>
                <w:rFonts w:ascii="Calibri" w:hAnsi="Calibri" w:cs="Calibri"/>
                <w:color w:val="000000"/>
              </w:rPr>
              <w:t xml:space="preserve">X Variable </w:t>
            </w:r>
          </w:p>
        </w:tc>
        <w:tc>
          <w:tcPr>
            <w:tcW w:w="1260" w:type="dxa"/>
            <w:tcBorders>
              <w:top w:val="nil"/>
              <w:left w:val="nil"/>
              <w:bottom w:val="single" w:sz="4" w:space="0" w:color="auto"/>
              <w:right w:val="single" w:sz="4" w:space="0" w:color="auto"/>
            </w:tcBorders>
            <w:shd w:val="clear" w:color="auto" w:fill="auto"/>
            <w:noWrap/>
            <w:vAlign w:val="bottom"/>
            <w:hideMark/>
          </w:tcPr>
          <w:p w14:paraId="5AABE986"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-0.46</w:t>
            </w:r>
          </w:p>
        </w:tc>
        <w:tc>
          <w:tcPr>
            <w:tcW w:w="1080" w:type="dxa"/>
            <w:tcBorders>
              <w:top w:val="nil"/>
              <w:left w:val="nil"/>
              <w:bottom w:val="single" w:sz="4" w:space="0" w:color="auto"/>
              <w:right w:val="single" w:sz="4" w:space="0" w:color="auto"/>
            </w:tcBorders>
            <w:shd w:val="clear" w:color="auto" w:fill="auto"/>
            <w:noWrap/>
            <w:vAlign w:val="bottom"/>
            <w:hideMark/>
          </w:tcPr>
          <w:p w14:paraId="102A96D2"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0.15</w:t>
            </w:r>
          </w:p>
        </w:tc>
        <w:tc>
          <w:tcPr>
            <w:tcW w:w="799" w:type="dxa"/>
            <w:tcBorders>
              <w:top w:val="nil"/>
              <w:left w:val="nil"/>
              <w:bottom w:val="single" w:sz="4" w:space="0" w:color="auto"/>
              <w:right w:val="single" w:sz="4" w:space="0" w:color="auto"/>
            </w:tcBorders>
            <w:shd w:val="clear" w:color="auto" w:fill="auto"/>
            <w:noWrap/>
            <w:vAlign w:val="bottom"/>
            <w:hideMark/>
          </w:tcPr>
          <w:p w14:paraId="4CE8A14C"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-3.15</w:t>
            </w:r>
          </w:p>
        </w:tc>
        <w:tc>
          <w:tcPr>
            <w:tcW w:w="812" w:type="dxa"/>
            <w:tcBorders>
              <w:top w:val="nil"/>
              <w:left w:val="nil"/>
              <w:bottom w:val="single" w:sz="4" w:space="0" w:color="auto"/>
              <w:right w:val="single" w:sz="4" w:space="0" w:color="auto"/>
            </w:tcBorders>
            <w:shd w:val="clear" w:color="auto" w:fill="auto"/>
            <w:noWrap/>
            <w:vAlign w:val="bottom"/>
            <w:hideMark/>
          </w:tcPr>
          <w:p w14:paraId="1380C47E"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0.01</w:t>
            </w:r>
          </w:p>
        </w:tc>
        <w:tc>
          <w:tcPr>
            <w:tcW w:w="1095" w:type="dxa"/>
            <w:tcBorders>
              <w:top w:val="nil"/>
              <w:left w:val="nil"/>
              <w:bottom w:val="single" w:sz="4" w:space="0" w:color="auto"/>
              <w:right w:val="single" w:sz="4" w:space="0" w:color="auto"/>
            </w:tcBorders>
            <w:shd w:val="clear" w:color="auto" w:fill="auto"/>
            <w:noWrap/>
            <w:vAlign w:val="bottom"/>
            <w:hideMark/>
          </w:tcPr>
          <w:p w14:paraId="4DFECE1E"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-0.77</w:t>
            </w:r>
          </w:p>
        </w:tc>
        <w:tc>
          <w:tcPr>
            <w:tcW w:w="1074" w:type="dxa"/>
            <w:tcBorders>
              <w:top w:val="nil"/>
              <w:left w:val="nil"/>
              <w:bottom w:val="single" w:sz="4" w:space="0" w:color="auto"/>
              <w:right w:val="single" w:sz="4" w:space="0" w:color="auto"/>
            </w:tcBorders>
            <w:shd w:val="clear" w:color="auto" w:fill="auto"/>
            <w:noWrap/>
            <w:vAlign w:val="bottom"/>
            <w:hideMark/>
          </w:tcPr>
          <w:p w14:paraId="43364584"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-0.16</w:t>
            </w:r>
          </w:p>
        </w:tc>
        <w:tc>
          <w:tcPr>
            <w:tcW w:w="990" w:type="dxa"/>
            <w:tcBorders>
              <w:top w:val="nil"/>
              <w:left w:val="nil"/>
              <w:bottom w:val="single" w:sz="4" w:space="0" w:color="auto"/>
              <w:right w:val="single" w:sz="4" w:space="0" w:color="auto"/>
            </w:tcBorders>
            <w:shd w:val="clear" w:color="auto" w:fill="auto"/>
            <w:noWrap/>
            <w:vAlign w:val="bottom"/>
            <w:hideMark/>
          </w:tcPr>
          <w:p w14:paraId="1415B305"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-0.77</w:t>
            </w:r>
          </w:p>
        </w:tc>
        <w:tc>
          <w:tcPr>
            <w:tcW w:w="985" w:type="dxa"/>
            <w:tcBorders>
              <w:top w:val="nil"/>
              <w:left w:val="nil"/>
              <w:bottom w:val="single" w:sz="4" w:space="0" w:color="auto"/>
              <w:right w:val="single" w:sz="4" w:space="0" w:color="auto"/>
            </w:tcBorders>
            <w:shd w:val="clear" w:color="auto" w:fill="auto"/>
            <w:noWrap/>
            <w:vAlign w:val="bottom"/>
            <w:hideMark/>
          </w:tcPr>
          <w:p w14:paraId="1F818708" w14:textId="77777777" w:rsidR="00280223" w:rsidRPr="00280223" w:rsidRDefault="00280223" w:rsidP="00280223">
            <w:pPr>
              <w:jc w:val="right"/>
              <w:rPr>
                <w:rFonts w:ascii="Calibri" w:hAnsi="Calibri" w:cs="Calibri"/>
                <w:color w:val="000000"/>
              </w:rPr>
            </w:pPr>
            <w:r w:rsidRPr="00280223">
              <w:rPr>
                <w:rFonts w:ascii="Calibri" w:hAnsi="Calibri" w:cs="Calibri"/>
                <w:color w:val="000000"/>
              </w:rPr>
              <w:t>-0.16</w:t>
            </w:r>
          </w:p>
        </w:tc>
      </w:tr>
    </w:tbl>
    <w:p w14:paraId="197E422D" w14:textId="14EB26A9" w:rsidR="00280223" w:rsidRDefault="00280223" w:rsidP="00BF3DD0"/>
    <w:p w14:paraId="4E738EBC" w14:textId="0A63794A" w:rsidR="00A26BFC" w:rsidRDefault="00FB6DDF" w:rsidP="00FB6DDF">
      <w:pPr>
        <w:spacing w:line="360" w:lineRule="auto"/>
        <w:jc w:val="both"/>
      </w:pPr>
      <w:r>
        <w:t>The Tata group, investment decision was impacted in the average returns – it was increased from -0.05% to 0.14%. The standard deviation was increased from 0.95% to 1.09% and the Compounded annual growth rate was increased from -0.05% to 0.13%. As per the regression result the P-Value was less than 0.05 i.e., 0.00. Which infer that, there will be great association between the stock performance and the investment decision of Tata group.</w:t>
      </w:r>
    </w:p>
    <w:p w14:paraId="1C36E8F4" w14:textId="77777777" w:rsidR="00FB6DDF" w:rsidRDefault="00FB6DDF" w:rsidP="00BF3DD0"/>
    <w:p w14:paraId="1BBD798A" w14:textId="77777777" w:rsidR="00E52748" w:rsidRPr="00344FFE" w:rsidRDefault="00344FFE" w:rsidP="00344FFE">
      <w:pPr>
        <w:jc w:val="center"/>
        <w:rPr>
          <w:b/>
          <w:sz w:val="28"/>
        </w:rPr>
      </w:pPr>
      <w:r>
        <w:rPr>
          <w:b/>
          <w:sz w:val="28"/>
        </w:rPr>
        <w:t xml:space="preserve">3. </w:t>
      </w:r>
      <w:r w:rsidR="00E52748" w:rsidRPr="00344FFE">
        <w:rPr>
          <w:b/>
          <w:sz w:val="28"/>
        </w:rPr>
        <w:t>Wipro Ltd</w:t>
      </w:r>
    </w:p>
    <w:tbl>
      <w:tblPr>
        <w:tblW w:w="5000" w:type="pct"/>
        <w:tblLook w:val="04A0" w:firstRow="1" w:lastRow="0" w:firstColumn="1" w:lastColumn="0" w:noHBand="0" w:noVBand="1"/>
      </w:tblPr>
      <w:tblGrid>
        <w:gridCol w:w="2155"/>
        <w:gridCol w:w="1350"/>
        <w:gridCol w:w="1275"/>
        <w:gridCol w:w="1696"/>
        <w:gridCol w:w="1619"/>
        <w:gridCol w:w="1255"/>
      </w:tblGrid>
      <w:tr w:rsidR="006016B2" w:rsidRPr="006016B2" w14:paraId="7B9383D3" w14:textId="77777777" w:rsidTr="006016B2">
        <w:trPr>
          <w:trHeight w:val="300"/>
        </w:trPr>
        <w:tc>
          <w:tcPr>
            <w:tcW w:w="2556"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EC57A8"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Before Investment Decision</w:t>
            </w:r>
          </w:p>
        </w:tc>
        <w:tc>
          <w:tcPr>
            <w:tcW w:w="2444"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BEBAE88"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After Investment Decision</w:t>
            </w:r>
          </w:p>
        </w:tc>
      </w:tr>
      <w:tr w:rsidR="006016B2" w:rsidRPr="006016B2" w14:paraId="69BD5D34" w14:textId="77777777" w:rsidTr="00A26BFC">
        <w:trPr>
          <w:trHeight w:val="300"/>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65352F7C"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lastRenderedPageBreak/>
              <w:t>Date</w:t>
            </w:r>
          </w:p>
        </w:tc>
        <w:tc>
          <w:tcPr>
            <w:tcW w:w="722" w:type="pct"/>
            <w:tcBorders>
              <w:top w:val="nil"/>
              <w:left w:val="nil"/>
              <w:bottom w:val="single" w:sz="4" w:space="0" w:color="auto"/>
              <w:right w:val="single" w:sz="4" w:space="0" w:color="auto"/>
            </w:tcBorders>
            <w:shd w:val="clear" w:color="auto" w:fill="auto"/>
            <w:noWrap/>
            <w:vAlign w:val="bottom"/>
            <w:hideMark/>
          </w:tcPr>
          <w:p w14:paraId="446B8F5F"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Close Price</w:t>
            </w:r>
          </w:p>
        </w:tc>
        <w:tc>
          <w:tcPr>
            <w:tcW w:w="682" w:type="pct"/>
            <w:tcBorders>
              <w:top w:val="nil"/>
              <w:left w:val="nil"/>
              <w:bottom w:val="single" w:sz="4" w:space="0" w:color="auto"/>
              <w:right w:val="single" w:sz="4" w:space="0" w:color="auto"/>
            </w:tcBorders>
            <w:shd w:val="clear" w:color="auto" w:fill="auto"/>
            <w:noWrap/>
            <w:vAlign w:val="bottom"/>
            <w:hideMark/>
          </w:tcPr>
          <w:p w14:paraId="6D681BDB"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Return</w:t>
            </w:r>
          </w:p>
        </w:tc>
        <w:tc>
          <w:tcPr>
            <w:tcW w:w="907" w:type="pct"/>
            <w:tcBorders>
              <w:top w:val="nil"/>
              <w:left w:val="nil"/>
              <w:bottom w:val="single" w:sz="4" w:space="0" w:color="auto"/>
              <w:right w:val="single" w:sz="4" w:space="0" w:color="auto"/>
            </w:tcBorders>
            <w:shd w:val="clear" w:color="auto" w:fill="auto"/>
            <w:noWrap/>
            <w:vAlign w:val="bottom"/>
            <w:hideMark/>
          </w:tcPr>
          <w:p w14:paraId="4E01936C"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Date</w:t>
            </w:r>
          </w:p>
        </w:tc>
        <w:tc>
          <w:tcPr>
            <w:tcW w:w="866" w:type="pct"/>
            <w:tcBorders>
              <w:top w:val="nil"/>
              <w:left w:val="nil"/>
              <w:bottom w:val="single" w:sz="4" w:space="0" w:color="auto"/>
              <w:right w:val="single" w:sz="4" w:space="0" w:color="auto"/>
            </w:tcBorders>
            <w:shd w:val="clear" w:color="auto" w:fill="auto"/>
            <w:noWrap/>
            <w:vAlign w:val="bottom"/>
            <w:hideMark/>
          </w:tcPr>
          <w:p w14:paraId="2D81819C"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Close Price</w:t>
            </w:r>
          </w:p>
        </w:tc>
        <w:tc>
          <w:tcPr>
            <w:tcW w:w="671" w:type="pct"/>
            <w:tcBorders>
              <w:top w:val="nil"/>
              <w:left w:val="nil"/>
              <w:bottom w:val="single" w:sz="4" w:space="0" w:color="auto"/>
              <w:right w:val="single" w:sz="4" w:space="0" w:color="auto"/>
            </w:tcBorders>
            <w:shd w:val="clear" w:color="auto" w:fill="auto"/>
            <w:noWrap/>
            <w:vAlign w:val="bottom"/>
            <w:hideMark/>
          </w:tcPr>
          <w:p w14:paraId="5C55FC4F"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Return</w:t>
            </w:r>
          </w:p>
        </w:tc>
      </w:tr>
      <w:tr w:rsidR="006016B2" w:rsidRPr="006016B2" w14:paraId="21D73D34" w14:textId="77777777" w:rsidTr="00A26BFC">
        <w:trPr>
          <w:trHeight w:val="300"/>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20AD936C"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4-Feb-21</w:t>
            </w:r>
          </w:p>
        </w:tc>
        <w:tc>
          <w:tcPr>
            <w:tcW w:w="722" w:type="pct"/>
            <w:tcBorders>
              <w:top w:val="nil"/>
              <w:left w:val="nil"/>
              <w:bottom w:val="single" w:sz="4" w:space="0" w:color="auto"/>
              <w:right w:val="single" w:sz="4" w:space="0" w:color="auto"/>
            </w:tcBorders>
            <w:shd w:val="clear" w:color="auto" w:fill="auto"/>
            <w:noWrap/>
            <w:vAlign w:val="bottom"/>
            <w:hideMark/>
          </w:tcPr>
          <w:p w14:paraId="3DFD4F8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429.90</w:t>
            </w:r>
          </w:p>
        </w:tc>
        <w:tc>
          <w:tcPr>
            <w:tcW w:w="682" w:type="pct"/>
            <w:tcBorders>
              <w:top w:val="nil"/>
              <w:left w:val="nil"/>
              <w:bottom w:val="single" w:sz="4" w:space="0" w:color="auto"/>
              <w:right w:val="single" w:sz="4" w:space="0" w:color="auto"/>
            </w:tcBorders>
            <w:shd w:val="clear" w:color="auto" w:fill="auto"/>
            <w:noWrap/>
            <w:vAlign w:val="bottom"/>
            <w:hideMark/>
          </w:tcPr>
          <w:p w14:paraId="39E1D2B4"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 </w:t>
            </w:r>
          </w:p>
        </w:tc>
        <w:tc>
          <w:tcPr>
            <w:tcW w:w="907" w:type="pct"/>
            <w:tcBorders>
              <w:top w:val="nil"/>
              <w:left w:val="nil"/>
              <w:bottom w:val="single" w:sz="4" w:space="0" w:color="auto"/>
              <w:right w:val="single" w:sz="4" w:space="0" w:color="auto"/>
            </w:tcBorders>
            <w:shd w:val="clear" w:color="auto" w:fill="auto"/>
            <w:noWrap/>
            <w:vAlign w:val="bottom"/>
            <w:hideMark/>
          </w:tcPr>
          <w:p w14:paraId="275D0E3F"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4-Mar-21</w:t>
            </w:r>
          </w:p>
        </w:tc>
        <w:tc>
          <w:tcPr>
            <w:tcW w:w="866" w:type="pct"/>
            <w:tcBorders>
              <w:top w:val="nil"/>
              <w:left w:val="nil"/>
              <w:bottom w:val="single" w:sz="4" w:space="0" w:color="auto"/>
              <w:right w:val="single" w:sz="4" w:space="0" w:color="auto"/>
            </w:tcBorders>
            <w:shd w:val="clear" w:color="auto" w:fill="auto"/>
            <w:noWrap/>
            <w:vAlign w:val="bottom"/>
            <w:hideMark/>
          </w:tcPr>
          <w:p w14:paraId="37F84BF9"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438.85</w:t>
            </w:r>
          </w:p>
        </w:tc>
        <w:tc>
          <w:tcPr>
            <w:tcW w:w="671" w:type="pct"/>
            <w:tcBorders>
              <w:top w:val="nil"/>
              <w:left w:val="nil"/>
              <w:bottom w:val="single" w:sz="4" w:space="0" w:color="auto"/>
              <w:right w:val="single" w:sz="4" w:space="0" w:color="auto"/>
            </w:tcBorders>
            <w:shd w:val="clear" w:color="auto" w:fill="auto"/>
            <w:noWrap/>
            <w:vAlign w:val="bottom"/>
            <w:hideMark/>
          </w:tcPr>
          <w:p w14:paraId="4B875511"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 </w:t>
            </w:r>
          </w:p>
        </w:tc>
      </w:tr>
      <w:tr w:rsidR="006016B2" w:rsidRPr="006016B2" w14:paraId="4FCA1002" w14:textId="77777777" w:rsidTr="00A26BFC">
        <w:trPr>
          <w:trHeight w:val="300"/>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5953A711"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5-Feb-21</w:t>
            </w:r>
          </w:p>
        </w:tc>
        <w:tc>
          <w:tcPr>
            <w:tcW w:w="722" w:type="pct"/>
            <w:tcBorders>
              <w:top w:val="nil"/>
              <w:left w:val="nil"/>
              <w:bottom w:val="single" w:sz="4" w:space="0" w:color="auto"/>
              <w:right w:val="single" w:sz="4" w:space="0" w:color="auto"/>
            </w:tcBorders>
            <w:shd w:val="clear" w:color="auto" w:fill="auto"/>
            <w:noWrap/>
            <w:vAlign w:val="bottom"/>
            <w:hideMark/>
          </w:tcPr>
          <w:p w14:paraId="793D1356"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425.60</w:t>
            </w:r>
          </w:p>
        </w:tc>
        <w:tc>
          <w:tcPr>
            <w:tcW w:w="682" w:type="pct"/>
            <w:tcBorders>
              <w:top w:val="nil"/>
              <w:left w:val="nil"/>
              <w:bottom w:val="single" w:sz="4" w:space="0" w:color="auto"/>
              <w:right w:val="single" w:sz="4" w:space="0" w:color="auto"/>
            </w:tcBorders>
            <w:shd w:val="clear" w:color="auto" w:fill="auto"/>
            <w:noWrap/>
            <w:vAlign w:val="bottom"/>
            <w:hideMark/>
          </w:tcPr>
          <w:p w14:paraId="371BB41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-1.00%</w:t>
            </w:r>
          </w:p>
        </w:tc>
        <w:tc>
          <w:tcPr>
            <w:tcW w:w="907" w:type="pct"/>
            <w:tcBorders>
              <w:top w:val="nil"/>
              <w:left w:val="nil"/>
              <w:bottom w:val="single" w:sz="4" w:space="0" w:color="auto"/>
              <w:right w:val="single" w:sz="4" w:space="0" w:color="auto"/>
            </w:tcBorders>
            <w:shd w:val="clear" w:color="auto" w:fill="auto"/>
            <w:noWrap/>
            <w:vAlign w:val="bottom"/>
            <w:hideMark/>
          </w:tcPr>
          <w:p w14:paraId="3CD9AFB3"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5-Mar-21</w:t>
            </w:r>
          </w:p>
        </w:tc>
        <w:tc>
          <w:tcPr>
            <w:tcW w:w="866" w:type="pct"/>
            <w:tcBorders>
              <w:top w:val="nil"/>
              <w:left w:val="nil"/>
              <w:bottom w:val="single" w:sz="4" w:space="0" w:color="auto"/>
              <w:right w:val="single" w:sz="4" w:space="0" w:color="auto"/>
            </w:tcBorders>
            <w:shd w:val="clear" w:color="auto" w:fill="auto"/>
            <w:noWrap/>
            <w:vAlign w:val="bottom"/>
            <w:hideMark/>
          </w:tcPr>
          <w:p w14:paraId="063646D7"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420.40</w:t>
            </w:r>
          </w:p>
        </w:tc>
        <w:tc>
          <w:tcPr>
            <w:tcW w:w="671" w:type="pct"/>
            <w:tcBorders>
              <w:top w:val="nil"/>
              <w:left w:val="nil"/>
              <w:bottom w:val="single" w:sz="4" w:space="0" w:color="auto"/>
              <w:right w:val="single" w:sz="4" w:space="0" w:color="auto"/>
            </w:tcBorders>
            <w:shd w:val="clear" w:color="auto" w:fill="auto"/>
            <w:noWrap/>
            <w:vAlign w:val="bottom"/>
            <w:hideMark/>
          </w:tcPr>
          <w:p w14:paraId="6B484D4A"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-4.20%</w:t>
            </w:r>
          </w:p>
        </w:tc>
      </w:tr>
      <w:tr w:rsidR="006016B2" w:rsidRPr="006016B2" w14:paraId="7C941C98" w14:textId="77777777" w:rsidTr="00A26BFC">
        <w:trPr>
          <w:trHeight w:val="315"/>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15D50DF2"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8-Feb-21</w:t>
            </w:r>
          </w:p>
        </w:tc>
        <w:tc>
          <w:tcPr>
            <w:tcW w:w="722" w:type="pct"/>
            <w:tcBorders>
              <w:top w:val="nil"/>
              <w:left w:val="nil"/>
              <w:bottom w:val="single" w:sz="4" w:space="0" w:color="auto"/>
              <w:right w:val="single" w:sz="4" w:space="0" w:color="auto"/>
            </w:tcBorders>
            <w:shd w:val="clear" w:color="auto" w:fill="auto"/>
            <w:noWrap/>
            <w:vAlign w:val="bottom"/>
            <w:hideMark/>
          </w:tcPr>
          <w:p w14:paraId="2984C200"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435.25</w:t>
            </w:r>
          </w:p>
        </w:tc>
        <w:tc>
          <w:tcPr>
            <w:tcW w:w="682" w:type="pct"/>
            <w:tcBorders>
              <w:top w:val="nil"/>
              <w:left w:val="nil"/>
              <w:bottom w:val="single" w:sz="4" w:space="0" w:color="auto"/>
              <w:right w:val="single" w:sz="4" w:space="0" w:color="auto"/>
            </w:tcBorders>
            <w:shd w:val="clear" w:color="auto" w:fill="auto"/>
            <w:noWrap/>
            <w:vAlign w:val="bottom"/>
            <w:hideMark/>
          </w:tcPr>
          <w:p w14:paraId="65133F9B"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2.27%</w:t>
            </w:r>
          </w:p>
        </w:tc>
        <w:tc>
          <w:tcPr>
            <w:tcW w:w="907" w:type="pct"/>
            <w:tcBorders>
              <w:top w:val="nil"/>
              <w:left w:val="nil"/>
              <w:bottom w:val="single" w:sz="4" w:space="0" w:color="auto"/>
              <w:right w:val="single" w:sz="4" w:space="0" w:color="auto"/>
            </w:tcBorders>
            <w:shd w:val="clear" w:color="auto" w:fill="auto"/>
            <w:noWrap/>
            <w:vAlign w:val="bottom"/>
            <w:hideMark/>
          </w:tcPr>
          <w:p w14:paraId="2E7C13B2"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8-Mar-21</w:t>
            </w:r>
          </w:p>
        </w:tc>
        <w:tc>
          <w:tcPr>
            <w:tcW w:w="866" w:type="pct"/>
            <w:tcBorders>
              <w:top w:val="nil"/>
              <w:left w:val="nil"/>
              <w:bottom w:val="single" w:sz="4" w:space="0" w:color="auto"/>
              <w:right w:val="single" w:sz="4" w:space="0" w:color="auto"/>
            </w:tcBorders>
            <w:shd w:val="clear" w:color="auto" w:fill="auto"/>
            <w:noWrap/>
            <w:vAlign w:val="bottom"/>
            <w:hideMark/>
          </w:tcPr>
          <w:p w14:paraId="690C6D34"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416.85</w:t>
            </w:r>
          </w:p>
        </w:tc>
        <w:tc>
          <w:tcPr>
            <w:tcW w:w="671" w:type="pct"/>
            <w:tcBorders>
              <w:top w:val="nil"/>
              <w:left w:val="nil"/>
              <w:bottom w:val="single" w:sz="4" w:space="0" w:color="auto"/>
              <w:right w:val="single" w:sz="4" w:space="0" w:color="auto"/>
            </w:tcBorders>
            <w:shd w:val="clear" w:color="auto" w:fill="auto"/>
            <w:noWrap/>
            <w:vAlign w:val="bottom"/>
            <w:hideMark/>
          </w:tcPr>
          <w:p w14:paraId="1CC6400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-0.84%</w:t>
            </w:r>
          </w:p>
        </w:tc>
      </w:tr>
      <w:tr w:rsidR="006016B2" w:rsidRPr="006016B2" w14:paraId="591032C3" w14:textId="77777777" w:rsidTr="00A26BFC">
        <w:trPr>
          <w:trHeight w:val="300"/>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5919E64F"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9-Feb-21</w:t>
            </w:r>
          </w:p>
        </w:tc>
        <w:tc>
          <w:tcPr>
            <w:tcW w:w="722" w:type="pct"/>
            <w:tcBorders>
              <w:top w:val="nil"/>
              <w:left w:val="nil"/>
              <w:bottom w:val="single" w:sz="4" w:space="0" w:color="auto"/>
              <w:right w:val="single" w:sz="4" w:space="0" w:color="auto"/>
            </w:tcBorders>
            <w:shd w:val="clear" w:color="auto" w:fill="auto"/>
            <w:noWrap/>
            <w:vAlign w:val="bottom"/>
            <w:hideMark/>
          </w:tcPr>
          <w:p w14:paraId="51A53E8A"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438.95</w:t>
            </w:r>
          </w:p>
        </w:tc>
        <w:tc>
          <w:tcPr>
            <w:tcW w:w="682" w:type="pct"/>
            <w:tcBorders>
              <w:top w:val="nil"/>
              <w:left w:val="nil"/>
              <w:bottom w:val="single" w:sz="4" w:space="0" w:color="auto"/>
              <w:right w:val="single" w:sz="4" w:space="0" w:color="auto"/>
            </w:tcBorders>
            <w:shd w:val="clear" w:color="auto" w:fill="auto"/>
            <w:noWrap/>
            <w:vAlign w:val="bottom"/>
            <w:hideMark/>
          </w:tcPr>
          <w:p w14:paraId="4B5D05C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0.85%</w:t>
            </w:r>
          </w:p>
        </w:tc>
        <w:tc>
          <w:tcPr>
            <w:tcW w:w="907" w:type="pct"/>
            <w:tcBorders>
              <w:top w:val="nil"/>
              <w:left w:val="nil"/>
              <w:bottom w:val="single" w:sz="4" w:space="0" w:color="auto"/>
              <w:right w:val="single" w:sz="4" w:space="0" w:color="auto"/>
            </w:tcBorders>
            <w:shd w:val="clear" w:color="auto" w:fill="auto"/>
            <w:noWrap/>
            <w:vAlign w:val="bottom"/>
            <w:hideMark/>
          </w:tcPr>
          <w:p w14:paraId="4AB4893A"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9-Mar-21</w:t>
            </w:r>
          </w:p>
        </w:tc>
        <w:tc>
          <w:tcPr>
            <w:tcW w:w="866" w:type="pct"/>
            <w:tcBorders>
              <w:top w:val="nil"/>
              <w:left w:val="nil"/>
              <w:bottom w:val="single" w:sz="4" w:space="0" w:color="auto"/>
              <w:right w:val="single" w:sz="4" w:space="0" w:color="auto"/>
            </w:tcBorders>
            <w:shd w:val="clear" w:color="auto" w:fill="auto"/>
            <w:noWrap/>
            <w:vAlign w:val="bottom"/>
            <w:hideMark/>
          </w:tcPr>
          <w:p w14:paraId="0B01444D"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418.80</w:t>
            </w:r>
          </w:p>
        </w:tc>
        <w:tc>
          <w:tcPr>
            <w:tcW w:w="671" w:type="pct"/>
            <w:tcBorders>
              <w:top w:val="nil"/>
              <w:left w:val="nil"/>
              <w:bottom w:val="single" w:sz="4" w:space="0" w:color="auto"/>
              <w:right w:val="single" w:sz="4" w:space="0" w:color="auto"/>
            </w:tcBorders>
            <w:shd w:val="clear" w:color="auto" w:fill="auto"/>
            <w:noWrap/>
            <w:vAlign w:val="bottom"/>
            <w:hideMark/>
          </w:tcPr>
          <w:p w14:paraId="4AA5E35D"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0.47%</w:t>
            </w:r>
          </w:p>
        </w:tc>
      </w:tr>
      <w:tr w:rsidR="006016B2" w:rsidRPr="006016B2" w14:paraId="5DE5C3B3" w14:textId="77777777" w:rsidTr="00A26BFC">
        <w:trPr>
          <w:trHeight w:val="300"/>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5D7843B8"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10-Feb-21</w:t>
            </w:r>
          </w:p>
        </w:tc>
        <w:tc>
          <w:tcPr>
            <w:tcW w:w="722" w:type="pct"/>
            <w:tcBorders>
              <w:top w:val="nil"/>
              <w:left w:val="nil"/>
              <w:bottom w:val="single" w:sz="4" w:space="0" w:color="auto"/>
              <w:right w:val="single" w:sz="4" w:space="0" w:color="auto"/>
            </w:tcBorders>
            <w:shd w:val="clear" w:color="auto" w:fill="auto"/>
            <w:noWrap/>
            <w:vAlign w:val="bottom"/>
            <w:hideMark/>
          </w:tcPr>
          <w:p w14:paraId="69CAE4B9"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439.00</w:t>
            </w:r>
          </w:p>
        </w:tc>
        <w:tc>
          <w:tcPr>
            <w:tcW w:w="682" w:type="pct"/>
            <w:tcBorders>
              <w:top w:val="nil"/>
              <w:left w:val="nil"/>
              <w:bottom w:val="single" w:sz="4" w:space="0" w:color="auto"/>
              <w:right w:val="single" w:sz="4" w:space="0" w:color="auto"/>
            </w:tcBorders>
            <w:shd w:val="clear" w:color="auto" w:fill="auto"/>
            <w:noWrap/>
            <w:vAlign w:val="bottom"/>
            <w:hideMark/>
          </w:tcPr>
          <w:p w14:paraId="27B58937"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0.01%</w:t>
            </w:r>
          </w:p>
        </w:tc>
        <w:tc>
          <w:tcPr>
            <w:tcW w:w="907" w:type="pct"/>
            <w:tcBorders>
              <w:top w:val="nil"/>
              <w:left w:val="nil"/>
              <w:bottom w:val="single" w:sz="4" w:space="0" w:color="auto"/>
              <w:right w:val="single" w:sz="4" w:space="0" w:color="auto"/>
            </w:tcBorders>
            <w:shd w:val="clear" w:color="auto" w:fill="auto"/>
            <w:noWrap/>
            <w:vAlign w:val="bottom"/>
            <w:hideMark/>
          </w:tcPr>
          <w:p w14:paraId="7A5DCE0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10-Mar-21</w:t>
            </w:r>
          </w:p>
        </w:tc>
        <w:tc>
          <w:tcPr>
            <w:tcW w:w="866" w:type="pct"/>
            <w:tcBorders>
              <w:top w:val="nil"/>
              <w:left w:val="nil"/>
              <w:bottom w:val="single" w:sz="4" w:space="0" w:color="auto"/>
              <w:right w:val="single" w:sz="4" w:space="0" w:color="auto"/>
            </w:tcBorders>
            <w:shd w:val="clear" w:color="auto" w:fill="auto"/>
            <w:noWrap/>
            <w:vAlign w:val="bottom"/>
            <w:hideMark/>
          </w:tcPr>
          <w:p w14:paraId="7BB6EF6F"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426.65</w:t>
            </w:r>
          </w:p>
        </w:tc>
        <w:tc>
          <w:tcPr>
            <w:tcW w:w="671" w:type="pct"/>
            <w:tcBorders>
              <w:top w:val="nil"/>
              <w:left w:val="nil"/>
              <w:bottom w:val="single" w:sz="4" w:space="0" w:color="auto"/>
              <w:right w:val="single" w:sz="4" w:space="0" w:color="auto"/>
            </w:tcBorders>
            <w:shd w:val="clear" w:color="auto" w:fill="auto"/>
            <w:noWrap/>
            <w:vAlign w:val="bottom"/>
            <w:hideMark/>
          </w:tcPr>
          <w:p w14:paraId="340C7B5F"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1.87%</w:t>
            </w:r>
          </w:p>
        </w:tc>
      </w:tr>
      <w:tr w:rsidR="006016B2" w:rsidRPr="006016B2" w14:paraId="1957477C" w14:textId="77777777" w:rsidTr="00A26BFC">
        <w:trPr>
          <w:trHeight w:val="300"/>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5291A236"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11-Feb-21</w:t>
            </w:r>
          </w:p>
        </w:tc>
        <w:tc>
          <w:tcPr>
            <w:tcW w:w="722" w:type="pct"/>
            <w:tcBorders>
              <w:top w:val="nil"/>
              <w:left w:val="nil"/>
              <w:bottom w:val="single" w:sz="4" w:space="0" w:color="auto"/>
              <w:right w:val="single" w:sz="4" w:space="0" w:color="auto"/>
            </w:tcBorders>
            <w:shd w:val="clear" w:color="auto" w:fill="auto"/>
            <w:noWrap/>
            <w:vAlign w:val="bottom"/>
            <w:hideMark/>
          </w:tcPr>
          <w:p w14:paraId="3808D8F2"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436.10</w:t>
            </w:r>
          </w:p>
        </w:tc>
        <w:tc>
          <w:tcPr>
            <w:tcW w:w="682" w:type="pct"/>
            <w:tcBorders>
              <w:top w:val="nil"/>
              <w:left w:val="nil"/>
              <w:bottom w:val="single" w:sz="4" w:space="0" w:color="auto"/>
              <w:right w:val="single" w:sz="4" w:space="0" w:color="auto"/>
            </w:tcBorders>
            <w:shd w:val="clear" w:color="auto" w:fill="auto"/>
            <w:noWrap/>
            <w:vAlign w:val="bottom"/>
            <w:hideMark/>
          </w:tcPr>
          <w:p w14:paraId="467781E6"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-0.66%</w:t>
            </w:r>
          </w:p>
        </w:tc>
        <w:tc>
          <w:tcPr>
            <w:tcW w:w="907" w:type="pct"/>
            <w:tcBorders>
              <w:top w:val="nil"/>
              <w:left w:val="nil"/>
              <w:bottom w:val="single" w:sz="4" w:space="0" w:color="auto"/>
              <w:right w:val="single" w:sz="4" w:space="0" w:color="auto"/>
            </w:tcBorders>
            <w:shd w:val="clear" w:color="auto" w:fill="auto"/>
            <w:noWrap/>
            <w:vAlign w:val="bottom"/>
            <w:hideMark/>
          </w:tcPr>
          <w:p w14:paraId="71BF210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12-Mar-21</w:t>
            </w:r>
          </w:p>
        </w:tc>
        <w:tc>
          <w:tcPr>
            <w:tcW w:w="866" w:type="pct"/>
            <w:tcBorders>
              <w:top w:val="nil"/>
              <w:left w:val="nil"/>
              <w:bottom w:val="single" w:sz="4" w:space="0" w:color="auto"/>
              <w:right w:val="single" w:sz="4" w:space="0" w:color="auto"/>
            </w:tcBorders>
            <w:shd w:val="clear" w:color="auto" w:fill="auto"/>
            <w:noWrap/>
            <w:vAlign w:val="bottom"/>
            <w:hideMark/>
          </w:tcPr>
          <w:p w14:paraId="4C640162"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425.00</w:t>
            </w:r>
          </w:p>
        </w:tc>
        <w:tc>
          <w:tcPr>
            <w:tcW w:w="671" w:type="pct"/>
            <w:tcBorders>
              <w:top w:val="nil"/>
              <w:left w:val="nil"/>
              <w:bottom w:val="single" w:sz="4" w:space="0" w:color="auto"/>
              <w:right w:val="single" w:sz="4" w:space="0" w:color="auto"/>
            </w:tcBorders>
            <w:shd w:val="clear" w:color="auto" w:fill="auto"/>
            <w:noWrap/>
            <w:vAlign w:val="bottom"/>
            <w:hideMark/>
          </w:tcPr>
          <w:p w14:paraId="3395EAA3"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-0.39%</w:t>
            </w:r>
          </w:p>
        </w:tc>
      </w:tr>
      <w:tr w:rsidR="006016B2" w:rsidRPr="006016B2" w14:paraId="7A5B4E2A" w14:textId="77777777" w:rsidTr="00A26BFC">
        <w:trPr>
          <w:trHeight w:val="300"/>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445E1279"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12-Feb-21</w:t>
            </w:r>
          </w:p>
        </w:tc>
        <w:tc>
          <w:tcPr>
            <w:tcW w:w="722" w:type="pct"/>
            <w:tcBorders>
              <w:top w:val="nil"/>
              <w:left w:val="nil"/>
              <w:bottom w:val="single" w:sz="4" w:space="0" w:color="auto"/>
              <w:right w:val="single" w:sz="4" w:space="0" w:color="auto"/>
            </w:tcBorders>
            <w:shd w:val="clear" w:color="auto" w:fill="auto"/>
            <w:noWrap/>
            <w:vAlign w:val="bottom"/>
            <w:hideMark/>
          </w:tcPr>
          <w:p w14:paraId="67F78F29"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441.95</w:t>
            </w:r>
          </w:p>
        </w:tc>
        <w:tc>
          <w:tcPr>
            <w:tcW w:w="682" w:type="pct"/>
            <w:tcBorders>
              <w:top w:val="nil"/>
              <w:left w:val="nil"/>
              <w:bottom w:val="single" w:sz="4" w:space="0" w:color="auto"/>
              <w:right w:val="single" w:sz="4" w:space="0" w:color="auto"/>
            </w:tcBorders>
            <w:shd w:val="clear" w:color="auto" w:fill="auto"/>
            <w:noWrap/>
            <w:vAlign w:val="bottom"/>
            <w:hideMark/>
          </w:tcPr>
          <w:p w14:paraId="1F3C049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1.34%</w:t>
            </w:r>
          </w:p>
        </w:tc>
        <w:tc>
          <w:tcPr>
            <w:tcW w:w="907" w:type="pct"/>
            <w:tcBorders>
              <w:top w:val="nil"/>
              <w:left w:val="nil"/>
              <w:bottom w:val="single" w:sz="4" w:space="0" w:color="auto"/>
              <w:right w:val="single" w:sz="4" w:space="0" w:color="auto"/>
            </w:tcBorders>
            <w:shd w:val="clear" w:color="auto" w:fill="auto"/>
            <w:noWrap/>
            <w:vAlign w:val="bottom"/>
            <w:hideMark/>
          </w:tcPr>
          <w:p w14:paraId="5C89EA61"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15-Mar-21</w:t>
            </w:r>
          </w:p>
        </w:tc>
        <w:tc>
          <w:tcPr>
            <w:tcW w:w="866" w:type="pct"/>
            <w:tcBorders>
              <w:top w:val="nil"/>
              <w:left w:val="nil"/>
              <w:bottom w:val="single" w:sz="4" w:space="0" w:color="auto"/>
              <w:right w:val="single" w:sz="4" w:space="0" w:color="auto"/>
            </w:tcBorders>
            <w:shd w:val="clear" w:color="auto" w:fill="auto"/>
            <w:noWrap/>
            <w:vAlign w:val="bottom"/>
            <w:hideMark/>
          </w:tcPr>
          <w:p w14:paraId="31F161E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426.40</w:t>
            </w:r>
          </w:p>
        </w:tc>
        <w:tc>
          <w:tcPr>
            <w:tcW w:w="671" w:type="pct"/>
            <w:tcBorders>
              <w:top w:val="nil"/>
              <w:left w:val="nil"/>
              <w:bottom w:val="single" w:sz="4" w:space="0" w:color="auto"/>
              <w:right w:val="single" w:sz="4" w:space="0" w:color="auto"/>
            </w:tcBorders>
            <w:shd w:val="clear" w:color="auto" w:fill="auto"/>
            <w:noWrap/>
            <w:vAlign w:val="bottom"/>
            <w:hideMark/>
          </w:tcPr>
          <w:p w14:paraId="1446C75F"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0.33%</w:t>
            </w:r>
          </w:p>
        </w:tc>
      </w:tr>
      <w:tr w:rsidR="006016B2" w:rsidRPr="006016B2" w14:paraId="353229B2" w14:textId="77777777" w:rsidTr="00A26BFC">
        <w:trPr>
          <w:trHeight w:val="300"/>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1BD2AC7A"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15-Feb-21</w:t>
            </w:r>
          </w:p>
        </w:tc>
        <w:tc>
          <w:tcPr>
            <w:tcW w:w="722" w:type="pct"/>
            <w:tcBorders>
              <w:top w:val="nil"/>
              <w:left w:val="nil"/>
              <w:bottom w:val="single" w:sz="4" w:space="0" w:color="auto"/>
              <w:right w:val="single" w:sz="4" w:space="0" w:color="auto"/>
            </w:tcBorders>
            <w:shd w:val="clear" w:color="auto" w:fill="auto"/>
            <w:noWrap/>
            <w:vAlign w:val="bottom"/>
            <w:hideMark/>
          </w:tcPr>
          <w:p w14:paraId="7C2F8AAD"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439.70</w:t>
            </w:r>
          </w:p>
        </w:tc>
        <w:tc>
          <w:tcPr>
            <w:tcW w:w="682" w:type="pct"/>
            <w:tcBorders>
              <w:top w:val="nil"/>
              <w:left w:val="nil"/>
              <w:bottom w:val="single" w:sz="4" w:space="0" w:color="auto"/>
              <w:right w:val="single" w:sz="4" w:space="0" w:color="auto"/>
            </w:tcBorders>
            <w:shd w:val="clear" w:color="auto" w:fill="auto"/>
            <w:noWrap/>
            <w:vAlign w:val="bottom"/>
            <w:hideMark/>
          </w:tcPr>
          <w:p w14:paraId="46E7FE31"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-0.51%</w:t>
            </w:r>
          </w:p>
        </w:tc>
        <w:tc>
          <w:tcPr>
            <w:tcW w:w="907" w:type="pct"/>
            <w:tcBorders>
              <w:top w:val="nil"/>
              <w:left w:val="nil"/>
              <w:bottom w:val="single" w:sz="4" w:space="0" w:color="auto"/>
              <w:right w:val="single" w:sz="4" w:space="0" w:color="auto"/>
            </w:tcBorders>
            <w:shd w:val="clear" w:color="auto" w:fill="auto"/>
            <w:noWrap/>
            <w:vAlign w:val="bottom"/>
            <w:hideMark/>
          </w:tcPr>
          <w:p w14:paraId="4D0F74A4"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16-Mar-21</w:t>
            </w:r>
          </w:p>
        </w:tc>
        <w:tc>
          <w:tcPr>
            <w:tcW w:w="866" w:type="pct"/>
            <w:tcBorders>
              <w:top w:val="nil"/>
              <w:left w:val="nil"/>
              <w:bottom w:val="single" w:sz="4" w:space="0" w:color="auto"/>
              <w:right w:val="single" w:sz="4" w:space="0" w:color="auto"/>
            </w:tcBorders>
            <w:shd w:val="clear" w:color="auto" w:fill="auto"/>
            <w:noWrap/>
            <w:vAlign w:val="bottom"/>
            <w:hideMark/>
          </w:tcPr>
          <w:p w14:paraId="64FAA56C"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429.25</w:t>
            </w:r>
          </w:p>
        </w:tc>
        <w:tc>
          <w:tcPr>
            <w:tcW w:w="671" w:type="pct"/>
            <w:tcBorders>
              <w:top w:val="nil"/>
              <w:left w:val="nil"/>
              <w:bottom w:val="single" w:sz="4" w:space="0" w:color="auto"/>
              <w:right w:val="single" w:sz="4" w:space="0" w:color="auto"/>
            </w:tcBorders>
            <w:shd w:val="clear" w:color="auto" w:fill="auto"/>
            <w:noWrap/>
            <w:vAlign w:val="bottom"/>
            <w:hideMark/>
          </w:tcPr>
          <w:p w14:paraId="7EA90502"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0.67%</w:t>
            </w:r>
          </w:p>
        </w:tc>
      </w:tr>
      <w:tr w:rsidR="006016B2" w:rsidRPr="006016B2" w14:paraId="4BE620DB" w14:textId="77777777" w:rsidTr="00A26BFC">
        <w:trPr>
          <w:trHeight w:val="315"/>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607650D4"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16-Feb-21</w:t>
            </w:r>
          </w:p>
        </w:tc>
        <w:tc>
          <w:tcPr>
            <w:tcW w:w="722" w:type="pct"/>
            <w:tcBorders>
              <w:top w:val="nil"/>
              <w:left w:val="nil"/>
              <w:bottom w:val="single" w:sz="4" w:space="0" w:color="auto"/>
              <w:right w:val="single" w:sz="4" w:space="0" w:color="auto"/>
            </w:tcBorders>
            <w:shd w:val="clear" w:color="auto" w:fill="auto"/>
            <w:noWrap/>
            <w:vAlign w:val="bottom"/>
            <w:hideMark/>
          </w:tcPr>
          <w:p w14:paraId="3607B393"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437.35</w:t>
            </w:r>
          </w:p>
        </w:tc>
        <w:tc>
          <w:tcPr>
            <w:tcW w:w="682" w:type="pct"/>
            <w:tcBorders>
              <w:top w:val="nil"/>
              <w:left w:val="nil"/>
              <w:bottom w:val="single" w:sz="4" w:space="0" w:color="auto"/>
              <w:right w:val="single" w:sz="4" w:space="0" w:color="auto"/>
            </w:tcBorders>
            <w:shd w:val="clear" w:color="auto" w:fill="auto"/>
            <w:noWrap/>
            <w:vAlign w:val="bottom"/>
            <w:hideMark/>
          </w:tcPr>
          <w:p w14:paraId="6080F115"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-0.53%</w:t>
            </w:r>
          </w:p>
        </w:tc>
        <w:tc>
          <w:tcPr>
            <w:tcW w:w="907" w:type="pct"/>
            <w:tcBorders>
              <w:top w:val="nil"/>
              <w:left w:val="nil"/>
              <w:bottom w:val="single" w:sz="4" w:space="0" w:color="auto"/>
              <w:right w:val="single" w:sz="4" w:space="0" w:color="auto"/>
            </w:tcBorders>
            <w:shd w:val="clear" w:color="auto" w:fill="auto"/>
            <w:noWrap/>
            <w:vAlign w:val="bottom"/>
            <w:hideMark/>
          </w:tcPr>
          <w:p w14:paraId="4DAD94EF"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17-Mar-21</w:t>
            </w:r>
          </w:p>
        </w:tc>
        <w:tc>
          <w:tcPr>
            <w:tcW w:w="866" w:type="pct"/>
            <w:tcBorders>
              <w:top w:val="nil"/>
              <w:left w:val="nil"/>
              <w:bottom w:val="single" w:sz="4" w:space="0" w:color="auto"/>
              <w:right w:val="single" w:sz="4" w:space="0" w:color="auto"/>
            </w:tcBorders>
            <w:shd w:val="clear" w:color="auto" w:fill="auto"/>
            <w:noWrap/>
            <w:vAlign w:val="bottom"/>
            <w:hideMark/>
          </w:tcPr>
          <w:p w14:paraId="17377AA8"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419.55</w:t>
            </w:r>
          </w:p>
        </w:tc>
        <w:tc>
          <w:tcPr>
            <w:tcW w:w="671" w:type="pct"/>
            <w:tcBorders>
              <w:top w:val="nil"/>
              <w:left w:val="nil"/>
              <w:bottom w:val="single" w:sz="4" w:space="0" w:color="auto"/>
              <w:right w:val="single" w:sz="4" w:space="0" w:color="auto"/>
            </w:tcBorders>
            <w:shd w:val="clear" w:color="auto" w:fill="auto"/>
            <w:noWrap/>
            <w:vAlign w:val="bottom"/>
            <w:hideMark/>
          </w:tcPr>
          <w:p w14:paraId="46692CBD"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-2.26%</w:t>
            </w:r>
          </w:p>
        </w:tc>
      </w:tr>
      <w:tr w:rsidR="006016B2" w:rsidRPr="006016B2" w14:paraId="721219BF" w14:textId="77777777" w:rsidTr="00A26BFC">
        <w:trPr>
          <w:trHeight w:val="300"/>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5687555D"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17-Feb-21</w:t>
            </w:r>
          </w:p>
        </w:tc>
        <w:tc>
          <w:tcPr>
            <w:tcW w:w="722" w:type="pct"/>
            <w:tcBorders>
              <w:top w:val="nil"/>
              <w:left w:val="nil"/>
              <w:bottom w:val="single" w:sz="4" w:space="0" w:color="auto"/>
              <w:right w:val="single" w:sz="4" w:space="0" w:color="auto"/>
            </w:tcBorders>
            <w:shd w:val="clear" w:color="auto" w:fill="auto"/>
            <w:noWrap/>
            <w:vAlign w:val="bottom"/>
            <w:hideMark/>
          </w:tcPr>
          <w:p w14:paraId="20E2A887"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430.30</w:t>
            </w:r>
          </w:p>
        </w:tc>
        <w:tc>
          <w:tcPr>
            <w:tcW w:w="682" w:type="pct"/>
            <w:tcBorders>
              <w:top w:val="nil"/>
              <w:left w:val="nil"/>
              <w:bottom w:val="single" w:sz="4" w:space="0" w:color="auto"/>
              <w:right w:val="single" w:sz="4" w:space="0" w:color="auto"/>
            </w:tcBorders>
            <w:shd w:val="clear" w:color="auto" w:fill="auto"/>
            <w:noWrap/>
            <w:vAlign w:val="bottom"/>
            <w:hideMark/>
          </w:tcPr>
          <w:p w14:paraId="3268116B"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-1.61%</w:t>
            </w:r>
          </w:p>
        </w:tc>
        <w:tc>
          <w:tcPr>
            <w:tcW w:w="907" w:type="pct"/>
            <w:tcBorders>
              <w:top w:val="nil"/>
              <w:left w:val="nil"/>
              <w:bottom w:val="single" w:sz="4" w:space="0" w:color="auto"/>
              <w:right w:val="single" w:sz="4" w:space="0" w:color="auto"/>
            </w:tcBorders>
            <w:shd w:val="clear" w:color="auto" w:fill="auto"/>
            <w:noWrap/>
            <w:vAlign w:val="bottom"/>
            <w:hideMark/>
          </w:tcPr>
          <w:p w14:paraId="5D710F8F"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18-Mar-21</w:t>
            </w:r>
          </w:p>
        </w:tc>
        <w:tc>
          <w:tcPr>
            <w:tcW w:w="866" w:type="pct"/>
            <w:tcBorders>
              <w:top w:val="nil"/>
              <w:left w:val="nil"/>
              <w:bottom w:val="single" w:sz="4" w:space="0" w:color="auto"/>
              <w:right w:val="single" w:sz="4" w:space="0" w:color="auto"/>
            </w:tcBorders>
            <w:shd w:val="clear" w:color="auto" w:fill="auto"/>
            <w:noWrap/>
            <w:vAlign w:val="bottom"/>
            <w:hideMark/>
          </w:tcPr>
          <w:p w14:paraId="556ECB0C"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410.10</w:t>
            </w:r>
          </w:p>
        </w:tc>
        <w:tc>
          <w:tcPr>
            <w:tcW w:w="671" w:type="pct"/>
            <w:tcBorders>
              <w:top w:val="nil"/>
              <w:left w:val="nil"/>
              <w:bottom w:val="single" w:sz="4" w:space="0" w:color="auto"/>
              <w:right w:val="single" w:sz="4" w:space="0" w:color="auto"/>
            </w:tcBorders>
            <w:shd w:val="clear" w:color="auto" w:fill="auto"/>
            <w:noWrap/>
            <w:vAlign w:val="bottom"/>
            <w:hideMark/>
          </w:tcPr>
          <w:p w14:paraId="16706CF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-2.25%</w:t>
            </w:r>
          </w:p>
        </w:tc>
      </w:tr>
      <w:tr w:rsidR="006016B2" w:rsidRPr="006016B2" w14:paraId="69FC0F60" w14:textId="77777777" w:rsidTr="00A26BFC">
        <w:trPr>
          <w:trHeight w:val="315"/>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3B72AD8C"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18-Feb-21</w:t>
            </w:r>
          </w:p>
        </w:tc>
        <w:tc>
          <w:tcPr>
            <w:tcW w:w="722" w:type="pct"/>
            <w:tcBorders>
              <w:top w:val="nil"/>
              <w:left w:val="nil"/>
              <w:bottom w:val="single" w:sz="4" w:space="0" w:color="auto"/>
              <w:right w:val="single" w:sz="4" w:space="0" w:color="auto"/>
            </w:tcBorders>
            <w:shd w:val="clear" w:color="auto" w:fill="auto"/>
            <w:noWrap/>
            <w:vAlign w:val="bottom"/>
            <w:hideMark/>
          </w:tcPr>
          <w:p w14:paraId="3978A2C2"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433.00</w:t>
            </w:r>
          </w:p>
        </w:tc>
        <w:tc>
          <w:tcPr>
            <w:tcW w:w="682" w:type="pct"/>
            <w:tcBorders>
              <w:top w:val="nil"/>
              <w:left w:val="nil"/>
              <w:bottom w:val="single" w:sz="4" w:space="0" w:color="auto"/>
              <w:right w:val="single" w:sz="4" w:space="0" w:color="auto"/>
            </w:tcBorders>
            <w:shd w:val="clear" w:color="auto" w:fill="auto"/>
            <w:noWrap/>
            <w:vAlign w:val="bottom"/>
            <w:hideMark/>
          </w:tcPr>
          <w:p w14:paraId="6408D094"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0.63%</w:t>
            </w:r>
          </w:p>
        </w:tc>
        <w:tc>
          <w:tcPr>
            <w:tcW w:w="907" w:type="pct"/>
            <w:tcBorders>
              <w:top w:val="nil"/>
              <w:left w:val="nil"/>
              <w:bottom w:val="single" w:sz="4" w:space="0" w:color="auto"/>
              <w:right w:val="single" w:sz="4" w:space="0" w:color="auto"/>
            </w:tcBorders>
            <w:shd w:val="clear" w:color="auto" w:fill="auto"/>
            <w:noWrap/>
            <w:vAlign w:val="bottom"/>
            <w:hideMark/>
          </w:tcPr>
          <w:p w14:paraId="4136B161"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19-Mar-21</w:t>
            </w:r>
          </w:p>
        </w:tc>
        <w:tc>
          <w:tcPr>
            <w:tcW w:w="866" w:type="pct"/>
            <w:tcBorders>
              <w:top w:val="nil"/>
              <w:left w:val="nil"/>
              <w:bottom w:val="single" w:sz="4" w:space="0" w:color="auto"/>
              <w:right w:val="single" w:sz="4" w:space="0" w:color="auto"/>
            </w:tcBorders>
            <w:shd w:val="clear" w:color="auto" w:fill="auto"/>
            <w:noWrap/>
            <w:vAlign w:val="bottom"/>
            <w:hideMark/>
          </w:tcPr>
          <w:p w14:paraId="6A3FBA7D"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410.55</w:t>
            </w:r>
          </w:p>
        </w:tc>
        <w:tc>
          <w:tcPr>
            <w:tcW w:w="671" w:type="pct"/>
            <w:tcBorders>
              <w:top w:val="nil"/>
              <w:left w:val="nil"/>
              <w:bottom w:val="single" w:sz="4" w:space="0" w:color="auto"/>
              <w:right w:val="single" w:sz="4" w:space="0" w:color="auto"/>
            </w:tcBorders>
            <w:shd w:val="clear" w:color="auto" w:fill="auto"/>
            <w:noWrap/>
            <w:vAlign w:val="bottom"/>
            <w:hideMark/>
          </w:tcPr>
          <w:p w14:paraId="29E24EF6"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0.11%</w:t>
            </w:r>
          </w:p>
        </w:tc>
      </w:tr>
      <w:tr w:rsidR="006016B2" w:rsidRPr="006016B2" w14:paraId="6BF73485" w14:textId="77777777" w:rsidTr="00A26BFC">
        <w:trPr>
          <w:trHeight w:val="300"/>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05E6D82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19-Feb-21</w:t>
            </w:r>
          </w:p>
        </w:tc>
        <w:tc>
          <w:tcPr>
            <w:tcW w:w="722" w:type="pct"/>
            <w:tcBorders>
              <w:top w:val="nil"/>
              <w:left w:val="nil"/>
              <w:bottom w:val="single" w:sz="4" w:space="0" w:color="auto"/>
              <w:right w:val="single" w:sz="4" w:space="0" w:color="auto"/>
            </w:tcBorders>
            <w:shd w:val="clear" w:color="auto" w:fill="auto"/>
            <w:noWrap/>
            <w:vAlign w:val="bottom"/>
            <w:hideMark/>
          </w:tcPr>
          <w:p w14:paraId="04000B52"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429.90</w:t>
            </w:r>
          </w:p>
        </w:tc>
        <w:tc>
          <w:tcPr>
            <w:tcW w:w="682" w:type="pct"/>
            <w:tcBorders>
              <w:top w:val="nil"/>
              <w:left w:val="nil"/>
              <w:bottom w:val="single" w:sz="4" w:space="0" w:color="auto"/>
              <w:right w:val="single" w:sz="4" w:space="0" w:color="auto"/>
            </w:tcBorders>
            <w:shd w:val="clear" w:color="auto" w:fill="auto"/>
            <w:noWrap/>
            <w:vAlign w:val="bottom"/>
            <w:hideMark/>
          </w:tcPr>
          <w:p w14:paraId="10BEFB85"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-0.72%</w:t>
            </w:r>
          </w:p>
        </w:tc>
        <w:tc>
          <w:tcPr>
            <w:tcW w:w="907" w:type="pct"/>
            <w:tcBorders>
              <w:top w:val="nil"/>
              <w:left w:val="nil"/>
              <w:bottom w:val="single" w:sz="4" w:space="0" w:color="auto"/>
              <w:right w:val="single" w:sz="4" w:space="0" w:color="auto"/>
            </w:tcBorders>
            <w:shd w:val="clear" w:color="auto" w:fill="auto"/>
            <w:noWrap/>
            <w:vAlign w:val="bottom"/>
            <w:hideMark/>
          </w:tcPr>
          <w:p w14:paraId="09C3CFAC"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22-Mar-21</w:t>
            </w:r>
          </w:p>
        </w:tc>
        <w:tc>
          <w:tcPr>
            <w:tcW w:w="866" w:type="pct"/>
            <w:tcBorders>
              <w:top w:val="nil"/>
              <w:left w:val="nil"/>
              <w:bottom w:val="single" w:sz="4" w:space="0" w:color="auto"/>
              <w:right w:val="single" w:sz="4" w:space="0" w:color="auto"/>
            </w:tcBorders>
            <w:shd w:val="clear" w:color="auto" w:fill="auto"/>
            <w:noWrap/>
            <w:vAlign w:val="bottom"/>
            <w:hideMark/>
          </w:tcPr>
          <w:p w14:paraId="3802AF5C"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414.15</w:t>
            </w:r>
          </w:p>
        </w:tc>
        <w:tc>
          <w:tcPr>
            <w:tcW w:w="671" w:type="pct"/>
            <w:tcBorders>
              <w:top w:val="nil"/>
              <w:left w:val="nil"/>
              <w:bottom w:val="single" w:sz="4" w:space="0" w:color="auto"/>
              <w:right w:val="single" w:sz="4" w:space="0" w:color="auto"/>
            </w:tcBorders>
            <w:shd w:val="clear" w:color="auto" w:fill="auto"/>
            <w:noWrap/>
            <w:vAlign w:val="bottom"/>
            <w:hideMark/>
          </w:tcPr>
          <w:p w14:paraId="5A0E26E6"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0.88%</w:t>
            </w:r>
          </w:p>
        </w:tc>
      </w:tr>
      <w:tr w:rsidR="006016B2" w:rsidRPr="006016B2" w14:paraId="0D43086A" w14:textId="77777777" w:rsidTr="00A26BFC">
        <w:trPr>
          <w:trHeight w:val="300"/>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05A6D2E6"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22-Feb-21</w:t>
            </w:r>
          </w:p>
        </w:tc>
        <w:tc>
          <w:tcPr>
            <w:tcW w:w="722" w:type="pct"/>
            <w:tcBorders>
              <w:top w:val="nil"/>
              <w:left w:val="nil"/>
              <w:bottom w:val="single" w:sz="4" w:space="0" w:color="auto"/>
              <w:right w:val="single" w:sz="4" w:space="0" w:color="auto"/>
            </w:tcBorders>
            <w:shd w:val="clear" w:color="auto" w:fill="auto"/>
            <w:noWrap/>
            <w:vAlign w:val="bottom"/>
            <w:hideMark/>
          </w:tcPr>
          <w:p w14:paraId="6BF56957"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418.70</w:t>
            </w:r>
          </w:p>
        </w:tc>
        <w:tc>
          <w:tcPr>
            <w:tcW w:w="682" w:type="pct"/>
            <w:tcBorders>
              <w:top w:val="nil"/>
              <w:left w:val="nil"/>
              <w:bottom w:val="single" w:sz="4" w:space="0" w:color="auto"/>
              <w:right w:val="single" w:sz="4" w:space="0" w:color="auto"/>
            </w:tcBorders>
            <w:shd w:val="clear" w:color="auto" w:fill="auto"/>
            <w:noWrap/>
            <w:vAlign w:val="bottom"/>
            <w:hideMark/>
          </w:tcPr>
          <w:p w14:paraId="40D719C1"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-2.61%</w:t>
            </w:r>
          </w:p>
        </w:tc>
        <w:tc>
          <w:tcPr>
            <w:tcW w:w="907" w:type="pct"/>
            <w:tcBorders>
              <w:top w:val="nil"/>
              <w:left w:val="nil"/>
              <w:bottom w:val="single" w:sz="4" w:space="0" w:color="auto"/>
              <w:right w:val="single" w:sz="4" w:space="0" w:color="auto"/>
            </w:tcBorders>
            <w:shd w:val="clear" w:color="auto" w:fill="auto"/>
            <w:noWrap/>
            <w:vAlign w:val="bottom"/>
            <w:hideMark/>
          </w:tcPr>
          <w:p w14:paraId="1703D15D"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23-Mar-21</w:t>
            </w:r>
          </w:p>
        </w:tc>
        <w:tc>
          <w:tcPr>
            <w:tcW w:w="866" w:type="pct"/>
            <w:tcBorders>
              <w:top w:val="nil"/>
              <w:left w:val="nil"/>
              <w:bottom w:val="single" w:sz="4" w:space="0" w:color="auto"/>
              <w:right w:val="single" w:sz="4" w:space="0" w:color="auto"/>
            </w:tcBorders>
            <w:shd w:val="clear" w:color="auto" w:fill="auto"/>
            <w:noWrap/>
            <w:vAlign w:val="bottom"/>
            <w:hideMark/>
          </w:tcPr>
          <w:p w14:paraId="0883A4DF"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415.65</w:t>
            </w:r>
          </w:p>
        </w:tc>
        <w:tc>
          <w:tcPr>
            <w:tcW w:w="671" w:type="pct"/>
            <w:tcBorders>
              <w:top w:val="nil"/>
              <w:left w:val="nil"/>
              <w:bottom w:val="single" w:sz="4" w:space="0" w:color="auto"/>
              <w:right w:val="single" w:sz="4" w:space="0" w:color="auto"/>
            </w:tcBorders>
            <w:shd w:val="clear" w:color="auto" w:fill="auto"/>
            <w:noWrap/>
            <w:vAlign w:val="bottom"/>
            <w:hideMark/>
          </w:tcPr>
          <w:p w14:paraId="3D58A873"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0.36%</w:t>
            </w:r>
          </w:p>
        </w:tc>
      </w:tr>
      <w:tr w:rsidR="006016B2" w:rsidRPr="006016B2" w14:paraId="49441400" w14:textId="77777777" w:rsidTr="00A26BFC">
        <w:trPr>
          <w:trHeight w:val="300"/>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5FA68CAB"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23-Feb-21</w:t>
            </w:r>
          </w:p>
        </w:tc>
        <w:tc>
          <w:tcPr>
            <w:tcW w:w="722" w:type="pct"/>
            <w:tcBorders>
              <w:top w:val="nil"/>
              <w:left w:val="nil"/>
              <w:bottom w:val="single" w:sz="4" w:space="0" w:color="auto"/>
              <w:right w:val="single" w:sz="4" w:space="0" w:color="auto"/>
            </w:tcBorders>
            <w:shd w:val="clear" w:color="auto" w:fill="auto"/>
            <w:noWrap/>
            <w:vAlign w:val="bottom"/>
            <w:hideMark/>
          </w:tcPr>
          <w:p w14:paraId="136F64E0"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415.50</w:t>
            </w:r>
          </w:p>
        </w:tc>
        <w:tc>
          <w:tcPr>
            <w:tcW w:w="682" w:type="pct"/>
            <w:tcBorders>
              <w:top w:val="nil"/>
              <w:left w:val="nil"/>
              <w:bottom w:val="single" w:sz="4" w:space="0" w:color="auto"/>
              <w:right w:val="single" w:sz="4" w:space="0" w:color="auto"/>
            </w:tcBorders>
            <w:shd w:val="clear" w:color="auto" w:fill="auto"/>
            <w:noWrap/>
            <w:vAlign w:val="bottom"/>
            <w:hideMark/>
          </w:tcPr>
          <w:p w14:paraId="337D964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-0.76%</w:t>
            </w:r>
          </w:p>
        </w:tc>
        <w:tc>
          <w:tcPr>
            <w:tcW w:w="907" w:type="pct"/>
            <w:tcBorders>
              <w:top w:val="nil"/>
              <w:left w:val="nil"/>
              <w:bottom w:val="single" w:sz="4" w:space="0" w:color="auto"/>
              <w:right w:val="single" w:sz="4" w:space="0" w:color="auto"/>
            </w:tcBorders>
            <w:shd w:val="clear" w:color="auto" w:fill="auto"/>
            <w:noWrap/>
            <w:vAlign w:val="bottom"/>
            <w:hideMark/>
          </w:tcPr>
          <w:p w14:paraId="73FBF943"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24-Mar-21</w:t>
            </w:r>
          </w:p>
        </w:tc>
        <w:tc>
          <w:tcPr>
            <w:tcW w:w="866" w:type="pct"/>
            <w:tcBorders>
              <w:top w:val="nil"/>
              <w:left w:val="nil"/>
              <w:bottom w:val="single" w:sz="4" w:space="0" w:color="auto"/>
              <w:right w:val="single" w:sz="4" w:space="0" w:color="auto"/>
            </w:tcBorders>
            <w:shd w:val="clear" w:color="auto" w:fill="auto"/>
            <w:noWrap/>
            <w:vAlign w:val="bottom"/>
            <w:hideMark/>
          </w:tcPr>
          <w:p w14:paraId="249671C2"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410.95</w:t>
            </w:r>
          </w:p>
        </w:tc>
        <w:tc>
          <w:tcPr>
            <w:tcW w:w="671" w:type="pct"/>
            <w:tcBorders>
              <w:top w:val="nil"/>
              <w:left w:val="nil"/>
              <w:bottom w:val="single" w:sz="4" w:space="0" w:color="auto"/>
              <w:right w:val="single" w:sz="4" w:space="0" w:color="auto"/>
            </w:tcBorders>
            <w:shd w:val="clear" w:color="auto" w:fill="auto"/>
            <w:noWrap/>
            <w:vAlign w:val="bottom"/>
            <w:hideMark/>
          </w:tcPr>
          <w:p w14:paraId="3A96E10A"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-1.13%</w:t>
            </w:r>
          </w:p>
        </w:tc>
      </w:tr>
      <w:tr w:rsidR="006016B2" w:rsidRPr="006016B2" w14:paraId="4FF011DE" w14:textId="77777777" w:rsidTr="00A26BFC">
        <w:trPr>
          <w:trHeight w:val="315"/>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53C015E5"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24-Feb-21</w:t>
            </w:r>
          </w:p>
        </w:tc>
        <w:tc>
          <w:tcPr>
            <w:tcW w:w="722" w:type="pct"/>
            <w:tcBorders>
              <w:top w:val="nil"/>
              <w:left w:val="nil"/>
              <w:bottom w:val="single" w:sz="4" w:space="0" w:color="auto"/>
              <w:right w:val="single" w:sz="4" w:space="0" w:color="auto"/>
            </w:tcBorders>
            <w:shd w:val="clear" w:color="auto" w:fill="auto"/>
            <w:noWrap/>
            <w:vAlign w:val="bottom"/>
            <w:hideMark/>
          </w:tcPr>
          <w:p w14:paraId="0B14E07D"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420.20</w:t>
            </w:r>
          </w:p>
        </w:tc>
        <w:tc>
          <w:tcPr>
            <w:tcW w:w="682" w:type="pct"/>
            <w:tcBorders>
              <w:top w:val="nil"/>
              <w:left w:val="nil"/>
              <w:bottom w:val="single" w:sz="4" w:space="0" w:color="auto"/>
              <w:right w:val="single" w:sz="4" w:space="0" w:color="auto"/>
            </w:tcBorders>
            <w:shd w:val="clear" w:color="auto" w:fill="auto"/>
            <w:noWrap/>
            <w:vAlign w:val="bottom"/>
            <w:hideMark/>
          </w:tcPr>
          <w:p w14:paraId="3AF4DD46"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1.13%</w:t>
            </w:r>
          </w:p>
        </w:tc>
        <w:tc>
          <w:tcPr>
            <w:tcW w:w="907" w:type="pct"/>
            <w:tcBorders>
              <w:top w:val="nil"/>
              <w:left w:val="nil"/>
              <w:bottom w:val="single" w:sz="4" w:space="0" w:color="auto"/>
              <w:right w:val="single" w:sz="4" w:space="0" w:color="auto"/>
            </w:tcBorders>
            <w:shd w:val="clear" w:color="auto" w:fill="auto"/>
            <w:noWrap/>
            <w:vAlign w:val="bottom"/>
            <w:hideMark/>
          </w:tcPr>
          <w:p w14:paraId="5ED9934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25-Mar-21</w:t>
            </w:r>
          </w:p>
        </w:tc>
        <w:tc>
          <w:tcPr>
            <w:tcW w:w="866" w:type="pct"/>
            <w:tcBorders>
              <w:top w:val="nil"/>
              <w:left w:val="nil"/>
              <w:bottom w:val="single" w:sz="4" w:space="0" w:color="auto"/>
              <w:right w:val="single" w:sz="4" w:space="0" w:color="auto"/>
            </w:tcBorders>
            <w:shd w:val="clear" w:color="auto" w:fill="auto"/>
            <w:noWrap/>
            <w:vAlign w:val="bottom"/>
            <w:hideMark/>
          </w:tcPr>
          <w:p w14:paraId="5BF4FF1C"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399.80</w:t>
            </w:r>
          </w:p>
        </w:tc>
        <w:tc>
          <w:tcPr>
            <w:tcW w:w="671" w:type="pct"/>
            <w:tcBorders>
              <w:top w:val="nil"/>
              <w:left w:val="nil"/>
              <w:bottom w:val="single" w:sz="4" w:space="0" w:color="auto"/>
              <w:right w:val="single" w:sz="4" w:space="0" w:color="auto"/>
            </w:tcBorders>
            <w:shd w:val="clear" w:color="auto" w:fill="auto"/>
            <w:noWrap/>
            <w:vAlign w:val="bottom"/>
            <w:hideMark/>
          </w:tcPr>
          <w:p w14:paraId="60EBC4F7"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-2.71%</w:t>
            </w:r>
          </w:p>
        </w:tc>
      </w:tr>
      <w:tr w:rsidR="006016B2" w:rsidRPr="006016B2" w14:paraId="554C6013" w14:textId="77777777" w:rsidTr="00A26BFC">
        <w:trPr>
          <w:trHeight w:val="315"/>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47EA5F32"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25-Feb-21</w:t>
            </w:r>
          </w:p>
        </w:tc>
        <w:tc>
          <w:tcPr>
            <w:tcW w:w="722" w:type="pct"/>
            <w:tcBorders>
              <w:top w:val="nil"/>
              <w:left w:val="nil"/>
              <w:bottom w:val="single" w:sz="4" w:space="0" w:color="auto"/>
              <w:right w:val="single" w:sz="4" w:space="0" w:color="auto"/>
            </w:tcBorders>
            <w:shd w:val="clear" w:color="auto" w:fill="auto"/>
            <w:noWrap/>
            <w:vAlign w:val="bottom"/>
            <w:hideMark/>
          </w:tcPr>
          <w:p w14:paraId="0552CA13"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421.40</w:t>
            </w:r>
          </w:p>
        </w:tc>
        <w:tc>
          <w:tcPr>
            <w:tcW w:w="682" w:type="pct"/>
            <w:tcBorders>
              <w:top w:val="nil"/>
              <w:left w:val="nil"/>
              <w:bottom w:val="single" w:sz="4" w:space="0" w:color="auto"/>
              <w:right w:val="single" w:sz="4" w:space="0" w:color="auto"/>
            </w:tcBorders>
            <w:shd w:val="clear" w:color="auto" w:fill="auto"/>
            <w:noWrap/>
            <w:vAlign w:val="bottom"/>
            <w:hideMark/>
          </w:tcPr>
          <w:p w14:paraId="541EE443"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0.29%</w:t>
            </w:r>
          </w:p>
        </w:tc>
        <w:tc>
          <w:tcPr>
            <w:tcW w:w="907" w:type="pct"/>
            <w:tcBorders>
              <w:top w:val="nil"/>
              <w:left w:val="nil"/>
              <w:bottom w:val="single" w:sz="4" w:space="0" w:color="auto"/>
              <w:right w:val="single" w:sz="4" w:space="0" w:color="auto"/>
            </w:tcBorders>
            <w:shd w:val="clear" w:color="auto" w:fill="auto"/>
            <w:noWrap/>
            <w:vAlign w:val="bottom"/>
            <w:hideMark/>
          </w:tcPr>
          <w:p w14:paraId="4027C25F"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26-Mar-21</w:t>
            </w:r>
          </w:p>
        </w:tc>
        <w:tc>
          <w:tcPr>
            <w:tcW w:w="866" w:type="pct"/>
            <w:tcBorders>
              <w:top w:val="nil"/>
              <w:left w:val="nil"/>
              <w:bottom w:val="single" w:sz="4" w:space="0" w:color="auto"/>
              <w:right w:val="single" w:sz="4" w:space="0" w:color="auto"/>
            </w:tcBorders>
            <w:shd w:val="clear" w:color="auto" w:fill="auto"/>
            <w:noWrap/>
            <w:vAlign w:val="bottom"/>
            <w:hideMark/>
          </w:tcPr>
          <w:p w14:paraId="50587CCB"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403.85</w:t>
            </w:r>
          </w:p>
        </w:tc>
        <w:tc>
          <w:tcPr>
            <w:tcW w:w="671" w:type="pct"/>
            <w:tcBorders>
              <w:top w:val="nil"/>
              <w:left w:val="nil"/>
              <w:bottom w:val="single" w:sz="4" w:space="0" w:color="auto"/>
              <w:right w:val="single" w:sz="4" w:space="0" w:color="auto"/>
            </w:tcBorders>
            <w:shd w:val="clear" w:color="auto" w:fill="auto"/>
            <w:noWrap/>
            <w:vAlign w:val="bottom"/>
            <w:hideMark/>
          </w:tcPr>
          <w:p w14:paraId="6DB8601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1.01%</w:t>
            </w:r>
          </w:p>
        </w:tc>
      </w:tr>
      <w:tr w:rsidR="006016B2" w:rsidRPr="006016B2" w14:paraId="5B274B0F" w14:textId="77777777" w:rsidTr="00A26BFC">
        <w:trPr>
          <w:trHeight w:val="300"/>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6E0E986F"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26-Feb-21</w:t>
            </w:r>
          </w:p>
        </w:tc>
        <w:tc>
          <w:tcPr>
            <w:tcW w:w="722" w:type="pct"/>
            <w:tcBorders>
              <w:top w:val="nil"/>
              <w:left w:val="nil"/>
              <w:bottom w:val="single" w:sz="4" w:space="0" w:color="auto"/>
              <w:right w:val="single" w:sz="4" w:space="0" w:color="auto"/>
            </w:tcBorders>
            <w:shd w:val="clear" w:color="auto" w:fill="auto"/>
            <w:noWrap/>
            <w:vAlign w:val="bottom"/>
            <w:hideMark/>
          </w:tcPr>
          <w:p w14:paraId="40FACAD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410.20</w:t>
            </w:r>
          </w:p>
        </w:tc>
        <w:tc>
          <w:tcPr>
            <w:tcW w:w="682" w:type="pct"/>
            <w:tcBorders>
              <w:top w:val="nil"/>
              <w:left w:val="nil"/>
              <w:bottom w:val="single" w:sz="4" w:space="0" w:color="auto"/>
              <w:right w:val="single" w:sz="4" w:space="0" w:color="auto"/>
            </w:tcBorders>
            <w:shd w:val="clear" w:color="auto" w:fill="auto"/>
            <w:noWrap/>
            <w:vAlign w:val="bottom"/>
            <w:hideMark/>
          </w:tcPr>
          <w:p w14:paraId="704579E4"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-2.66%</w:t>
            </w:r>
          </w:p>
        </w:tc>
        <w:tc>
          <w:tcPr>
            <w:tcW w:w="907" w:type="pct"/>
            <w:tcBorders>
              <w:top w:val="nil"/>
              <w:left w:val="nil"/>
              <w:bottom w:val="single" w:sz="4" w:space="0" w:color="auto"/>
              <w:right w:val="single" w:sz="4" w:space="0" w:color="auto"/>
            </w:tcBorders>
            <w:shd w:val="clear" w:color="auto" w:fill="auto"/>
            <w:noWrap/>
            <w:vAlign w:val="bottom"/>
            <w:hideMark/>
          </w:tcPr>
          <w:p w14:paraId="34621877"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30-Mar-21</w:t>
            </w:r>
          </w:p>
        </w:tc>
        <w:tc>
          <w:tcPr>
            <w:tcW w:w="866" w:type="pct"/>
            <w:tcBorders>
              <w:top w:val="nil"/>
              <w:left w:val="nil"/>
              <w:bottom w:val="single" w:sz="4" w:space="0" w:color="auto"/>
              <w:right w:val="single" w:sz="4" w:space="0" w:color="auto"/>
            </w:tcBorders>
            <w:shd w:val="clear" w:color="auto" w:fill="auto"/>
            <w:noWrap/>
            <w:vAlign w:val="bottom"/>
            <w:hideMark/>
          </w:tcPr>
          <w:p w14:paraId="325151CB"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417.90</w:t>
            </w:r>
          </w:p>
        </w:tc>
        <w:tc>
          <w:tcPr>
            <w:tcW w:w="671" w:type="pct"/>
            <w:tcBorders>
              <w:top w:val="nil"/>
              <w:left w:val="nil"/>
              <w:bottom w:val="single" w:sz="4" w:space="0" w:color="auto"/>
              <w:right w:val="single" w:sz="4" w:space="0" w:color="auto"/>
            </w:tcBorders>
            <w:shd w:val="clear" w:color="auto" w:fill="auto"/>
            <w:noWrap/>
            <w:vAlign w:val="bottom"/>
            <w:hideMark/>
          </w:tcPr>
          <w:p w14:paraId="74BB93F0"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3.48%</w:t>
            </w:r>
          </w:p>
        </w:tc>
      </w:tr>
      <w:tr w:rsidR="006016B2" w:rsidRPr="006016B2" w14:paraId="62211562" w14:textId="77777777" w:rsidTr="00A26BFC">
        <w:trPr>
          <w:trHeight w:val="300"/>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0D775572"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1-Mar-21</w:t>
            </w:r>
          </w:p>
        </w:tc>
        <w:tc>
          <w:tcPr>
            <w:tcW w:w="722" w:type="pct"/>
            <w:tcBorders>
              <w:top w:val="nil"/>
              <w:left w:val="nil"/>
              <w:bottom w:val="single" w:sz="4" w:space="0" w:color="auto"/>
              <w:right w:val="single" w:sz="4" w:space="0" w:color="auto"/>
            </w:tcBorders>
            <w:shd w:val="clear" w:color="auto" w:fill="auto"/>
            <w:noWrap/>
            <w:vAlign w:val="bottom"/>
            <w:hideMark/>
          </w:tcPr>
          <w:p w14:paraId="3615A578"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414.35</w:t>
            </w:r>
          </w:p>
        </w:tc>
        <w:tc>
          <w:tcPr>
            <w:tcW w:w="682" w:type="pct"/>
            <w:tcBorders>
              <w:top w:val="nil"/>
              <w:left w:val="nil"/>
              <w:bottom w:val="single" w:sz="4" w:space="0" w:color="auto"/>
              <w:right w:val="single" w:sz="4" w:space="0" w:color="auto"/>
            </w:tcBorders>
            <w:shd w:val="clear" w:color="auto" w:fill="auto"/>
            <w:noWrap/>
            <w:vAlign w:val="bottom"/>
            <w:hideMark/>
          </w:tcPr>
          <w:p w14:paraId="7779C921"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1.01%</w:t>
            </w:r>
          </w:p>
        </w:tc>
        <w:tc>
          <w:tcPr>
            <w:tcW w:w="907" w:type="pct"/>
            <w:tcBorders>
              <w:top w:val="nil"/>
              <w:left w:val="nil"/>
              <w:bottom w:val="single" w:sz="4" w:space="0" w:color="auto"/>
              <w:right w:val="single" w:sz="4" w:space="0" w:color="auto"/>
            </w:tcBorders>
            <w:shd w:val="clear" w:color="auto" w:fill="auto"/>
            <w:noWrap/>
            <w:vAlign w:val="bottom"/>
            <w:hideMark/>
          </w:tcPr>
          <w:p w14:paraId="1625DD58"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31-Mar-21</w:t>
            </w:r>
          </w:p>
        </w:tc>
        <w:tc>
          <w:tcPr>
            <w:tcW w:w="866" w:type="pct"/>
            <w:tcBorders>
              <w:top w:val="nil"/>
              <w:left w:val="nil"/>
              <w:bottom w:val="single" w:sz="4" w:space="0" w:color="auto"/>
              <w:right w:val="single" w:sz="4" w:space="0" w:color="auto"/>
            </w:tcBorders>
            <w:shd w:val="clear" w:color="auto" w:fill="auto"/>
            <w:noWrap/>
            <w:vAlign w:val="bottom"/>
            <w:hideMark/>
          </w:tcPr>
          <w:p w14:paraId="45A9313D"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414.20</w:t>
            </w:r>
          </w:p>
        </w:tc>
        <w:tc>
          <w:tcPr>
            <w:tcW w:w="671" w:type="pct"/>
            <w:tcBorders>
              <w:top w:val="nil"/>
              <w:left w:val="nil"/>
              <w:bottom w:val="single" w:sz="4" w:space="0" w:color="auto"/>
              <w:right w:val="single" w:sz="4" w:space="0" w:color="auto"/>
            </w:tcBorders>
            <w:shd w:val="clear" w:color="auto" w:fill="auto"/>
            <w:noWrap/>
            <w:vAlign w:val="bottom"/>
            <w:hideMark/>
          </w:tcPr>
          <w:p w14:paraId="06D2DAD0"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-0.89%</w:t>
            </w:r>
          </w:p>
        </w:tc>
      </w:tr>
      <w:tr w:rsidR="006016B2" w:rsidRPr="006016B2" w14:paraId="3B75D6C4" w14:textId="77777777" w:rsidTr="00A26BFC">
        <w:trPr>
          <w:trHeight w:val="315"/>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2A3E36C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2-Mar-21</w:t>
            </w:r>
          </w:p>
        </w:tc>
        <w:tc>
          <w:tcPr>
            <w:tcW w:w="722" w:type="pct"/>
            <w:tcBorders>
              <w:top w:val="nil"/>
              <w:left w:val="nil"/>
              <w:bottom w:val="single" w:sz="4" w:space="0" w:color="auto"/>
              <w:right w:val="single" w:sz="4" w:space="0" w:color="auto"/>
            </w:tcBorders>
            <w:shd w:val="clear" w:color="auto" w:fill="auto"/>
            <w:noWrap/>
            <w:vAlign w:val="bottom"/>
            <w:hideMark/>
          </w:tcPr>
          <w:p w14:paraId="2FC94D63"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430.70</w:t>
            </w:r>
          </w:p>
        </w:tc>
        <w:tc>
          <w:tcPr>
            <w:tcW w:w="682" w:type="pct"/>
            <w:tcBorders>
              <w:top w:val="nil"/>
              <w:left w:val="nil"/>
              <w:bottom w:val="single" w:sz="4" w:space="0" w:color="auto"/>
              <w:right w:val="single" w:sz="4" w:space="0" w:color="auto"/>
            </w:tcBorders>
            <w:shd w:val="clear" w:color="auto" w:fill="auto"/>
            <w:noWrap/>
            <w:vAlign w:val="bottom"/>
            <w:hideMark/>
          </w:tcPr>
          <w:p w14:paraId="58AA8C8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3.95%</w:t>
            </w:r>
          </w:p>
        </w:tc>
        <w:tc>
          <w:tcPr>
            <w:tcW w:w="907" w:type="pct"/>
            <w:tcBorders>
              <w:top w:val="nil"/>
              <w:left w:val="nil"/>
              <w:bottom w:val="single" w:sz="4" w:space="0" w:color="auto"/>
              <w:right w:val="single" w:sz="4" w:space="0" w:color="auto"/>
            </w:tcBorders>
            <w:shd w:val="clear" w:color="auto" w:fill="auto"/>
            <w:noWrap/>
            <w:vAlign w:val="bottom"/>
            <w:hideMark/>
          </w:tcPr>
          <w:p w14:paraId="21DF0944"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1-Apr-21</w:t>
            </w:r>
          </w:p>
        </w:tc>
        <w:tc>
          <w:tcPr>
            <w:tcW w:w="866" w:type="pct"/>
            <w:tcBorders>
              <w:top w:val="nil"/>
              <w:left w:val="nil"/>
              <w:bottom w:val="single" w:sz="4" w:space="0" w:color="auto"/>
              <w:right w:val="single" w:sz="4" w:space="0" w:color="auto"/>
            </w:tcBorders>
            <w:shd w:val="clear" w:color="auto" w:fill="auto"/>
            <w:noWrap/>
            <w:vAlign w:val="bottom"/>
            <w:hideMark/>
          </w:tcPr>
          <w:p w14:paraId="04733BD7"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416.20</w:t>
            </w:r>
          </w:p>
        </w:tc>
        <w:tc>
          <w:tcPr>
            <w:tcW w:w="671" w:type="pct"/>
            <w:tcBorders>
              <w:top w:val="nil"/>
              <w:left w:val="nil"/>
              <w:bottom w:val="single" w:sz="4" w:space="0" w:color="auto"/>
              <w:right w:val="single" w:sz="4" w:space="0" w:color="auto"/>
            </w:tcBorders>
            <w:shd w:val="clear" w:color="auto" w:fill="auto"/>
            <w:noWrap/>
            <w:vAlign w:val="bottom"/>
            <w:hideMark/>
          </w:tcPr>
          <w:p w14:paraId="53CB5B2E"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0.48%</w:t>
            </w:r>
          </w:p>
        </w:tc>
      </w:tr>
      <w:tr w:rsidR="006016B2" w:rsidRPr="006016B2" w14:paraId="01138264" w14:textId="77777777" w:rsidTr="00A26BFC">
        <w:trPr>
          <w:trHeight w:val="300"/>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32BCFBFD"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3-Mar-21</w:t>
            </w:r>
          </w:p>
        </w:tc>
        <w:tc>
          <w:tcPr>
            <w:tcW w:w="722" w:type="pct"/>
            <w:tcBorders>
              <w:top w:val="nil"/>
              <w:left w:val="nil"/>
              <w:bottom w:val="single" w:sz="4" w:space="0" w:color="auto"/>
              <w:right w:val="single" w:sz="4" w:space="0" w:color="auto"/>
            </w:tcBorders>
            <w:shd w:val="clear" w:color="auto" w:fill="auto"/>
            <w:noWrap/>
            <w:vAlign w:val="bottom"/>
            <w:hideMark/>
          </w:tcPr>
          <w:p w14:paraId="171BEA23"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435.45</w:t>
            </w:r>
          </w:p>
        </w:tc>
        <w:tc>
          <w:tcPr>
            <w:tcW w:w="682" w:type="pct"/>
            <w:tcBorders>
              <w:top w:val="nil"/>
              <w:left w:val="nil"/>
              <w:bottom w:val="single" w:sz="4" w:space="0" w:color="auto"/>
              <w:right w:val="single" w:sz="4" w:space="0" w:color="auto"/>
            </w:tcBorders>
            <w:shd w:val="clear" w:color="auto" w:fill="auto"/>
            <w:noWrap/>
            <w:vAlign w:val="bottom"/>
            <w:hideMark/>
          </w:tcPr>
          <w:p w14:paraId="24F1F04C"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1.10%</w:t>
            </w:r>
          </w:p>
        </w:tc>
        <w:tc>
          <w:tcPr>
            <w:tcW w:w="907" w:type="pct"/>
            <w:tcBorders>
              <w:top w:val="nil"/>
              <w:left w:val="nil"/>
              <w:bottom w:val="single" w:sz="4" w:space="0" w:color="auto"/>
              <w:right w:val="single" w:sz="4" w:space="0" w:color="auto"/>
            </w:tcBorders>
            <w:shd w:val="clear" w:color="auto" w:fill="auto"/>
            <w:noWrap/>
            <w:vAlign w:val="bottom"/>
            <w:hideMark/>
          </w:tcPr>
          <w:p w14:paraId="709C5432"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9-Apr-21</w:t>
            </w:r>
          </w:p>
        </w:tc>
        <w:tc>
          <w:tcPr>
            <w:tcW w:w="866" w:type="pct"/>
            <w:tcBorders>
              <w:top w:val="nil"/>
              <w:left w:val="nil"/>
              <w:bottom w:val="single" w:sz="4" w:space="0" w:color="auto"/>
              <w:right w:val="single" w:sz="4" w:space="0" w:color="auto"/>
            </w:tcBorders>
            <w:shd w:val="clear" w:color="auto" w:fill="auto"/>
            <w:noWrap/>
            <w:vAlign w:val="bottom"/>
            <w:hideMark/>
          </w:tcPr>
          <w:p w14:paraId="3856F208"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449.45</w:t>
            </w:r>
          </w:p>
        </w:tc>
        <w:tc>
          <w:tcPr>
            <w:tcW w:w="671" w:type="pct"/>
            <w:tcBorders>
              <w:top w:val="nil"/>
              <w:left w:val="nil"/>
              <w:bottom w:val="single" w:sz="4" w:space="0" w:color="auto"/>
              <w:right w:val="single" w:sz="4" w:space="0" w:color="auto"/>
            </w:tcBorders>
            <w:shd w:val="clear" w:color="auto" w:fill="auto"/>
            <w:noWrap/>
            <w:vAlign w:val="bottom"/>
            <w:hideMark/>
          </w:tcPr>
          <w:p w14:paraId="7A8FFE16"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7.99%</w:t>
            </w:r>
          </w:p>
        </w:tc>
      </w:tr>
      <w:tr w:rsidR="006016B2" w:rsidRPr="006016B2" w14:paraId="2DDDCA31" w14:textId="77777777" w:rsidTr="00A26BFC">
        <w:trPr>
          <w:trHeight w:val="300"/>
        </w:trPr>
        <w:tc>
          <w:tcPr>
            <w:tcW w:w="1152" w:type="pct"/>
            <w:tcBorders>
              <w:top w:val="nil"/>
              <w:left w:val="single" w:sz="4" w:space="0" w:color="auto"/>
              <w:bottom w:val="single" w:sz="4" w:space="0" w:color="auto"/>
              <w:right w:val="single" w:sz="4" w:space="0" w:color="auto"/>
            </w:tcBorders>
            <w:shd w:val="clear" w:color="auto" w:fill="auto"/>
            <w:noWrap/>
            <w:vAlign w:val="bottom"/>
            <w:hideMark/>
          </w:tcPr>
          <w:p w14:paraId="647DD51F"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4-Mar-21</w:t>
            </w:r>
          </w:p>
        </w:tc>
        <w:tc>
          <w:tcPr>
            <w:tcW w:w="722" w:type="pct"/>
            <w:tcBorders>
              <w:top w:val="nil"/>
              <w:left w:val="nil"/>
              <w:bottom w:val="single" w:sz="4" w:space="0" w:color="auto"/>
              <w:right w:val="single" w:sz="4" w:space="0" w:color="auto"/>
            </w:tcBorders>
            <w:shd w:val="clear" w:color="auto" w:fill="auto"/>
            <w:noWrap/>
            <w:vAlign w:val="bottom"/>
            <w:hideMark/>
          </w:tcPr>
          <w:p w14:paraId="4A65F934"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438.85</w:t>
            </w:r>
          </w:p>
        </w:tc>
        <w:tc>
          <w:tcPr>
            <w:tcW w:w="682" w:type="pct"/>
            <w:tcBorders>
              <w:top w:val="nil"/>
              <w:left w:val="nil"/>
              <w:bottom w:val="single" w:sz="4" w:space="0" w:color="auto"/>
              <w:right w:val="single" w:sz="4" w:space="0" w:color="auto"/>
            </w:tcBorders>
            <w:shd w:val="clear" w:color="auto" w:fill="auto"/>
            <w:noWrap/>
            <w:vAlign w:val="bottom"/>
            <w:hideMark/>
          </w:tcPr>
          <w:p w14:paraId="45161742"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0.78%</w:t>
            </w:r>
          </w:p>
        </w:tc>
        <w:tc>
          <w:tcPr>
            <w:tcW w:w="907" w:type="pct"/>
            <w:tcBorders>
              <w:top w:val="nil"/>
              <w:left w:val="nil"/>
              <w:bottom w:val="single" w:sz="4" w:space="0" w:color="auto"/>
              <w:right w:val="single" w:sz="4" w:space="0" w:color="auto"/>
            </w:tcBorders>
            <w:shd w:val="clear" w:color="auto" w:fill="auto"/>
            <w:noWrap/>
            <w:vAlign w:val="bottom"/>
            <w:hideMark/>
          </w:tcPr>
          <w:p w14:paraId="7B8710DF"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16-Apr-21</w:t>
            </w:r>
          </w:p>
        </w:tc>
        <w:tc>
          <w:tcPr>
            <w:tcW w:w="866" w:type="pct"/>
            <w:tcBorders>
              <w:top w:val="nil"/>
              <w:left w:val="nil"/>
              <w:bottom w:val="single" w:sz="4" w:space="0" w:color="auto"/>
              <w:right w:val="single" w:sz="4" w:space="0" w:color="auto"/>
            </w:tcBorders>
            <w:shd w:val="clear" w:color="auto" w:fill="auto"/>
            <w:noWrap/>
            <w:vAlign w:val="bottom"/>
            <w:hideMark/>
          </w:tcPr>
          <w:p w14:paraId="079F294F"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469.25</w:t>
            </w:r>
          </w:p>
        </w:tc>
        <w:tc>
          <w:tcPr>
            <w:tcW w:w="671" w:type="pct"/>
            <w:tcBorders>
              <w:top w:val="nil"/>
              <w:left w:val="nil"/>
              <w:bottom w:val="single" w:sz="4" w:space="0" w:color="auto"/>
              <w:right w:val="single" w:sz="4" w:space="0" w:color="auto"/>
            </w:tcBorders>
            <w:shd w:val="clear" w:color="auto" w:fill="auto"/>
            <w:noWrap/>
            <w:vAlign w:val="bottom"/>
            <w:hideMark/>
          </w:tcPr>
          <w:p w14:paraId="00007D91"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4.41%</w:t>
            </w:r>
          </w:p>
        </w:tc>
      </w:tr>
      <w:tr w:rsidR="006016B2" w:rsidRPr="006016B2" w14:paraId="52FD36C1" w14:textId="77777777" w:rsidTr="00A26BFC">
        <w:trPr>
          <w:trHeight w:val="300"/>
        </w:trPr>
        <w:tc>
          <w:tcPr>
            <w:tcW w:w="187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27B37"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Mean</w:t>
            </w:r>
          </w:p>
        </w:tc>
        <w:tc>
          <w:tcPr>
            <w:tcW w:w="682" w:type="pct"/>
            <w:tcBorders>
              <w:top w:val="nil"/>
              <w:left w:val="nil"/>
              <w:bottom w:val="single" w:sz="4" w:space="0" w:color="auto"/>
              <w:right w:val="single" w:sz="4" w:space="0" w:color="auto"/>
            </w:tcBorders>
            <w:shd w:val="clear" w:color="auto" w:fill="auto"/>
            <w:noWrap/>
            <w:vAlign w:val="bottom"/>
            <w:hideMark/>
          </w:tcPr>
          <w:p w14:paraId="645DC432"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0.11%</w:t>
            </w:r>
          </w:p>
        </w:tc>
        <w:tc>
          <w:tcPr>
            <w:tcW w:w="1773" w:type="pct"/>
            <w:gridSpan w:val="2"/>
            <w:tcBorders>
              <w:top w:val="single" w:sz="4" w:space="0" w:color="auto"/>
              <w:left w:val="nil"/>
              <w:bottom w:val="single" w:sz="4" w:space="0" w:color="auto"/>
              <w:right w:val="single" w:sz="4" w:space="0" w:color="auto"/>
            </w:tcBorders>
            <w:shd w:val="clear" w:color="auto" w:fill="auto"/>
            <w:noWrap/>
            <w:vAlign w:val="bottom"/>
            <w:hideMark/>
          </w:tcPr>
          <w:p w14:paraId="7C3C9C7C"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Mean</w:t>
            </w:r>
          </w:p>
        </w:tc>
        <w:tc>
          <w:tcPr>
            <w:tcW w:w="671" w:type="pct"/>
            <w:tcBorders>
              <w:top w:val="nil"/>
              <w:left w:val="nil"/>
              <w:bottom w:val="single" w:sz="4" w:space="0" w:color="auto"/>
              <w:right w:val="single" w:sz="4" w:space="0" w:color="auto"/>
            </w:tcBorders>
            <w:shd w:val="clear" w:color="auto" w:fill="auto"/>
            <w:noWrap/>
            <w:vAlign w:val="bottom"/>
            <w:hideMark/>
          </w:tcPr>
          <w:p w14:paraId="3C4C3796"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0.37%</w:t>
            </w:r>
          </w:p>
        </w:tc>
      </w:tr>
      <w:tr w:rsidR="006016B2" w:rsidRPr="006016B2" w14:paraId="75E11962" w14:textId="77777777" w:rsidTr="00A26BFC">
        <w:trPr>
          <w:trHeight w:val="300"/>
        </w:trPr>
        <w:tc>
          <w:tcPr>
            <w:tcW w:w="187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A6BF8" w14:textId="77777777" w:rsidR="006016B2" w:rsidRPr="006016B2" w:rsidRDefault="006016B2" w:rsidP="006016B2">
            <w:pPr>
              <w:jc w:val="center"/>
              <w:rPr>
                <w:rFonts w:ascii="Calibri" w:hAnsi="Calibri" w:cs="Calibri"/>
                <w:color w:val="000000"/>
              </w:rPr>
            </w:pPr>
            <w:proofErr w:type="spellStart"/>
            <w:r w:rsidRPr="006016B2">
              <w:rPr>
                <w:rFonts w:ascii="Calibri" w:hAnsi="Calibri" w:cs="Calibri"/>
                <w:color w:val="000000"/>
              </w:rPr>
              <w:t>Std.Dev</w:t>
            </w:r>
            <w:proofErr w:type="spellEnd"/>
          </w:p>
        </w:tc>
        <w:tc>
          <w:tcPr>
            <w:tcW w:w="682" w:type="pct"/>
            <w:tcBorders>
              <w:top w:val="nil"/>
              <w:left w:val="nil"/>
              <w:bottom w:val="single" w:sz="4" w:space="0" w:color="auto"/>
              <w:right w:val="single" w:sz="4" w:space="0" w:color="auto"/>
            </w:tcBorders>
            <w:shd w:val="clear" w:color="auto" w:fill="auto"/>
            <w:noWrap/>
            <w:vAlign w:val="bottom"/>
            <w:hideMark/>
          </w:tcPr>
          <w:p w14:paraId="117CEB7A"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1.57%</w:t>
            </w:r>
          </w:p>
        </w:tc>
        <w:tc>
          <w:tcPr>
            <w:tcW w:w="1773" w:type="pct"/>
            <w:gridSpan w:val="2"/>
            <w:tcBorders>
              <w:top w:val="single" w:sz="4" w:space="0" w:color="auto"/>
              <w:left w:val="nil"/>
              <w:bottom w:val="single" w:sz="4" w:space="0" w:color="auto"/>
              <w:right w:val="single" w:sz="4" w:space="0" w:color="auto"/>
            </w:tcBorders>
            <w:shd w:val="clear" w:color="auto" w:fill="auto"/>
            <w:noWrap/>
            <w:vAlign w:val="bottom"/>
            <w:hideMark/>
          </w:tcPr>
          <w:p w14:paraId="00626DC2" w14:textId="77777777" w:rsidR="006016B2" w:rsidRPr="006016B2" w:rsidRDefault="006016B2" w:rsidP="006016B2">
            <w:pPr>
              <w:jc w:val="center"/>
              <w:rPr>
                <w:rFonts w:ascii="Calibri" w:hAnsi="Calibri" w:cs="Calibri"/>
                <w:color w:val="000000"/>
              </w:rPr>
            </w:pPr>
            <w:proofErr w:type="spellStart"/>
            <w:r w:rsidRPr="006016B2">
              <w:rPr>
                <w:rFonts w:ascii="Calibri" w:hAnsi="Calibri" w:cs="Calibri"/>
                <w:color w:val="000000"/>
              </w:rPr>
              <w:t>Std.Dev</w:t>
            </w:r>
            <w:proofErr w:type="spellEnd"/>
          </w:p>
        </w:tc>
        <w:tc>
          <w:tcPr>
            <w:tcW w:w="671" w:type="pct"/>
            <w:tcBorders>
              <w:top w:val="nil"/>
              <w:left w:val="nil"/>
              <w:bottom w:val="single" w:sz="4" w:space="0" w:color="auto"/>
              <w:right w:val="single" w:sz="4" w:space="0" w:color="auto"/>
            </w:tcBorders>
            <w:shd w:val="clear" w:color="auto" w:fill="auto"/>
            <w:noWrap/>
            <w:vAlign w:val="bottom"/>
            <w:hideMark/>
          </w:tcPr>
          <w:p w14:paraId="5B19550F"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2.69%</w:t>
            </w:r>
          </w:p>
        </w:tc>
      </w:tr>
      <w:tr w:rsidR="006016B2" w:rsidRPr="006016B2" w14:paraId="787250BB" w14:textId="77777777" w:rsidTr="00A26BFC">
        <w:trPr>
          <w:trHeight w:val="300"/>
        </w:trPr>
        <w:tc>
          <w:tcPr>
            <w:tcW w:w="187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7B345"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CAGR</w:t>
            </w:r>
          </w:p>
        </w:tc>
        <w:tc>
          <w:tcPr>
            <w:tcW w:w="682" w:type="pct"/>
            <w:tcBorders>
              <w:top w:val="nil"/>
              <w:left w:val="nil"/>
              <w:bottom w:val="single" w:sz="4" w:space="0" w:color="auto"/>
              <w:right w:val="single" w:sz="4" w:space="0" w:color="auto"/>
            </w:tcBorders>
            <w:shd w:val="clear" w:color="auto" w:fill="auto"/>
            <w:noWrap/>
            <w:vAlign w:val="bottom"/>
            <w:hideMark/>
          </w:tcPr>
          <w:p w14:paraId="71C542D8"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0.09%</w:t>
            </w:r>
          </w:p>
        </w:tc>
        <w:tc>
          <w:tcPr>
            <w:tcW w:w="1773" w:type="pct"/>
            <w:gridSpan w:val="2"/>
            <w:tcBorders>
              <w:top w:val="single" w:sz="4" w:space="0" w:color="auto"/>
              <w:left w:val="nil"/>
              <w:bottom w:val="single" w:sz="4" w:space="0" w:color="auto"/>
              <w:right w:val="single" w:sz="4" w:space="0" w:color="auto"/>
            </w:tcBorders>
            <w:shd w:val="clear" w:color="auto" w:fill="auto"/>
            <w:noWrap/>
            <w:vAlign w:val="bottom"/>
            <w:hideMark/>
          </w:tcPr>
          <w:p w14:paraId="37A23E13"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CAGR</w:t>
            </w:r>
          </w:p>
        </w:tc>
        <w:tc>
          <w:tcPr>
            <w:tcW w:w="671" w:type="pct"/>
            <w:tcBorders>
              <w:top w:val="nil"/>
              <w:left w:val="nil"/>
              <w:bottom w:val="single" w:sz="4" w:space="0" w:color="auto"/>
              <w:right w:val="single" w:sz="4" w:space="0" w:color="auto"/>
            </w:tcBorders>
            <w:shd w:val="clear" w:color="auto" w:fill="auto"/>
            <w:noWrap/>
            <w:vAlign w:val="bottom"/>
            <w:hideMark/>
          </w:tcPr>
          <w:p w14:paraId="66341E11" w14:textId="77777777" w:rsidR="006016B2" w:rsidRPr="006016B2" w:rsidRDefault="006016B2" w:rsidP="006016B2">
            <w:pPr>
              <w:jc w:val="center"/>
              <w:rPr>
                <w:rFonts w:ascii="Calibri" w:hAnsi="Calibri" w:cs="Calibri"/>
                <w:color w:val="000000"/>
              </w:rPr>
            </w:pPr>
            <w:r w:rsidRPr="006016B2">
              <w:rPr>
                <w:rFonts w:ascii="Calibri" w:hAnsi="Calibri" w:cs="Calibri"/>
                <w:color w:val="000000"/>
              </w:rPr>
              <w:t>0.30%</w:t>
            </w:r>
          </w:p>
        </w:tc>
      </w:tr>
    </w:tbl>
    <w:p w14:paraId="54901EFA" w14:textId="77777777" w:rsidR="00E52748" w:rsidRDefault="00E52748" w:rsidP="00BF3DD0"/>
    <w:p w14:paraId="134FECA9" w14:textId="77777777" w:rsidR="00A26BFC" w:rsidRPr="00FB6DDF" w:rsidRDefault="00A26BFC" w:rsidP="00A26BFC">
      <w:pPr>
        <w:rPr>
          <w:i/>
        </w:rPr>
      </w:pPr>
      <w:r w:rsidRPr="00FB6DDF">
        <w:rPr>
          <w:i/>
        </w:rPr>
        <w:t>H</w:t>
      </w:r>
      <w:r w:rsidRPr="00FB6DDF">
        <w:rPr>
          <w:i/>
          <w:vertAlign w:val="subscript"/>
        </w:rPr>
        <w:t>0</w:t>
      </w:r>
      <w:r>
        <w:rPr>
          <w:i/>
        </w:rPr>
        <w:t>: There will be no</w:t>
      </w:r>
      <w:r w:rsidRPr="00FB6DDF">
        <w:rPr>
          <w:i/>
        </w:rPr>
        <w:t xml:space="preserve"> association between the stock performance and the investment decisions</w:t>
      </w:r>
    </w:p>
    <w:p w14:paraId="64956419" w14:textId="77777777" w:rsidR="00603B68" w:rsidRDefault="00603B68" w:rsidP="00BF3DD0"/>
    <w:tbl>
      <w:tblPr>
        <w:tblW w:w="5000" w:type="pct"/>
        <w:jc w:val="center"/>
        <w:tblLook w:val="04A0" w:firstRow="1" w:lastRow="0" w:firstColumn="1" w:lastColumn="0" w:noHBand="0" w:noVBand="1"/>
      </w:tblPr>
      <w:tblGrid>
        <w:gridCol w:w="1375"/>
        <w:gridCol w:w="776"/>
        <w:gridCol w:w="914"/>
        <w:gridCol w:w="558"/>
        <w:gridCol w:w="571"/>
        <w:gridCol w:w="1136"/>
        <w:gridCol w:w="868"/>
        <w:gridCol w:w="841"/>
        <w:gridCol w:w="807"/>
        <w:gridCol w:w="1504"/>
      </w:tblGrid>
      <w:tr w:rsidR="00603B68" w:rsidRPr="00603B68" w14:paraId="4B8FD5BC" w14:textId="77777777" w:rsidTr="00603B68">
        <w:trPr>
          <w:trHeight w:val="30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E0C04" w14:textId="77777777" w:rsidR="00603B68" w:rsidRPr="00603B68" w:rsidRDefault="00603B68" w:rsidP="00603B68">
            <w:pPr>
              <w:jc w:val="center"/>
              <w:rPr>
                <w:rFonts w:ascii="Calibri" w:hAnsi="Calibri" w:cs="Calibri"/>
                <w:i/>
                <w:iCs/>
                <w:color w:val="000000"/>
              </w:rPr>
            </w:pPr>
            <w:r w:rsidRPr="00603B68">
              <w:rPr>
                <w:rFonts w:ascii="Calibri" w:hAnsi="Calibri" w:cs="Calibri"/>
                <w:i/>
                <w:iCs/>
                <w:color w:val="000000"/>
              </w:rPr>
              <w:t>Regression Statistics</w:t>
            </w:r>
          </w:p>
        </w:tc>
      </w:tr>
      <w:tr w:rsidR="00603B68" w:rsidRPr="00603B68" w14:paraId="35F4000A" w14:textId="77777777" w:rsidTr="00603B68">
        <w:trPr>
          <w:trHeight w:val="300"/>
          <w:jc w:val="center"/>
        </w:trPr>
        <w:tc>
          <w:tcPr>
            <w:tcW w:w="1880" w:type="pct"/>
            <w:gridSpan w:val="3"/>
            <w:tcBorders>
              <w:top w:val="nil"/>
              <w:left w:val="single" w:sz="4" w:space="0" w:color="auto"/>
              <w:bottom w:val="single" w:sz="4" w:space="0" w:color="auto"/>
              <w:right w:val="single" w:sz="4" w:space="0" w:color="auto"/>
            </w:tcBorders>
            <w:shd w:val="clear" w:color="auto" w:fill="auto"/>
            <w:noWrap/>
            <w:vAlign w:val="bottom"/>
            <w:hideMark/>
          </w:tcPr>
          <w:p w14:paraId="680776CB" w14:textId="77777777" w:rsidR="00603B68" w:rsidRPr="00603B68" w:rsidRDefault="00603B68" w:rsidP="00603B68">
            <w:pPr>
              <w:jc w:val="center"/>
              <w:rPr>
                <w:rFonts w:ascii="Calibri" w:hAnsi="Calibri" w:cs="Calibri"/>
                <w:color w:val="000000"/>
              </w:rPr>
            </w:pPr>
            <w:r w:rsidRPr="00603B68">
              <w:rPr>
                <w:rFonts w:ascii="Calibri" w:hAnsi="Calibri" w:cs="Calibri"/>
                <w:color w:val="000000"/>
              </w:rPr>
              <w:t>Multiple R</w:t>
            </w:r>
          </w:p>
        </w:tc>
        <w:tc>
          <w:tcPr>
            <w:tcW w:w="563" w:type="pct"/>
            <w:gridSpan w:val="2"/>
            <w:tcBorders>
              <w:top w:val="nil"/>
              <w:left w:val="nil"/>
              <w:bottom w:val="single" w:sz="4" w:space="0" w:color="auto"/>
              <w:right w:val="single" w:sz="4" w:space="0" w:color="auto"/>
            </w:tcBorders>
            <w:shd w:val="clear" w:color="auto" w:fill="auto"/>
            <w:noWrap/>
            <w:vAlign w:val="bottom"/>
            <w:hideMark/>
          </w:tcPr>
          <w:p w14:paraId="0165405D" w14:textId="77777777" w:rsidR="00603B68" w:rsidRPr="00603B68" w:rsidRDefault="00603B68" w:rsidP="00603B68">
            <w:pPr>
              <w:jc w:val="center"/>
              <w:rPr>
                <w:rFonts w:ascii="Calibri" w:hAnsi="Calibri" w:cs="Calibri"/>
                <w:color w:val="000000"/>
              </w:rPr>
            </w:pPr>
            <w:r w:rsidRPr="00603B68">
              <w:rPr>
                <w:rFonts w:ascii="Calibri" w:hAnsi="Calibri" w:cs="Calibri"/>
                <w:color w:val="000000"/>
              </w:rPr>
              <w:t>R Square</w:t>
            </w:r>
          </w:p>
        </w:tc>
        <w:tc>
          <w:tcPr>
            <w:tcW w:w="992" w:type="pct"/>
            <w:gridSpan w:val="2"/>
            <w:tcBorders>
              <w:top w:val="nil"/>
              <w:left w:val="nil"/>
              <w:bottom w:val="single" w:sz="4" w:space="0" w:color="auto"/>
              <w:right w:val="single" w:sz="4" w:space="0" w:color="auto"/>
            </w:tcBorders>
            <w:shd w:val="clear" w:color="auto" w:fill="auto"/>
            <w:noWrap/>
            <w:vAlign w:val="bottom"/>
            <w:hideMark/>
          </w:tcPr>
          <w:p w14:paraId="2462D181" w14:textId="77777777" w:rsidR="00603B68" w:rsidRPr="00603B68" w:rsidRDefault="00603B68" w:rsidP="00603B68">
            <w:pPr>
              <w:jc w:val="center"/>
              <w:rPr>
                <w:rFonts w:ascii="Calibri" w:hAnsi="Calibri" w:cs="Calibri"/>
                <w:color w:val="000000"/>
              </w:rPr>
            </w:pPr>
            <w:r w:rsidRPr="00603B68">
              <w:rPr>
                <w:rFonts w:ascii="Calibri" w:hAnsi="Calibri" w:cs="Calibri"/>
                <w:color w:val="000000"/>
              </w:rPr>
              <w:t>Adjusted R Square</w:t>
            </w:r>
          </w:p>
        </w:tc>
        <w:tc>
          <w:tcPr>
            <w:tcW w:w="818" w:type="pct"/>
            <w:gridSpan w:val="2"/>
            <w:tcBorders>
              <w:top w:val="nil"/>
              <w:left w:val="nil"/>
              <w:bottom w:val="single" w:sz="4" w:space="0" w:color="auto"/>
              <w:right w:val="single" w:sz="4" w:space="0" w:color="auto"/>
            </w:tcBorders>
            <w:shd w:val="clear" w:color="auto" w:fill="auto"/>
            <w:noWrap/>
            <w:vAlign w:val="bottom"/>
            <w:hideMark/>
          </w:tcPr>
          <w:p w14:paraId="7E0C11A9" w14:textId="77777777" w:rsidR="00603B68" w:rsidRPr="00603B68" w:rsidRDefault="00603B68" w:rsidP="00603B68">
            <w:pPr>
              <w:jc w:val="center"/>
              <w:rPr>
                <w:rFonts w:ascii="Calibri" w:hAnsi="Calibri" w:cs="Calibri"/>
                <w:color w:val="000000"/>
              </w:rPr>
            </w:pPr>
            <w:r w:rsidRPr="00603B68">
              <w:rPr>
                <w:rFonts w:ascii="Calibri" w:hAnsi="Calibri" w:cs="Calibri"/>
                <w:color w:val="000000"/>
              </w:rPr>
              <w:t>Standard Error</w:t>
            </w:r>
          </w:p>
        </w:tc>
        <w:tc>
          <w:tcPr>
            <w:tcW w:w="747" w:type="pct"/>
            <w:tcBorders>
              <w:top w:val="nil"/>
              <w:left w:val="nil"/>
              <w:bottom w:val="single" w:sz="4" w:space="0" w:color="auto"/>
              <w:right w:val="single" w:sz="4" w:space="0" w:color="auto"/>
            </w:tcBorders>
            <w:shd w:val="clear" w:color="auto" w:fill="auto"/>
            <w:noWrap/>
            <w:vAlign w:val="bottom"/>
            <w:hideMark/>
          </w:tcPr>
          <w:p w14:paraId="300E76E5" w14:textId="77777777" w:rsidR="00603B68" w:rsidRPr="00603B68" w:rsidRDefault="00603B68" w:rsidP="00603B68">
            <w:pPr>
              <w:jc w:val="center"/>
              <w:rPr>
                <w:rFonts w:ascii="Calibri" w:hAnsi="Calibri" w:cs="Calibri"/>
                <w:color w:val="000000"/>
              </w:rPr>
            </w:pPr>
            <w:r w:rsidRPr="00603B68">
              <w:rPr>
                <w:rFonts w:ascii="Calibri" w:hAnsi="Calibri" w:cs="Calibri"/>
                <w:color w:val="000000"/>
              </w:rPr>
              <w:t>Observations</w:t>
            </w:r>
          </w:p>
        </w:tc>
      </w:tr>
      <w:tr w:rsidR="00603B68" w:rsidRPr="00603B68" w14:paraId="1AB8A7B3" w14:textId="77777777" w:rsidTr="00603B68">
        <w:trPr>
          <w:trHeight w:val="300"/>
          <w:jc w:val="center"/>
        </w:trPr>
        <w:tc>
          <w:tcPr>
            <w:tcW w:w="1880" w:type="pct"/>
            <w:gridSpan w:val="3"/>
            <w:tcBorders>
              <w:top w:val="nil"/>
              <w:left w:val="single" w:sz="4" w:space="0" w:color="auto"/>
              <w:bottom w:val="single" w:sz="4" w:space="0" w:color="auto"/>
              <w:right w:val="single" w:sz="4" w:space="0" w:color="auto"/>
            </w:tcBorders>
            <w:shd w:val="clear" w:color="auto" w:fill="auto"/>
            <w:noWrap/>
            <w:vAlign w:val="bottom"/>
            <w:hideMark/>
          </w:tcPr>
          <w:p w14:paraId="6CB25918" w14:textId="77777777" w:rsidR="00603B68" w:rsidRPr="00603B68" w:rsidRDefault="00603B68" w:rsidP="00603B68">
            <w:pPr>
              <w:jc w:val="center"/>
              <w:rPr>
                <w:rFonts w:ascii="Calibri" w:hAnsi="Calibri" w:cs="Calibri"/>
                <w:color w:val="000000"/>
              </w:rPr>
            </w:pPr>
            <w:r w:rsidRPr="00603B68">
              <w:rPr>
                <w:rFonts w:ascii="Calibri" w:hAnsi="Calibri" w:cs="Calibri"/>
                <w:color w:val="000000"/>
              </w:rPr>
              <w:t>0.490614</w:t>
            </w:r>
          </w:p>
        </w:tc>
        <w:tc>
          <w:tcPr>
            <w:tcW w:w="563" w:type="pct"/>
            <w:gridSpan w:val="2"/>
            <w:tcBorders>
              <w:top w:val="nil"/>
              <w:left w:val="nil"/>
              <w:bottom w:val="single" w:sz="4" w:space="0" w:color="auto"/>
              <w:right w:val="single" w:sz="4" w:space="0" w:color="auto"/>
            </w:tcBorders>
            <w:shd w:val="clear" w:color="auto" w:fill="auto"/>
            <w:noWrap/>
            <w:vAlign w:val="bottom"/>
            <w:hideMark/>
          </w:tcPr>
          <w:p w14:paraId="1110E947" w14:textId="77777777" w:rsidR="00603B68" w:rsidRPr="00603B68" w:rsidRDefault="00603B68" w:rsidP="00603B68">
            <w:pPr>
              <w:jc w:val="center"/>
              <w:rPr>
                <w:rFonts w:ascii="Calibri" w:hAnsi="Calibri" w:cs="Calibri"/>
                <w:color w:val="000000"/>
              </w:rPr>
            </w:pPr>
            <w:r w:rsidRPr="00603B68">
              <w:rPr>
                <w:rFonts w:ascii="Calibri" w:hAnsi="Calibri" w:cs="Calibri"/>
                <w:color w:val="000000"/>
              </w:rPr>
              <w:t>0.240702</w:t>
            </w:r>
          </w:p>
        </w:tc>
        <w:tc>
          <w:tcPr>
            <w:tcW w:w="992" w:type="pct"/>
            <w:gridSpan w:val="2"/>
            <w:tcBorders>
              <w:top w:val="nil"/>
              <w:left w:val="nil"/>
              <w:bottom w:val="single" w:sz="4" w:space="0" w:color="auto"/>
              <w:right w:val="single" w:sz="4" w:space="0" w:color="auto"/>
            </w:tcBorders>
            <w:shd w:val="clear" w:color="auto" w:fill="auto"/>
            <w:noWrap/>
            <w:vAlign w:val="bottom"/>
            <w:hideMark/>
          </w:tcPr>
          <w:p w14:paraId="50D21080" w14:textId="77777777" w:rsidR="00603B68" w:rsidRPr="00603B68" w:rsidRDefault="00603B68" w:rsidP="00603B68">
            <w:pPr>
              <w:jc w:val="center"/>
              <w:rPr>
                <w:rFonts w:ascii="Calibri" w:hAnsi="Calibri" w:cs="Calibri"/>
                <w:color w:val="000000"/>
              </w:rPr>
            </w:pPr>
            <w:r w:rsidRPr="00603B68">
              <w:rPr>
                <w:rFonts w:ascii="Calibri" w:hAnsi="Calibri" w:cs="Calibri"/>
                <w:color w:val="000000"/>
              </w:rPr>
              <w:t>0.200739</w:t>
            </w:r>
          </w:p>
        </w:tc>
        <w:tc>
          <w:tcPr>
            <w:tcW w:w="818" w:type="pct"/>
            <w:gridSpan w:val="2"/>
            <w:tcBorders>
              <w:top w:val="nil"/>
              <w:left w:val="nil"/>
              <w:bottom w:val="single" w:sz="4" w:space="0" w:color="auto"/>
              <w:right w:val="single" w:sz="4" w:space="0" w:color="auto"/>
            </w:tcBorders>
            <w:shd w:val="clear" w:color="auto" w:fill="auto"/>
            <w:noWrap/>
            <w:vAlign w:val="bottom"/>
            <w:hideMark/>
          </w:tcPr>
          <w:p w14:paraId="25CFD1D2" w14:textId="77777777" w:rsidR="00603B68" w:rsidRPr="00603B68" w:rsidRDefault="00603B68" w:rsidP="00603B68">
            <w:pPr>
              <w:jc w:val="center"/>
              <w:rPr>
                <w:rFonts w:ascii="Calibri" w:hAnsi="Calibri" w:cs="Calibri"/>
                <w:color w:val="000000"/>
              </w:rPr>
            </w:pPr>
            <w:r w:rsidRPr="00603B68">
              <w:rPr>
                <w:rFonts w:ascii="Calibri" w:hAnsi="Calibri" w:cs="Calibri"/>
                <w:color w:val="000000"/>
              </w:rPr>
              <w:t>8.471677</w:t>
            </w:r>
          </w:p>
        </w:tc>
        <w:tc>
          <w:tcPr>
            <w:tcW w:w="747" w:type="pct"/>
            <w:tcBorders>
              <w:top w:val="nil"/>
              <w:left w:val="nil"/>
              <w:bottom w:val="single" w:sz="4" w:space="0" w:color="auto"/>
              <w:right w:val="single" w:sz="4" w:space="0" w:color="auto"/>
            </w:tcBorders>
            <w:shd w:val="clear" w:color="auto" w:fill="auto"/>
            <w:noWrap/>
            <w:vAlign w:val="bottom"/>
            <w:hideMark/>
          </w:tcPr>
          <w:p w14:paraId="30B13E88" w14:textId="77777777" w:rsidR="00603B68" w:rsidRPr="00603B68" w:rsidRDefault="00603B68" w:rsidP="00603B68">
            <w:pPr>
              <w:jc w:val="center"/>
              <w:rPr>
                <w:rFonts w:ascii="Calibri" w:hAnsi="Calibri" w:cs="Calibri"/>
                <w:color w:val="000000"/>
              </w:rPr>
            </w:pPr>
            <w:r w:rsidRPr="00603B68">
              <w:rPr>
                <w:rFonts w:ascii="Calibri" w:hAnsi="Calibri" w:cs="Calibri"/>
                <w:color w:val="000000"/>
              </w:rPr>
              <w:t>21</w:t>
            </w:r>
          </w:p>
        </w:tc>
      </w:tr>
      <w:tr w:rsidR="00603B68" w:rsidRPr="00603B68" w14:paraId="3CC5BDA0" w14:textId="77777777" w:rsidTr="00603B68">
        <w:tblPrEx>
          <w:jc w:val="left"/>
        </w:tblPrEx>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2BA9" w14:textId="77777777" w:rsidR="00603B68" w:rsidRPr="00603B68" w:rsidRDefault="00603B68" w:rsidP="00603B68">
            <w:pPr>
              <w:jc w:val="center"/>
              <w:rPr>
                <w:rFonts w:ascii="Calibri" w:hAnsi="Calibri" w:cs="Calibri"/>
                <w:color w:val="000000"/>
              </w:rPr>
            </w:pPr>
            <w:r w:rsidRPr="00603B68">
              <w:rPr>
                <w:rFonts w:ascii="Calibri" w:hAnsi="Calibri" w:cs="Calibri"/>
                <w:color w:val="000000"/>
              </w:rPr>
              <w:t>ANOVA</w:t>
            </w:r>
          </w:p>
        </w:tc>
      </w:tr>
      <w:tr w:rsidR="00603B68" w:rsidRPr="00603B68" w14:paraId="6D3FBA52" w14:textId="77777777" w:rsidTr="00603B68">
        <w:tblPrEx>
          <w:jc w:val="left"/>
        </w:tblPrEx>
        <w:trPr>
          <w:trHeight w:val="300"/>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14:paraId="090864B1" w14:textId="77777777" w:rsidR="00603B68" w:rsidRPr="00603B68" w:rsidRDefault="00603B68" w:rsidP="00603B68">
            <w:pPr>
              <w:jc w:val="center"/>
              <w:rPr>
                <w:rFonts w:ascii="Calibri" w:hAnsi="Calibri" w:cs="Calibri"/>
                <w:i/>
                <w:iCs/>
                <w:color w:val="000000"/>
              </w:rPr>
            </w:pPr>
            <w:r w:rsidRPr="00603B68">
              <w:rPr>
                <w:rFonts w:ascii="Calibri" w:hAnsi="Calibri" w:cs="Calibri"/>
                <w:i/>
                <w:iCs/>
                <w:color w:val="000000"/>
              </w:rPr>
              <w:t> </w:t>
            </w:r>
          </w:p>
        </w:tc>
        <w:tc>
          <w:tcPr>
            <w:tcW w:w="495" w:type="pct"/>
            <w:tcBorders>
              <w:top w:val="nil"/>
              <w:left w:val="nil"/>
              <w:bottom w:val="single" w:sz="4" w:space="0" w:color="auto"/>
              <w:right w:val="single" w:sz="4" w:space="0" w:color="auto"/>
            </w:tcBorders>
            <w:shd w:val="clear" w:color="auto" w:fill="auto"/>
            <w:noWrap/>
            <w:vAlign w:val="bottom"/>
            <w:hideMark/>
          </w:tcPr>
          <w:p w14:paraId="220B8B4E" w14:textId="77777777" w:rsidR="00603B68" w:rsidRPr="00603B68" w:rsidRDefault="00603B68" w:rsidP="00603B68">
            <w:pPr>
              <w:jc w:val="center"/>
              <w:rPr>
                <w:rFonts w:ascii="Calibri" w:hAnsi="Calibri" w:cs="Calibri"/>
                <w:i/>
                <w:iCs/>
                <w:color w:val="000000"/>
              </w:rPr>
            </w:pPr>
            <w:proofErr w:type="spellStart"/>
            <w:r w:rsidRPr="00603B68">
              <w:rPr>
                <w:rFonts w:ascii="Calibri" w:hAnsi="Calibri" w:cs="Calibri"/>
                <w:i/>
                <w:iCs/>
                <w:color w:val="000000"/>
              </w:rPr>
              <w:t>df</w:t>
            </w:r>
            <w:proofErr w:type="spellEnd"/>
          </w:p>
        </w:tc>
        <w:tc>
          <w:tcPr>
            <w:tcW w:w="847" w:type="pct"/>
            <w:gridSpan w:val="2"/>
            <w:tcBorders>
              <w:top w:val="nil"/>
              <w:left w:val="nil"/>
              <w:bottom w:val="single" w:sz="4" w:space="0" w:color="auto"/>
              <w:right w:val="single" w:sz="4" w:space="0" w:color="auto"/>
            </w:tcBorders>
            <w:shd w:val="clear" w:color="auto" w:fill="auto"/>
            <w:noWrap/>
            <w:vAlign w:val="bottom"/>
            <w:hideMark/>
          </w:tcPr>
          <w:p w14:paraId="2FEC013C" w14:textId="77777777" w:rsidR="00603B68" w:rsidRPr="00603B68" w:rsidRDefault="00603B68" w:rsidP="00603B68">
            <w:pPr>
              <w:jc w:val="center"/>
              <w:rPr>
                <w:rFonts w:ascii="Calibri" w:hAnsi="Calibri" w:cs="Calibri"/>
                <w:i/>
                <w:iCs/>
                <w:color w:val="000000"/>
              </w:rPr>
            </w:pPr>
            <w:r w:rsidRPr="00603B68">
              <w:rPr>
                <w:rFonts w:ascii="Calibri" w:hAnsi="Calibri" w:cs="Calibri"/>
                <w:i/>
                <w:iCs/>
                <w:color w:val="000000"/>
              </w:rPr>
              <w:t>SS</w:t>
            </w:r>
          </w:p>
        </w:tc>
        <w:tc>
          <w:tcPr>
            <w:tcW w:w="847" w:type="pct"/>
            <w:gridSpan w:val="2"/>
            <w:tcBorders>
              <w:top w:val="nil"/>
              <w:left w:val="nil"/>
              <w:bottom w:val="single" w:sz="4" w:space="0" w:color="auto"/>
              <w:right w:val="single" w:sz="4" w:space="0" w:color="auto"/>
            </w:tcBorders>
            <w:shd w:val="clear" w:color="auto" w:fill="auto"/>
            <w:noWrap/>
            <w:vAlign w:val="bottom"/>
            <w:hideMark/>
          </w:tcPr>
          <w:p w14:paraId="0BF822BB" w14:textId="77777777" w:rsidR="00603B68" w:rsidRPr="00603B68" w:rsidRDefault="00603B68" w:rsidP="00603B68">
            <w:pPr>
              <w:jc w:val="center"/>
              <w:rPr>
                <w:rFonts w:ascii="Calibri" w:hAnsi="Calibri" w:cs="Calibri"/>
                <w:i/>
                <w:iCs/>
                <w:color w:val="000000"/>
              </w:rPr>
            </w:pPr>
            <w:r w:rsidRPr="00603B68">
              <w:rPr>
                <w:rFonts w:ascii="Calibri" w:hAnsi="Calibri" w:cs="Calibri"/>
                <w:i/>
                <w:iCs/>
                <w:color w:val="000000"/>
              </w:rPr>
              <w:t>MS</w:t>
            </w:r>
          </w:p>
        </w:tc>
        <w:tc>
          <w:tcPr>
            <w:tcW w:w="847" w:type="pct"/>
            <w:gridSpan w:val="2"/>
            <w:tcBorders>
              <w:top w:val="nil"/>
              <w:left w:val="nil"/>
              <w:bottom w:val="single" w:sz="4" w:space="0" w:color="auto"/>
              <w:right w:val="single" w:sz="4" w:space="0" w:color="auto"/>
            </w:tcBorders>
            <w:shd w:val="clear" w:color="auto" w:fill="auto"/>
            <w:noWrap/>
            <w:vAlign w:val="bottom"/>
            <w:hideMark/>
          </w:tcPr>
          <w:p w14:paraId="495921CC" w14:textId="77777777" w:rsidR="00603B68" w:rsidRPr="00603B68" w:rsidRDefault="00603B68" w:rsidP="00603B68">
            <w:pPr>
              <w:jc w:val="center"/>
              <w:rPr>
                <w:rFonts w:ascii="Calibri" w:hAnsi="Calibri" w:cs="Calibri"/>
                <w:i/>
                <w:iCs/>
                <w:color w:val="000000"/>
              </w:rPr>
            </w:pPr>
            <w:r w:rsidRPr="00603B68">
              <w:rPr>
                <w:rFonts w:ascii="Calibri" w:hAnsi="Calibri" w:cs="Calibri"/>
                <w:i/>
                <w:iCs/>
                <w:color w:val="000000"/>
              </w:rPr>
              <w:t>F</w:t>
            </w:r>
          </w:p>
        </w:tc>
        <w:tc>
          <w:tcPr>
            <w:tcW w:w="1148" w:type="pct"/>
            <w:gridSpan w:val="2"/>
            <w:tcBorders>
              <w:top w:val="nil"/>
              <w:left w:val="nil"/>
              <w:bottom w:val="single" w:sz="4" w:space="0" w:color="auto"/>
              <w:right w:val="single" w:sz="4" w:space="0" w:color="auto"/>
            </w:tcBorders>
            <w:shd w:val="clear" w:color="auto" w:fill="auto"/>
            <w:noWrap/>
            <w:vAlign w:val="bottom"/>
            <w:hideMark/>
          </w:tcPr>
          <w:p w14:paraId="7B725BFC" w14:textId="77777777" w:rsidR="00603B68" w:rsidRPr="00603B68" w:rsidRDefault="00603B68" w:rsidP="00603B68">
            <w:pPr>
              <w:jc w:val="center"/>
              <w:rPr>
                <w:rFonts w:ascii="Calibri" w:hAnsi="Calibri" w:cs="Calibri"/>
                <w:i/>
                <w:iCs/>
                <w:color w:val="000000"/>
              </w:rPr>
            </w:pPr>
            <w:r w:rsidRPr="00603B68">
              <w:rPr>
                <w:rFonts w:ascii="Calibri" w:hAnsi="Calibri" w:cs="Calibri"/>
                <w:i/>
                <w:iCs/>
                <w:color w:val="000000"/>
              </w:rPr>
              <w:t>Significance F</w:t>
            </w:r>
          </w:p>
        </w:tc>
      </w:tr>
      <w:tr w:rsidR="00603B68" w:rsidRPr="00603B68" w14:paraId="4FBA8549" w14:textId="77777777" w:rsidTr="00603B68">
        <w:tblPrEx>
          <w:jc w:val="left"/>
        </w:tblPrEx>
        <w:trPr>
          <w:trHeight w:val="300"/>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14:paraId="40DBCBA8" w14:textId="77777777" w:rsidR="00603B68" w:rsidRPr="00603B68" w:rsidRDefault="00603B68" w:rsidP="00603B68">
            <w:pPr>
              <w:rPr>
                <w:rFonts w:ascii="Calibri" w:hAnsi="Calibri" w:cs="Calibri"/>
                <w:color w:val="000000"/>
              </w:rPr>
            </w:pPr>
            <w:r w:rsidRPr="00603B68">
              <w:rPr>
                <w:rFonts w:ascii="Calibri" w:hAnsi="Calibri" w:cs="Calibri"/>
                <w:color w:val="000000"/>
              </w:rPr>
              <w:t>Regression</w:t>
            </w:r>
          </w:p>
        </w:tc>
        <w:tc>
          <w:tcPr>
            <w:tcW w:w="495" w:type="pct"/>
            <w:tcBorders>
              <w:top w:val="nil"/>
              <w:left w:val="nil"/>
              <w:bottom w:val="single" w:sz="4" w:space="0" w:color="auto"/>
              <w:right w:val="single" w:sz="4" w:space="0" w:color="auto"/>
            </w:tcBorders>
            <w:shd w:val="clear" w:color="auto" w:fill="auto"/>
            <w:noWrap/>
            <w:vAlign w:val="bottom"/>
            <w:hideMark/>
          </w:tcPr>
          <w:p w14:paraId="4B20CD36" w14:textId="77777777" w:rsidR="00603B68" w:rsidRPr="00603B68" w:rsidRDefault="00603B68" w:rsidP="00603B68">
            <w:pPr>
              <w:jc w:val="right"/>
              <w:rPr>
                <w:rFonts w:ascii="Calibri" w:hAnsi="Calibri" w:cs="Calibri"/>
                <w:color w:val="000000"/>
              </w:rPr>
            </w:pPr>
            <w:r w:rsidRPr="00603B68">
              <w:rPr>
                <w:rFonts w:ascii="Calibri" w:hAnsi="Calibri" w:cs="Calibri"/>
                <w:color w:val="000000"/>
              </w:rPr>
              <w:t>1</w:t>
            </w:r>
          </w:p>
        </w:tc>
        <w:tc>
          <w:tcPr>
            <w:tcW w:w="847" w:type="pct"/>
            <w:gridSpan w:val="2"/>
            <w:tcBorders>
              <w:top w:val="nil"/>
              <w:left w:val="nil"/>
              <w:bottom w:val="single" w:sz="4" w:space="0" w:color="auto"/>
              <w:right w:val="single" w:sz="4" w:space="0" w:color="auto"/>
            </w:tcBorders>
            <w:shd w:val="clear" w:color="auto" w:fill="auto"/>
            <w:noWrap/>
            <w:vAlign w:val="bottom"/>
            <w:hideMark/>
          </w:tcPr>
          <w:p w14:paraId="446D8102" w14:textId="77777777" w:rsidR="00603B68" w:rsidRPr="00603B68" w:rsidRDefault="00603B68" w:rsidP="00603B68">
            <w:pPr>
              <w:jc w:val="right"/>
              <w:rPr>
                <w:rFonts w:ascii="Calibri" w:hAnsi="Calibri" w:cs="Calibri"/>
                <w:color w:val="000000"/>
              </w:rPr>
            </w:pPr>
            <w:r w:rsidRPr="00603B68">
              <w:rPr>
                <w:rFonts w:ascii="Calibri" w:hAnsi="Calibri" w:cs="Calibri"/>
                <w:color w:val="000000"/>
              </w:rPr>
              <w:t>432.2738</w:t>
            </w:r>
          </w:p>
        </w:tc>
        <w:tc>
          <w:tcPr>
            <w:tcW w:w="847" w:type="pct"/>
            <w:gridSpan w:val="2"/>
            <w:tcBorders>
              <w:top w:val="nil"/>
              <w:left w:val="nil"/>
              <w:bottom w:val="single" w:sz="4" w:space="0" w:color="auto"/>
              <w:right w:val="single" w:sz="4" w:space="0" w:color="auto"/>
            </w:tcBorders>
            <w:shd w:val="clear" w:color="auto" w:fill="auto"/>
            <w:noWrap/>
            <w:vAlign w:val="bottom"/>
            <w:hideMark/>
          </w:tcPr>
          <w:p w14:paraId="37FB1540" w14:textId="77777777" w:rsidR="00603B68" w:rsidRPr="00603B68" w:rsidRDefault="00603B68" w:rsidP="00603B68">
            <w:pPr>
              <w:jc w:val="right"/>
              <w:rPr>
                <w:rFonts w:ascii="Calibri" w:hAnsi="Calibri" w:cs="Calibri"/>
                <w:color w:val="000000"/>
              </w:rPr>
            </w:pPr>
            <w:r w:rsidRPr="00603B68">
              <w:rPr>
                <w:rFonts w:ascii="Calibri" w:hAnsi="Calibri" w:cs="Calibri"/>
                <w:color w:val="000000"/>
              </w:rPr>
              <w:t>432.2738</w:t>
            </w:r>
          </w:p>
        </w:tc>
        <w:tc>
          <w:tcPr>
            <w:tcW w:w="847" w:type="pct"/>
            <w:gridSpan w:val="2"/>
            <w:tcBorders>
              <w:top w:val="nil"/>
              <w:left w:val="nil"/>
              <w:bottom w:val="single" w:sz="4" w:space="0" w:color="auto"/>
              <w:right w:val="single" w:sz="4" w:space="0" w:color="auto"/>
            </w:tcBorders>
            <w:shd w:val="clear" w:color="auto" w:fill="auto"/>
            <w:noWrap/>
            <w:vAlign w:val="bottom"/>
            <w:hideMark/>
          </w:tcPr>
          <w:p w14:paraId="366B04D4" w14:textId="77777777" w:rsidR="00603B68" w:rsidRPr="00603B68" w:rsidRDefault="00603B68" w:rsidP="00603B68">
            <w:pPr>
              <w:jc w:val="right"/>
              <w:rPr>
                <w:rFonts w:ascii="Calibri" w:hAnsi="Calibri" w:cs="Calibri"/>
                <w:color w:val="000000"/>
              </w:rPr>
            </w:pPr>
            <w:r w:rsidRPr="00603B68">
              <w:rPr>
                <w:rFonts w:ascii="Calibri" w:hAnsi="Calibri" w:cs="Calibri"/>
                <w:color w:val="000000"/>
              </w:rPr>
              <w:t>6.023101</w:t>
            </w:r>
          </w:p>
        </w:tc>
        <w:tc>
          <w:tcPr>
            <w:tcW w:w="1148" w:type="pct"/>
            <w:gridSpan w:val="2"/>
            <w:tcBorders>
              <w:top w:val="nil"/>
              <w:left w:val="nil"/>
              <w:bottom w:val="single" w:sz="4" w:space="0" w:color="auto"/>
              <w:right w:val="single" w:sz="4" w:space="0" w:color="auto"/>
            </w:tcBorders>
            <w:shd w:val="clear" w:color="auto" w:fill="auto"/>
            <w:noWrap/>
            <w:vAlign w:val="bottom"/>
            <w:hideMark/>
          </w:tcPr>
          <w:p w14:paraId="42A504EB" w14:textId="77777777" w:rsidR="00603B68" w:rsidRPr="00603B68" w:rsidRDefault="00603B68" w:rsidP="00603B68">
            <w:pPr>
              <w:jc w:val="right"/>
              <w:rPr>
                <w:rFonts w:ascii="Calibri" w:hAnsi="Calibri" w:cs="Calibri"/>
                <w:color w:val="000000"/>
              </w:rPr>
            </w:pPr>
            <w:r w:rsidRPr="00603B68">
              <w:rPr>
                <w:rFonts w:ascii="Calibri" w:hAnsi="Calibri" w:cs="Calibri"/>
                <w:color w:val="000000"/>
              </w:rPr>
              <w:t>0.023937</w:t>
            </w:r>
          </w:p>
        </w:tc>
      </w:tr>
      <w:tr w:rsidR="00603B68" w:rsidRPr="00603B68" w14:paraId="2C1FD816" w14:textId="77777777" w:rsidTr="00603B68">
        <w:tblPrEx>
          <w:jc w:val="left"/>
        </w:tblPrEx>
        <w:trPr>
          <w:trHeight w:val="300"/>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14:paraId="41981A29" w14:textId="77777777" w:rsidR="00603B68" w:rsidRPr="00603B68" w:rsidRDefault="00603B68" w:rsidP="00603B68">
            <w:pPr>
              <w:rPr>
                <w:rFonts w:ascii="Calibri" w:hAnsi="Calibri" w:cs="Calibri"/>
                <w:color w:val="000000"/>
              </w:rPr>
            </w:pPr>
            <w:r w:rsidRPr="00603B68">
              <w:rPr>
                <w:rFonts w:ascii="Calibri" w:hAnsi="Calibri" w:cs="Calibri"/>
                <w:color w:val="000000"/>
              </w:rPr>
              <w:t>Residual</w:t>
            </w:r>
          </w:p>
        </w:tc>
        <w:tc>
          <w:tcPr>
            <w:tcW w:w="495" w:type="pct"/>
            <w:tcBorders>
              <w:top w:val="nil"/>
              <w:left w:val="nil"/>
              <w:bottom w:val="single" w:sz="4" w:space="0" w:color="auto"/>
              <w:right w:val="single" w:sz="4" w:space="0" w:color="auto"/>
            </w:tcBorders>
            <w:shd w:val="clear" w:color="auto" w:fill="auto"/>
            <w:noWrap/>
            <w:vAlign w:val="bottom"/>
            <w:hideMark/>
          </w:tcPr>
          <w:p w14:paraId="03306C2B" w14:textId="77777777" w:rsidR="00603B68" w:rsidRPr="00603B68" w:rsidRDefault="00603B68" w:rsidP="00603B68">
            <w:pPr>
              <w:jc w:val="right"/>
              <w:rPr>
                <w:rFonts w:ascii="Calibri" w:hAnsi="Calibri" w:cs="Calibri"/>
                <w:color w:val="000000"/>
              </w:rPr>
            </w:pPr>
            <w:r w:rsidRPr="00603B68">
              <w:rPr>
                <w:rFonts w:ascii="Calibri" w:hAnsi="Calibri" w:cs="Calibri"/>
                <w:color w:val="000000"/>
              </w:rPr>
              <w:t>19</w:t>
            </w:r>
          </w:p>
        </w:tc>
        <w:tc>
          <w:tcPr>
            <w:tcW w:w="847" w:type="pct"/>
            <w:gridSpan w:val="2"/>
            <w:tcBorders>
              <w:top w:val="nil"/>
              <w:left w:val="nil"/>
              <w:bottom w:val="single" w:sz="4" w:space="0" w:color="auto"/>
              <w:right w:val="single" w:sz="4" w:space="0" w:color="auto"/>
            </w:tcBorders>
            <w:shd w:val="clear" w:color="auto" w:fill="auto"/>
            <w:noWrap/>
            <w:vAlign w:val="bottom"/>
            <w:hideMark/>
          </w:tcPr>
          <w:p w14:paraId="73B255DB" w14:textId="77777777" w:rsidR="00603B68" w:rsidRPr="00603B68" w:rsidRDefault="00603B68" w:rsidP="00603B68">
            <w:pPr>
              <w:jc w:val="right"/>
              <w:rPr>
                <w:rFonts w:ascii="Calibri" w:hAnsi="Calibri" w:cs="Calibri"/>
                <w:color w:val="000000"/>
              </w:rPr>
            </w:pPr>
            <w:r w:rsidRPr="00603B68">
              <w:rPr>
                <w:rFonts w:ascii="Calibri" w:hAnsi="Calibri" w:cs="Calibri"/>
                <w:color w:val="000000"/>
              </w:rPr>
              <w:t>1363.617</w:t>
            </w:r>
          </w:p>
        </w:tc>
        <w:tc>
          <w:tcPr>
            <w:tcW w:w="847" w:type="pct"/>
            <w:gridSpan w:val="2"/>
            <w:tcBorders>
              <w:top w:val="nil"/>
              <w:left w:val="nil"/>
              <w:bottom w:val="single" w:sz="4" w:space="0" w:color="auto"/>
              <w:right w:val="single" w:sz="4" w:space="0" w:color="auto"/>
            </w:tcBorders>
            <w:shd w:val="clear" w:color="auto" w:fill="auto"/>
            <w:noWrap/>
            <w:vAlign w:val="bottom"/>
            <w:hideMark/>
          </w:tcPr>
          <w:p w14:paraId="1B94A128" w14:textId="77777777" w:rsidR="00603B68" w:rsidRPr="00603B68" w:rsidRDefault="00603B68" w:rsidP="00603B68">
            <w:pPr>
              <w:jc w:val="right"/>
              <w:rPr>
                <w:rFonts w:ascii="Calibri" w:hAnsi="Calibri" w:cs="Calibri"/>
                <w:color w:val="000000"/>
              </w:rPr>
            </w:pPr>
            <w:r w:rsidRPr="00603B68">
              <w:rPr>
                <w:rFonts w:ascii="Calibri" w:hAnsi="Calibri" w:cs="Calibri"/>
                <w:color w:val="000000"/>
              </w:rPr>
              <w:t>71.76931</w:t>
            </w:r>
          </w:p>
        </w:tc>
        <w:tc>
          <w:tcPr>
            <w:tcW w:w="847" w:type="pct"/>
            <w:gridSpan w:val="2"/>
            <w:tcBorders>
              <w:top w:val="nil"/>
              <w:left w:val="nil"/>
              <w:bottom w:val="single" w:sz="4" w:space="0" w:color="auto"/>
              <w:right w:val="single" w:sz="4" w:space="0" w:color="auto"/>
            </w:tcBorders>
            <w:shd w:val="clear" w:color="auto" w:fill="auto"/>
            <w:noWrap/>
            <w:vAlign w:val="bottom"/>
            <w:hideMark/>
          </w:tcPr>
          <w:p w14:paraId="2FF749FC" w14:textId="77777777" w:rsidR="00603B68" w:rsidRPr="00603B68" w:rsidRDefault="00603B68" w:rsidP="00603B68">
            <w:pPr>
              <w:rPr>
                <w:rFonts w:ascii="Calibri" w:hAnsi="Calibri" w:cs="Calibri"/>
                <w:color w:val="000000"/>
              </w:rPr>
            </w:pPr>
            <w:r w:rsidRPr="00603B68">
              <w:rPr>
                <w:rFonts w:ascii="Calibri" w:hAnsi="Calibri" w:cs="Calibri"/>
                <w:color w:val="000000"/>
              </w:rPr>
              <w:t> </w:t>
            </w:r>
          </w:p>
        </w:tc>
        <w:tc>
          <w:tcPr>
            <w:tcW w:w="1148" w:type="pct"/>
            <w:gridSpan w:val="2"/>
            <w:tcBorders>
              <w:top w:val="nil"/>
              <w:left w:val="nil"/>
              <w:bottom w:val="single" w:sz="4" w:space="0" w:color="auto"/>
              <w:right w:val="single" w:sz="4" w:space="0" w:color="auto"/>
            </w:tcBorders>
            <w:shd w:val="clear" w:color="auto" w:fill="auto"/>
            <w:noWrap/>
            <w:vAlign w:val="bottom"/>
            <w:hideMark/>
          </w:tcPr>
          <w:p w14:paraId="3CDE02D7" w14:textId="77777777" w:rsidR="00603B68" w:rsidRPr="00603B68" w:rsidRDefault="00603B68" w:rsidP="00603B68">
            <w:pPr>
              <w:rPr>
                <w:rFonts w:ascii="Calibri" w:hAnsi="Calibri" w:cs="Calibri"/>
                <w:color w:val="000000"/>
              </w:rPr>
            </w:pPr>
            <w:r w:rsidRPr="00603B68">
              <w:rPr>
                <w:rFonts w:ascii="Calibri" w:hAnsi="Calibri" w:cs="Calibri"/>
                <w:color w:val="000000"/>
              </w:rPr>
              <w:t> </w:t>
            </w:r>
          </w:p>
        </w:tc>
      </w:tr>
      <w:tr w:rsidR="00603B68" w:rsidRPr="00603B68" w14:paraId="036703E1" w14:textId="77777777" w:rsidTr="00603B68">
        <w:tblPrEx>
          <w:jc w:val="left"/>
        </w:tblPrEx>
        <w:trPr>
          <w:trHeight w:val="300"/>
        </w:trPr>
        <w:tc>
          <w:tcPr>
            <w:tcW w:w="816" w:type="pct"/>
            <w:tcBorders>
              <w:top w:val="nil"/>
              <w:left w:val="single" w:sz="4" w:space="0" w:color="auto"/>
              <w:bottom w:val="single" w:sz="4" w:space="0" w:color="auto"/>
              <w:right w:val="single" w:sz="4" w:space="0" w:color="auto"/>
            </w:tcBorders>
            <w:shd w:val="clear" w:color="auto" w:fill="auto"/>
            <w:noWrap/>
            <w:vAlign w:val="bottom"/>
            <w:hideMark/>
          </w:tcPr>
          <w:p w14:paraId="5CB17FA2" w14:textId="77777777" w:rsidR="00603B68" w:rsidRPr="00603B68" w:rsidRDefault="00603B68" w:rsidP="00603B68">
            <w:pPr>
              <w:rPr>
                <w:rFonts w:ascii="Calibri" w:hAnsi="Calibri" w:cs="Calibri"/>
                <w:color w:val="000000"/>
              </w:rPr>
            </w:pPr>
            <w:r w:rsidRPr="00603B68">
              <w:rPr>
                <w:rFonts w:ascii="Calibri" w:hAnsi="Calibri" w:cs="Calibri"/>
                <w:color w:val="000000"/>
              </w:rPr>
              <w:t>Total</w:t>
            </w:r>
          </w:p>
        </w:tc>
        <w:tc>
          <w:tcPr>
            <w:tcW w:w="495" w:type="pct"/>
            <w:tcBorders>
              <w:top w:val="nil"/>
              <w:left w:val="nil"/>
              <w:bottom w:val="single" w:sz="4" w:space="0" w:color="auto"/>
              <w:right w:val="single" w:sz="4" w:space="0" w:color="auto"/>
            </w:tcBorders>
            <w:shd w:val="clear" w:color="auto" w:fill="auto"/>
            <w:noWrap/>
            <w:vAlign w:val="bottom"/>
            <w:hideMark/>
          </w:tcPr>
          <w:p w14:paraId="207A5A2C" w14:textId="77777777" w:rsidR="00603B68" w:rsidRPr="00603B68" w:rsidRDefault="00603B68" w:rsidP="00603B68">
            <w:pPr>
              <w:jc w:val="right"/>
              <w:rPr>
                <w:rFonts w:ascii="Calibri" w:hAnsi="Calibri" w:cs="Calibri"/>
                <w:color w:val="000000"/>
              </w:rPr>
            </w:pPr>
            <w:r w:rsidRPr="00603B68">
              <w:rPr>
                <w:rFonts w:ascii="Calibri" w:hAnsi="Calibri" w:cs="Calibri"/>
                <w:color w:val="000000"/>
              </w:rPr>
              <w:t>20</w:t>
            </w:r>
          </w:p>
        </w:tc>
        <w:tc>
          <w:tcPr>
            <w:tcW w:w="847" w:type="pct"/>
            <w:gridSpan w:val="2"/>
            <w:tcBorders>
              <w:top w:val="nil"/>
              <w:left w:val="nil"/>
              <w:bottom w:val="single" w:sz="4" w:space="0" w:color="auto"/>
              <w:right w:val="single" w:sz="4" w:space="0" w:color="auto"/>
            </w:tcBorders>
            <w:shd w:val="clear" w:color="auto" w:fill="auto"/>
            <w:noWrap/>
            <w:vAlign w:val="bottom"/>
            <w:hideMark/>
          </w:tcPr>
          <w:p w14:paraId="10E2082E" w14:textId="77777777" w:rsidR="00603B68" w:rsidRPr="00603B68" w:rsidRDefault="00603B68" w:rsidP="00603B68">
            <w:pPr>
              <w:jc w:val="right"/>
              <w:rPr>
                <w:rFonts w:ascii="Calibri" w:hAnsi="Calibri" w:cs="Calibri"/>
                <w:color w:val="000000"/>
              </w:rPr>
            </w:pPr>
            <w:r w:rsidRPr="00603B68">
              <w:rPr>
                <w:rFonts w:ascii="Calibri" w:hAnsi="Calibri" w:cs="Calibri"/>
                <w:color w:val="000000"/>
              </w:rPr>
              <w:t>1795.891</w:t>
            </w:r>
          </w:p>
        </w:tc>
        <w:tc>
          <w:tcPr>
            <w:tcW w:w="847" w:type="pct"/>
            <w:gridSpan w:val="2"/>
            <w:tcBorders>
              <w:top w:val="nil"/>
              <w:left w:val="nil"/>
              <w:bottom w:val="single" w:sz="4" w:space="0" w:color="auto"/>
              <w:right w:val="single" w:sz="4" w:space="0" w:color="auto"/>
            </w:tcBorders>
            <w:shd w:val="clear" w:color="auto" w:fill="auto"/>
            <w:noWrap/>
            <w:vAlign w:val="bottom"/>
            <w:hideMark/>
          </w:tcPr>
          <w:p w14:paraId="4A60770C" w14:textId="77777777" w:rsidR="00603B68" w:rsidRPr="00603B68" w:rsidRDefault="00603B68" w:rsidP="00603B68">
            <w:pPr>
              <w:rPr>
                <w:rFonts w:ascii="Calibri" w:hAnsi="Calibri" w:cs="Calibri"/>
                <w:color w:val="000000"/>
              </w:rPr>
            </w:pPr>
            <w:r w:rsidRPr="00603B68">
              <w:rPr>
                <w:rFonts w:ascii="Calibri" w:hAnsi="Calibri" w:cs="Calibri"/>
                <w:color w:val="000000"/>
              </w:rPr>
              <w:t> </w:t>
            </w:r>
          </w:p>
        </w:tc>
        <w:tc>
          <w:tcPr>
            <w:tcW w:w="847" w:type="pct"/>
            <w:gridSpan w:val="2"/>
            <w:tcBorders>
              <w:top w:val="nil"/>
              <w:left w:val="nil"/>
              <w:bottom w:val="single" w:sz="4" w:space="0" w:color="auto"/>
              <w:right w:val="single" w:sz="4" w:space="0" w:color="auto"/>
            </w:tcBorders>
            <w:shd w:val="clear" w:color="auto" w:fill="auto"/>
            <w:noWrap/>
            <w:vAlign w:val="bottom"/>
            <w:hideMark/>
          </w:tcPr>
          <w:p w14:paraId="71C3D2E2" w14:textId="77777777" w:rsidR="00603B68" w:rsidRPr="00603B68" w:rsidRDefault="00603B68" w:rsidP="00603B68">
            <w:pPr>
              <w:rPr>
                <w:rFonts w:ascii="Calibri" w:hAnsi="Calibri" w:cs="Calibri"/>
                <w:color w:val="000000"/>
              </w:rPr>
            </w:pPr>
            <w:r w:rsidRPr="00603B68">
              <w:rPr>
                <w:rFonts w:ascii="Calibri" w:hAnsi="Calibri" w:cs="Calibri"/>
                <w:color w:val="000000"/>
              </w:rPr>
              <w:t> </w:t>
            </w:r>
          </w:p>
        </w:tc>
        <w:tc>
          <w:tcPr>
            <w:tcW w:w="1148" w:type="pct"/>
            <w:gridSpan w:val="2"/>
            <w:tcBorders>
              <w:top w:val="nil"/>
              <w:left w:val="nil"/>
              <w:bottom w:val="single" w:sz="4" w:space="0" w:color="auto"/>
              <w:right w:val="single" w:sz="4" w:space="0" w:color="auto"/>
            </w:tcBorders>
            <w:shd w:val="clear" w:color="auto" w:fill="auto"/>
            <w:noWrap/>
            <w:vAlign w:val="bottom"/>
            <w:hideMark/>
          </w:tcPr>
          <w:p w14:paraId="007E2BE8" w14:textId="77777777" w:rsidR="00603B68" w:rsidRPr="00603B68" w:rsidRDefault="00603B68" w:rsidP="00603B68">
            <w:pPr>
              <w:rPr>
                <w:rFonts w:ascii="Calibri" w:hAnsi="Calibri" w:cs="Calibri"/>
                <w:color w:val="000000"/>
              </w:rPr>
            </w:pPr>
            <w:r w:rsidRPr="00603B68">
              <w:rPr>
                <w:rFonts w:ascii="Calibri" w:hAnsi="Calibri" w:cs="Calibri"/>
                <w:color w:val="000000"/>
              </w:rPr>
              <w:t> </w:t>
            </w:r>
          </w:p>
        </w:tc>
      </w:tr>
    </w:tbl>
    <w:p w14:paraId="220C82BE" w14:textId="77777777" w:rsidR="00603B68" w:rsidRPr="00603B68" w:rsidRDefault="00603B68" w:rsidP="00BF3DD0">
      <w:pPr>
        <w:rPr>
          <w:sz w:val="2"/>
        </w:rPr>
      </w:pPr>
    </w:p>
    <w:tbl>
      <w:tblPr>
        <w:tblW w:w="9355" w:type="dxa"/>
        <w:tblInd w:w="-5" w:type="dxa"/>
        <w:tblLook w:val="04A0" w:firstRow="1" w:lastRow="0" w:firstColumn="1" w:lastColumn="0" w:noHBand="0" w:noVBand="1"/>
      </w:tblPr>
      <w:tblGrid>
        <w:gridCol w:w="1204"/>
        <w:gridCol w:w="1289"/>
        <w:gridCol w:w="1058"/>
        <w:gridCol w:w="996"/>
        <w:gridCol w:w="996"/>
        <w:gridCol w:w="996"/>
        <w:gridCol w:w="910"/>
        <w:gridCol w:w="996"/>
        <w:gridCol w:w="910"/>
      </w:tblGrid>
      <w:tr w:rsidR="00603B68" w:rsidRPr="00603B68" w14:paraId="53627416" w14:textId="77777777" w:rsidTr="00603B6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0743E" w14:textId="77777777" w:rsidR="00603B68" w:rsidRPr="00603B68" w:rsidRDefault="00603B68" w:rsidP="00603B68">
            <w:pPr>
              <w:jc w:val="center"/>
              <w:rPr>
                <w:rFonts w:ascii="Calibri" w:hAnsi="Calibri" w:cs="Calibri"/>
                <w:i/>
                <w:iCs/>
                <w:color w:val="000000"/>
              </w:rPr>
            </w:pPr>
            <w:r w:rsidRPr="00603B68">
              <w:rPr>
                <w:rFonts w:ascii="Calibri" w:hAnsi="Calibri" w:cs="Calibri"/>
                <w:i/>
                <w:iCs/>
                <w:color w:val="000000"/>
              </w:rPr>
              <w:t> </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14:paraId="0D785870" w14:textId="77777777" w:rsidR="00603B68" w:rsidRPr="00603B68" w:rsidRDefault="00603B68" w:rsidP="00603B68">
            <w:pPr>
              <w:jc w:val="center"/>
              <w:rPr>
                <w:rFonts w:ascii="Calibri" w:hAnsi="Calibri" w:cs="Calibri"/>
                <w:i/>
                <w:iCs/>
                <w:color w:val="000000"/>
              </w:rPr>
            </w:pPr>
            <w:r w:rsidRPr="00603B68">
              <w:rPr>
                <w:rFonts w:ascii="Calibri" w:hAnsi="Calibri" w:cs="Calibri"/>
                <w:i/>
                <w:iCs/>
                <w:color w:val="000000"/>
              </w:rPr>
              <w:t>Coefficients</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14:paraId="5CE57DAD" w14:textId="77777777" w:rsidR="00603B68" w:rsidRPr="00603B68" w:rsidRDefault="00603B68" w:rsidP="00603B68">
            <w:pPr>
              <w:jc w:val="center"/>
              <w:rPr>
                <w:rFonts w:ascii="Calibri" w:hAnsi="Calibri" w:cs="Calibri"/>
                <w:i/>
                <w:iCs/>
                <w:color w:val="000000"/>
              </w:rPr>
            </w:pPr>
            <w:r w:rsidRPr="00603B68">
              <w:rPr>
                <w:rFonts w:ascii="Calibri" w:hAnsi="Calibri" w:cs="Calibri"/>
                <w:i/>
                <w:iCs/>
                <w:color w:val="000000"/>
              </w:rPr>
              <w:t>Standard Error</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14:paraId="6B135081" w14:textId="77777777" w:rsidR="00603B68" w:rsidRPr="00603B68" w:rsidRDefault="00603B68" w:rsidP="00603B68">
            <w:pPr>
              <w:jc w:val="center"/>
              <w:rPr>
                <w:rFonts w:ascii="Calibri" w:hAnsi="Calibri" w:cs="Calibri"/>
                <w:i/>
                <w:iCs/>
                <w:color w:val="000000"/>
              </w:rPr>
            </w:pPr>
            <w:r w:rsidRPr="00603B68">
              <w:rPr>
                <w:rFonts w:ascii="Calibri" w:hAnsi="Calibri" w:cs="Calibri"/>
                <w:i/>
                <w:iCs/>
                <w:color w:val="000000"/>
              </w:rPr>
              <w:t>t Stat</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14:paraId="5F044BF7" w14:textId="77777777" w:rsidR="00603B68" w:rsidRPr="00603B68" w:rsidRDefault="00603B68" w:rsidP="00603B68">
            <w:pPr>
              <w:jc w:val="center"/>
              <w:rPr>
                <w:rFonts w:ascii="Calibri" w:hAnsi="Calibri" w:cs="Calibri"/>
                <w:i/>
                <w:iCs/>
                <w:color w:val="000000"/>
              </w:rPr>
            </w:pPr>
            <w:r w:rsidRPr="00603B68">
              <w:rPr>
                <w:rFonts w:ascii="Calibri" w:hAnsi="Calibri" w:cs="Calibri"/>
                <w:i/>
                <w:iCs/>
                <w:color w:val="000000"/>
              </w:rPr>
              <w:t>P-value</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14:paraId="42E31A2C" w14:textId="77777777" w:rsidR="00603B68" w:rsidRPr="00603B68" w:rsidRDefault="00603B68" w:rsidP="00603B68">
            <w:pPr>
              <w:jc w:val="center"/>
              <w:rPr>
                <w:rFonts w:ascii="Calibri" w:hAnsi="Calibri" w:cs="Calibri"/>
                <w:i/>
                <w:iCs/>
                <w:color w:val="000000"/>
              </w:rPr>
            </w:pPr>
            <w:r w:rsidRPr="00603B68">
              <w:rPr>
                <w:rFonts w:ascii="Calibri" w:hAnsi="Calibri" w:cs="Calibri"/>
                <w:i/>
                <w:iCs/>
                <w:color w:val="000000"/>
              </w:rPr>
              <w:t>Lower 95%</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14:paraId="1D6FE2DA" w14:textId="77777777" w:rsidR="00603B68" w:rsidRPr="00603B68" w:rsidRDefault="00603B68" w:rsidP="00603B68">
            <w:pPr>
              <w:jc w:val="center"/>
              <w:rPr>
                <w:rFonts w:ascii="Calibri" w:hAnsi="Calibri" w:cs="Calibri"/>
                <w:i/>
                <w:iCs/>
                <w:color w:val="000000"/>
              </w:rPr>
            </w:pPr>
            <w:r w:rsidRPr="00603B68">
              <w:rPr>
                <w:rFonts w:ascii="Calibri" w:hAnsi="Calibri" w:cs="Calibri"/>
                <w:i/>
                <w:iCs/>
                <w:color w:val="000000"/>
              </w:rPr>
              <w:t>Upper 95%</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14:paraId="685E8901" w14:textId="77777777" w:rsidR="00603B68" w:rsidRPr="00603B68" w:rsidRDefault="00603B68" w:rsidP="00603B68">
            <w:pPr>
              <w:jc w:val="center"/>
              <w:rPr>
                <w:rFonts w:ascii="Calibri" w:hAnsi="Calibri" w:cs="Calibri"/>
                <w:i/>
                <w:iCs/>
                <w:color w:val="000000"/>
              </w:rPr>
            </w:pPr>
            <w:r w:rsidRPr="00603B68">
              <w:rPr>
                <w:rFonts w:ascii="Calibri" w:hAnsi="Calibri" w:cs="Calibri"/>
                <w:i/>
                <w:iCs/>
                <w:color w:val="000000"/>
              </w:rPr>
              <w:t>Lower 95.0%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14:paraId="0DBAD3F7" w14:textId="77777777" w:rsidR="00603B68" w:rsidRPr="00603B68" w:rsidRDefault="00603B68" w:rsidP="00603B68">
            <w:pPr>
              <w:jc w:val="center"/>
              <w:rPr>
                <w:rFonts w:ascii="Calibri" w:hAnsi="Calibri" w:cs="Calibri"/>
                <w:i/>
                <w:iCs/>
                <w:color w:val="000000"/>
              </w:rPr>
            </w:pPr>
            <w:r w:rsidRPr="00603B68">
              <w:rPr>
                <w:rFonts w:ascii="Calibri" w:hAnsi="Calibri" w:cs="Calibri"/>
                <w:i/>
                <w:iCs/>
                <w:color w:val="000000"/>
              </w:rPr>
              <w:t>Upper 95.0%</w:t>
            </w:r>
          </w:p>
        </w:tc>
      </w:tr>
      <w:tr w:rsidR="00603B68" w:rsidRPr="00603B68" w14:paraId="3611ABB8" w14:textId="77777777" w:rsidTr="00603B68">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30C432B" w14:textId="77777777" w:rsidR="00603B68" w:rsidRPr="00603B68" w:rsidRDefault="00603B68" w:rsidP="00603B68">
            <w:pPr>
              <w:rPr>
                <w:rFonts w:ascii="Calibri" w:hAnsi="Calibri" w:cs="Calibri"/>
                <w:color w:val="000000"/>
              </w:rPr>
            </w:pPr>
            <w:r w:rsidRPr="00603B68">
              <w:rPr>
                <w:rFonts w:ascii="Calibri" w:hAnsi="Calibri" w:cs="Calibri"/>
                <w:color w:val="000000"/>
              </w:rPr>
              <w:t>Intercept</w:t>
            </w:r>
          </w:p>
        </w:tc>
        <w:tc>
          <w:tcPr>
            <w:tcW w:w="1004" w:type="dxa"/>
            <w:tcBorders>
              <w:top w:val="nil"/>
              <w:left w:val="nil"/>
              <w:bottom w:val="single" w:sz="4" w:space="0" w:color="auto"/>
              <w:right w:val="single" w:sz="4" w:space="0" w:color="auto"/>
            </w:tcBorders>
            <w:shd w:val="clear" w:color="auto" w:fill="auto"/>
            <w:noWrap/>
            <w:vAlign w:val="bottom"/>
            <w:hideMark/>
          </w:tcPr>
          <w:p w14:paraId="08796D91" w14:textId="77777777" w:rsidR="00603B68" w:rsidRPr="00603B68" w:rsidRDefault="00603B68" w:rsidP="00603B68">
            <w:pPr>
              <w:jc w:val="right"/>
              <w:rPr>
                <w:rFonts w:ascii="Calibri" w:hAnsi="Calibri" w:cs="Calibri"/>
                <w:color w:val="000000"/>
              </w:rPr>
            </w:pPr>
            <w:r>
              <w:rPr>
                <w:rFonts w:ascii="Calibri" w:hAnsi="Calibri" w:cs="Calibri"/>
                <w:color w:val="000000"/>
              </w:rPr>
              <w:t>303.70</w:t>
            </w:r>
          </w:p>
        </w:tc>
        <w:tc>
          <w:tcPr>
            <w:tcW w:w="1039" w:type="dxa"/>
            <w:tcBorders>
              <w:top w:val="nil"/>
              <w:left w:val="nil"/>
              <w:bottom w:val="single" w:sz="4" w:space="0" w:color="auto"/>
              <w:right w:val="single" w:sz="4" w:space="0" w:color="auto"/>
            </w:tcBorders>
            <w:shd w:val="clear" w:color="auto" w:fill="auto"/>
            <w:noWrap/>
            <w:vAlign w:val="bottom"/>
            <w:hideMark/>
          </w:tcPr>
          <w:p w14:paraId="356CF5D9" w14:textId="77777777" w:rsidR="00603B68" w:rsidRPr="00603B68" w:rsidRDefault="00603B68" w:rsidP="00603B68">
            <w:pPr>
              <w:jc w:val="right"/>
              <w:rPr>
                <w:rFonts w:ascii="Calibri" w:hAnsi="Calibri" w:cs="Calibri"/>
                <w:color w:val="000000"/>
              </w:rPr>
            </w:pPr>
            <w:r>
              <w:rPr>
                <w:rFonts w:ascii="Calibri" w:hAnsi="Calibri" w:cs="Calibri"/>
                <w:color w:val="000000"/>
              </w:rPr>
              <w:t>51.34</w:t>
            </w:r>
          </w:p>
        </w:tc>
        <w:tc>
          <w:tcPr>
            <w:tcW w:w="1039" w:type="dxa"/>
            <w:tcBorders>
              <w:top w:val="nil"/>
              <w:left w:val="nil"/>
              <w:bottom w:val="single" w:sz="4" w:space="0" w:color="auto"/>
              <w:right w:val="single" w:sz="4" w:space="0" w:color="auto"/>
            </w:tcBorders>
            <w:shd w:val="clear" w:color="auto" w:fill="auto"/>
            <w:noWrap/>
            <w:vAlign w:val="bottom"/>
            <w:hideMark/>
          </w:tcPr>
          <w:p w14:paraId="302049B6" w14:textId="77777777" w:rsidR="00603B68" w:rsidRPr="00603B68" w:rsidRDefault="00603B68" w:rsidP="00603B68">
            <w:pPr>
              <w:jc w:val="right"/>
              <w:rPr>
                <w:rFonts w:ascii="Calibri" w:hAnsi="Calibri" w:cs="Calibri"/>
                <w:color w:val="000000"/>
              </w:rPr>
            </w:pPr>
            <w:r>
              <w:rPr>
                <w:rFonts w:ascii="Calibri" w:hAnsi="Calibri" w:cs="Calibri"/>
                <w:color w:val="000000"/>
              </w:rPr>
              <w:t>5.91</w:t>
            </w:r>
          </w:p>
        </w:tc>
        <w:tc>
          <w:tcPr>
            <w:tcW w:w="1039" w:type="dxa"/>
            <w:tcBorders>
              <w:top w:val="nil"/>
              <w:left w:val="nil"/>
              <w:bottom w:val="single" w:sz="4" w:space="0" w:color="auto"/>
              <w:right w:val="single" w:sz="4" w:space="0" w:color="auto"/>
            </w:tcBorders>
            <w:shd w:val="clear" w:color="auto" w:fill="auto"/>
            <w:noWrap/>
            <w:vAlign w:val="bottom"/>
            <w:hideMark/>
          </w:tcPr>
          <w:p w14:paraId="61B88509" w14:textId="0A19511D" w:rsidR="00603B68" w:rsidRPr="00603B68" w:rsidRDefault="00A26BFC" w:rsidP="00603B68">
            <w:pPr>
              <w:jc w:val="right"/>
              <w:rPr>
                <w:rFonts w:ascii="Calibri" w:hAnsi="Calibri" w:cs="Calibri"/>
                <w:color w:val="000000"/>
              </w:rPr>
            </w:pPr>
            <w:r>
              <w:rPr>
                <w:rFonts w:ascii="Calibri" w:hAnsi="Calibri" w:cs="Calibri"/>
                <w:color w:val="000000"/>
              </w:rPr>
              <w:t>1.08E</w:t>
            </w:r>
          </w:p>
        </w:tc>
        <w:tc>
          <w:tcPr>
            <w:tcW w:w="1039" w:type="dxa"/>
            <w:tcBorders>
              <w:top w:val="nil"/>
              <w:left w:val="nil"/>
              <w:bottom w:val="single" w:sz="4" w:space="0" w:color="auto"/>
              <w:right w:val="single" w:sz="4" w:space="0" w:color="auto"/>
            </w:tcBorders>
            <w:shd w:val="clear" w:color="auto" w:fill="auto"/>
            <w:noWrap/>
            <w:vAlign w:val="bottom"/>
            <w:hideMark/>
          </w:tcPr>
          <w:p w14:paraId="7ED493C4" w14:textId="77777777" w:rsidR="00603B68" w:rsidRPr="00603B68" w:rsidRDefault="00603B68" w:rsidP="00603B68">
            <w:pPr>
              <w:jc w:val="right"/>
              <w:rPr>
                <w:rFonts w:ascii="Calibri" w:hAnsi="Calibri" w:cs="Calibri"/>
                <w:color w:val="000000"/>
              </w:rPr>
            </w:pPr>
            <w:r>
              <w:rPr>
                <w:rFonts w:ascii="Calibri" w:hAnsi="Calibri" w:cs="Calibri"/>
                <w:color w:val="000000"/>
              </w:rPr>
              <w:t>196.23</w:t>
            </w:r>
          </w:p>
        </w:tc>
        <w:tc>
          <w:tcPr>
            <w:tcW w:w="948" w:type="dxa"/>
            <w:tcBorders>
              <w:top w:val="nil"/>
              <w:left w:val="nil"/>
              <w:bottom w:val="single" w:sz="4" w:space="0" w:color="auto"/>
              <w:right w:val="single" w:sz="4" w:space="0" w:color="auto"/>
            </w:tcBorders>
            <w:shd w:val="clear" w:color="auto" w:fill="auto"/>
            <w:noWrap/>
            <w:vAlign w:val="bottom"/>
            <w:hideMark/>
          </w:tcPr>
          <w:p w14:paraId="3C35BCD1" w14:textId="77777777" w:rsidR="00603B68" w:rsidRPr="00603B68" w:rsidRDefault="00603B68" w:rsidP="00603B68">
            <w:pPr>
              <w:jc w:val="right"/>
              <w:rPr>
                <w:rFonts w:ascii="Calibri" w:hAnsi="Calibri" w:cs="Calibri"/>
                <w:color w:val="000000"/>
              </w:rPr>
            </w:pPr>
            <w:r>
              <w:rPr>
                <w:rFonts w:ascii="Calibri" w:hAnsi="Calibri" w:cs="Calibri"/>
                <w:color w:val="000000"/>
              </w:rPr>
              <w:t>411.17</w:t>
            </w:r>
          </w:p>
        </w:tc>
        <w:tc>
          <w:tcPr>
            <w:tcW w:w="1039" w:type="dxa"/>
            <w:tcBorders>
              <w:top w:val="nil"/>
              <w:left w:val="nil"/>
              <w:bottom w:val="single" w:sz="4" w:space="0" w:color="auto"/>
              <w:right w:val="single" w:sz="4" w:space="0" w:color="auto"/>
            </w:tcBorders>
            <w:shd w:val="clear" w:color="auto" w:fill="auto"/>
            <w:noWrap/>
            <w:vAlign w:val="bottom"/>
            <w:hideMark/>
          </w:tcPr>
          <w:p w14:paraId="74996614" w14:textId="77777777" w:rsidR="00603B68" w:rsidRPr="00603B68" w:rsidRDefault="00603B68" w:rsidP="00603B68">
            <w:pPr>
              <w:jc w:val="right"/>
              <w:rPr>
                <w:rFonts w:ascii="Calibri" w:hAnsi="Calibri" w:cs="Calibri"/>
                <w:color w:val="000000"/>
              </w:rPr>
            </w:pPr>
            <w:r w:rsidRPr="00603B68">
              <w:rPr>
                <w:rFonts w:ascii="Calibri" w:hAnsi="Calibri" w:cs="Calibri"/>
                <w:color w:val="000000"/>
              </w:rPr>
              <w:t>196.23</w:t>
            </w:r>
          </w:p>
        </w:tc>
        <w:tc>
          <w:tcPr>
            <w:tcW w:w="948" w:type="dxa"/>
            <w:tcBorders>
              <w:top w:val="nil"/>
              <w:left w:val="nil"/>
              <w:bottom w:val="single" w:sz="4" w:space="0" w:color="auto"/>
              <w:right w:val="single" w:sz="4" w:space="0" w:color="auto"/>
            </w:tcBorders>
            <w:shd w:val="clear" w:color="auto" w:fill="auto"/>
            <w:noWrap/>
            <w:vAlign w:val="bottom"/>
            <w:hideMark/>
          </w:tcPr>
          <w:p w14:paraId="3BEE0A65" w14:textId="77777777" w:rsidR="00603B68" w:rsidRPr="00603B68" w:rsidRDefault="00603B68" w:rsidP="00603B68">
            <w:pPr>
              <w:jc w:val="right"/>
              <w:rPr>
                <w:rFonts w:ascii="Calibri" w:hAnsi="Calibri" w:cs="Calibri"/>
                <w:color w:val="000000"/>
              </w:rPr>
            </w:pPr>
            <w:r w:rsidRPr="00603B68">
              <w:rPr>
                <w:rFonts w:ascii="Calibri" w:hAnsi="Calibri" w:cs="Calibri"/>
                <w:color w:val="000000"/>
              </w:rPr>
              <w:t>411.17</w:t>
            </w:r>
          </w:p>
        </w:tc>
      </w:tr>
      <w:tr w:rsidR="00603B68" w:rsidRPr="00603B68" w14:paraId="5E647D02" w14:textId="77777777" w:rsidTr="00603B68">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EF58251" w14:textId="77777777" w:rsidR="00603B68" w:rsidRPr="00603B68" w:rsidRDefault="00603B68" w:rsidP="00603B68">
            <w:pPr>
              <w:rPr>
                <w:rFonts w:ascii="Calibri" w:hAnsi="Calibri" w:cs="Calibri"/>
                <w:color w:val="000000"/>
              </w:rPr>
            </w:pPr>
            <w:r>
              <w:rPr>
                <w:rFonts w:ascii="Calibri" w:hAnsi="Calibri" w:cs="Calibri"/>
                <w:color w:val="000000"/>
              </w:rPr>
              <w:t xml:space="preserve">X Variable </w:t>
            </w:r>
          </w:p>
        </w:tc>
        <w:tc>
          <w:tcPr>
            <w:tcW w:w="1004" w:type="dxa"/>
            <w:tcBorders>
              <w:top w:val="nil"/>
              <w:left w:val="nil"/>
              <w:bottom w:val="single" w:sz="4" w:space="0" w:color="auto"/>
              <w:right w:val="single" w:sz="4" w:space="0" w:color="auto"/>
            </w:tcBorders>
            <w:shd w:val="clear" w:color="auto" w:fill="auto"/>
            <w:noWrap/>
            <w:vAlign w:val="bottom"/>
            <w:hideMark/>
          </w:tcPr>
          <w:p w14:paraId="0B953A6A" w14:textId="77777777" w:rsidR="00603B68" w:rsidRPr="00603B68" w:rsidRDefault="00603B68" w:rsidP="00603B68">
            <w:pPr>
              <w:jc w:val="right"/>
              <w:rPr>
                <w:rFonts w:ascii="Calibri" w:hAnsi="Calibri" w:cs="Calibri"/>
                <w:color w:val="000000"/>
              </w:rPr>
            </w:pPr>
            <w:r>
              <w:rPr>
                <w:rFonts w:ascii="Calibri" w:hAnsi="Calibri" w:cs="Calibri"/>
                <w:color w:val="000000"/>
              </w:rPr>
              <w:t>0.2986</w:t>
            </w:r>
          </w:p>
        </w:tc>
        <w:tc>
          <w:tcPr>
            <w:tcW w:w="1039" w:type="dxa"/>
            <w:tcBorders>
              <w:top w:val="nil"/>
              <w:left w:val="nil"/>
              <w:bottom w:val="single" w:sz="4" w:space="0" w:color="auto"/>
              <w:right w:val="single" w:sz="4" w:space="0" w:color="auto"/>
            </w:tcBorders>
            <w:shd w:val="clear" w:color="auto" w:fill="auto"/>
            <w:noWrap/>
            <w:vAlign w:val="bottom"/>
            <w:hideMark/>
          </w:tcPr>
          <w:p w14:paraId="76EEB7F1" w14:textId="77777777" w:rsidR="00603B68" w:rsidRPr="00603B68" w:rsidRDefault="00603B68" w:rsidP="00603B68">
            <w:pPr>
              <w:jc w:val="right"/>
              <w:rPr>
                <w:rFonts w:ascii="Calibri" w:hAnsi="Calibri" w:cs="Calibri"/>
                <w:color w:val="000000"/>
              </w:rPr>
            </w:pPr>
            <w:r>
              <w:rPr>
                <w:rFonts w:ascii="Calibri" w:hAnsi="Calibri" w:cs="Calibri"/>
                <w:color w:val="000000"/>
              </w:rPr>
              <w:t>0.12</w:t>
            </w:r>
          </w:p>
        </w:tc>
        <w:tc>
          <w:tcPr>
            <w:tcW w:w="1039" w:type="dxa"/>
            <w:tcBorders>
              <w:top w:val="nil"/>
              <w:left w:val="nil"/>
              <w:bottom w:val="single" w:sz="4" w:space="0" w:color="auto"/>
              <w:right w:val="single" w:sz="4" w:space="0" w:color="auto"/>
            </w:tcBorders>
            <w:shd w:val="clear" w:color="auto" w:fill="auto"/>
            <w:noWrap/>
            <w:vAlign w:val="bottom"/>
            <w:hideMark/>
          </w:tcPr>
          <w:p w14:paraId="3F1384AC" w14:textId="77777777" w:rsidR="00603B68" w:rsidRPr="00603B68" w:rsidRDefault="00603B68" w:rsidP="00603B68">
            <w:pPr>
              <w:jc w:val="right"/>
              <w:rPr>
                <w:rFonts w:ascii="Calibri" w:hAnsi="Calibri" w:cs="Calibri"/>
                <w:color w:val="000000"/>
              </w:rPr>
            </w:pPr>
            <w:r>
              <w:rPr>
                <w:rFonts w:ascii="Calibri" w:hAnsi="Calibri" w:cs="Calibri"/>
                <w:color w:val="000000"/>
              </w:rPr>
              <w:t>2.45</w:t>
            </w:r>
          </w:p>
        </w:tc>
        <w:tc>
          <w:tcPr>
            <w:tcW w:w="1039" w:type="dxa"/>
            <w:tcBorders>
              <w:top w:val="nil"/>
              <w:left w:val="nil"/>
              <w:bottom w:val="single" w:sz="4" w:space="0" w:color="auto"/>
              <w:right w:val="single" w:sz="4" w:space="0" w:color="auto"/>
            </w:tcBorders>
            <w:shd w:val="clear" w:color="auto" w:fill="auto"/>
            <w:noWrap/>
            <w:vAlign w:val="bottom"/>
            <w:hideMark/>
          </w:tcPr>
          <w:p w14:paraId="6AD59884" w14:textId="0823FDB4" w:rsidR="00603B68" w:rsidRPr="00603B68" w:rsidRDefault="00A26BFC" w:rsidP="00603B68">
            <w:pPr>
              <w:jc w:val="right"/>
              <w:rPr>
                <w:rFonts w:ascii="Calibri" w:hAnsi="Calibri" w:cs="Calibri"/>
                <w:color w:val="000000"/>
              </w:rPr>
            </w:pPr>
            <w:r>
              <w:rPr>
                <w:rFonts w:ascii="Calibri" w:hAnsi="Calibri" w:cs="Calibri"/>
                <w:color w:val="000000"/>
              </w:rPr>
              <w:t>0.0239</w:t>
            </w:r>
          </w:p>
        </w:tc>
        <w:tc>
          <w:tcPr>
            <w:tcW w:w="1039" w:type="dxa"/>
            <w:tcBorders>
              <w:top w:val="nil"/>
              <w:left w:val="nil"/>
              <w:bottom w:val="single" w:sz="4" w:space="0" w:color="auto"/>
              <w:right w:val="single" w:sz="4" w:space="0" w:color="auto"/>
            </w:tcBorders>
            <w:shd w:val="clear" w:color="auto" w:fill="auto"/>
            <w:noWrap/>
            <w:vAlign w:val="bottom"/>
            <w:hideMark/>
          </w:tcPr>
          <w:p w14:paraId="1F48FE96" w14:textId="77777777" w:rsidR="00603B68" w:rsidRPr="00603B68" w:rsidRDefault="00603B68" w:rsidP="00603B68">
            <w:pPr>
              <w:jc w:val="right"/>
              <w:rPr>
                <w:rFonts w:ascii="Calibri" w:hAnsi="Calibri" w:cs="Calibri"/>
                <w:color w:val="000000"/>
              </w:rPr>
            </w:pPr>
            <w:r>
              <w:rPr>
                <w:rFonts w:ascii="Calibri" w:hAnsi="Calibri" w:cs="Calibri"/>
                <w:color w:val="000000"/>
              </w:rPr>
              <w:t>0.04</w:t>
            </w:r>
          </w:p>
        </w:tc>
        <w:tc>
          <w:tcPr>
            <w:tcW w:w="948" w:type="dxa"/>
            <w:tcBorders>
              <w:top w:val="nil"/>
              <w:left w:val="nil"/>
              <w:bottom w:val="single" w:sz="4" w:space="0" w:color="auto"/>
              <w:right w:val="single" w:sz="4" w:space="0" w:color="auto"/>
            </w:tcBorders>
            <w:shd w:val="clear" w:color="auto" w:fill="auto"/>
            <w:noWrap/>
            <w:vAlign w:val="bottom"/>
            <w:hideMark/>
          </w:tcPr>
          <w:p w14:paraId="4E5B7311" w14:textId="77777777" w:rsidR="00603B68" w:rsidRPr="00603B68" w:rsidRDefault="00603B68" w:rsidP="00603B68">
            <w:pPr>
              <w:jc w:val="right"/>
              <w:rPr>
                <w:rFonts w:ascii="Calibri" w:hAnsi="Calibri" w:cs="Calibri"/>
                <w:color w:val="000000"/>
              </w:rPr>
            </w:pPr>
            <w:r>
              <w:rPr>
                <w:rFonts w:ascii="Calibri" w:hAnsi="Calibri" w:cs="Calibri"/>
                <w:color w:val="000000"/>
              </w:rPr>
              <w:t>0.55</w:t>
            </w:r>
          </w:p>
        </w:tc>
        <w:tc>
          <w:tcPr>
            <w:tcW w:w="1039" w:type="dxa"/>
            <w:tcBorders>
              <w:top w:val="nil"/>
              <w:left w:val="nil"/>
              <w:bottom w:val="single" w:sz="4" w:space="0" w:color="auto"/>
              <w:right w:val="single" w:sz="4" w:space="0" w:color="auto"/>
            </w:tcBorders>
            <w:shd w:val="clear" w:color="auto" w:fill="auto"/>
            <w:noWrap/>
            <w:vAlign w:val="bottom"/>
            <w:hideMark/>
          </w:tcPr>
          <w:p w14:paraId="255A4452" w14:textId="77777777" w:rsidR="00603B68" w:rsidRPr="00603B68" w:rsidRDefault="00603B68" w:rsidP="00603B68">
            <w:pPr>
              <w:jc w:val="right"/>
              <w:rPr>
                <w:rFonts w:ascii="Calibri" w:hAnsi="Calibri" w:cs="Calibri"/>
                <w:color w:val="000000"/>
              </w:rPr>
            </w:pPr>
            <w:r w:rsidRPr="00603B68">
              <w:rPr>
                <w:rFonts w:ascii="Calibri" w:hAnsi="Calibri" w:cs="Calibri"/>
                <w:color w:val="000000"/>
              </w:rPr>
              <w:t>0.04</w:t>
            </w:r>
          </w:p>
        </w:tc>
        <w:tc>
          <w:tcPr>
            <w:tcW w:w="948" w:type="dxa"/>
            <w:tcBorders>
              <w:top w:val="nil"/>
              <w:left w:val="nil"/>
              <w:bottom w:val="single" w:sz="4" w:space="0" w:color="auto"/>
              <w:right w:val="single" w:sz="4" w:space="0" w:color="auto"/>
            </w:tcBorders>
            <w:shd w:val="clear" w:color="auto" w:fill="auto"/>
            <w:noWrap/>
            <w:vAlign w:val="bottom"/>
            <w:hideMark/>
          </w:tcPr>
          <w:p w14:paraId="12FBBBE8" w14:textId="77777777" w:rsidR="00603B68" w:rsidRPr="00603B68" w:rsidRDefault="00603B68" w:rsidP="00603B68">
            <w:pPr>
              <w:jc w:val="right"/>
              <w:rPr>
                <w:rFonts w:ascii="Calibri" w:hAnsi="Calibri" w:cs="Calibri"/>
                <w:color w:val="000000"/>
              </w:rPr>
            </w:pPr>
            <w:r w:rsidRPr="00603B68">
              <w:rPr>
                <w:rFonts w:ascii="Calibri" w:hAnsi="Calibri" w:cs="Calibri"/>
                <w:color w:val="000000"/>
              </w:rPr>
              <w:t>0.55</w:t>
            </w:r>
          </w:p>
        </w:tc>
      </w:tr>
    </w:tbl>
    <w:p w14:paraId="501CABBD" w14:textId="178CEBBC" w:rsidR="00603B68" w:rsidRDefault="00603B68" w:rsidP="00BF3DD0"/>
    <w:p w14:paraId="689128F5" w14:textId="6747A7ED" w:rsidR="00A26BFC" w:rsidRDefault="00A26BFC" w:rsidP="00A26BFC">
      <w:pPr>
        <w:spacing w:line="360" w:lineRule="auto"/>
        <w:jc w:val="both"/>
      </w:pPr>
      <w:r>
        <w:lastRenderedPageBreak/>
        <w:t>The Wipro Limited, investment decision was impacted in the average returns – it was increased from 0.11% to 0.37%. The standard deviation was increased from 1.57% to 2.69% and the Compounded annual growth rate was increased from 0.09% to 0.30%. As per the regression result the P-Value was less than 0.05 i.e., 0.00. Which infer that, there will be great association between the stock performance and the investment decision of Wipro Limited.</w:t>
      </w:r>
    </w:p>
    <w:p w14:paraId="143C4E36" w14:textId="77777777" w:rsidR="00A26BFC" w:rsidRDefault="00A26BFC" w:rsidP="00BF3DD0"/>
    <w:p w14:paraId="76F54EB8" w14:textId="77777777" w:rsidR="00570A86" w:rsidRPr="00344FFE" w:rsidRDefault="00570A86" w:rsidP="00344FFE">
      <w:pPr>
        <w:pStyle w:val="ListParagraph"/>
        <w:numPr>
          <w:ilvl w:val="0"/>
          <w:numId w:val="3"/>
        </w:numPr>
        <w:jc w:val="center"/>
        <w:rPr>
          <w:b/>
          <w:sz w:val="28"/>
        </w:rPr>
      </w:pPr>
      <w:r w:rsidRPr="00344FFE">
        <w:rPr>
          <w:b/>
          <w:sz w:val="28"/>
        </w:rPr>
        <w:t>Adani Ports and Special Economic Zone Ltd</w:t>
      </w:r>
    </w:p>
    <w:tbl>
      <w:tblPr>
        <w:tblW w:w="5000" w:type="pct"/>
        <w:tblLook w:val="04A0" w:firstRow="1" w:lastRow="0" w:firstColumn="1" w:lastColumn="0" w:noHBand="0" w:noVBand="1"/>
      </w:tblPr>
      <w:tblGrid>
        <w:gridCol w:w="1974"/>
        <w:gridCol w:w="1350"/>
        <w:gridCol w:w="1442"/>
        <w:gridCol w:w="1709"/>
        <w:gridCol w:w="1530"/>
        <w:gridCol w:w="1345"/>
      </w:tblGrid>
      <w:tr w:rsidR="00811EFD" w:rsidRPr="00511968" w14:paraId="14480DB1" w14:textId="77777777" w:rsidTr="00811EFD">
        <w:trPr>
          <w:trHeight w:val="300"/>
        </w:trPr>
        <w:tc>
          <w:tcPr>
            <w:tcW w:w="2549"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D9D99D" w14:textId="77777777" w:rsidR="00811EFD" w:rsidRPr="00511968" w:rsidRDefault="00811EFD" w:rsidP="00811EFD">
            <w:pPr>
              <w:jc w:val="center"/>
              <w:rPr>
                <w:color w:val="000000"/>
              </w:rPr>
            </w:pPr>
            <w:r w:rsidRPr="00511968">
              <w:rPr>
                <w:color w:val="000000"/>
              </w:rPr>
              <w:t>Before Investment Decision</w:t>
            </w:r>
          </w:p>
        </w:tc>
        <w:tc>
          <w:tcPr>
            <w:tcW w:w="2451"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F7E1DC0" w14:textId="77777777" w:rsidR="00811EFD" w:rsidRPr="00511968" w:rsidRDefault="00811EFD" w:rsidP="00811EFD">
            <w:pPr>
              <w:jc w:val="center"/>
              <w:rPr>
                <w:color w:val="000000"/>
              </w:rPr>
            </w:pPr>
            <w:r w:rsidRPr="00511968">
              <w:rPr>
                <w:color w:val="000000"/>
              </w:rPr>
              <w:t>After Investment Decision</w:t>
            </w:r>
          </w:p>
        </w:tc>
      </w:tr>
      <w:tr w:rsidR="00811EFD" w:rsidRPr="00511968" w14:paraId="7FE97B44"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2B4208F5" w14:textId="77777777" w:rsidR="00811EFD" w:rsidRPr="00511968" w:rsidRDefault="00811EFD" w:rsidP="00811EFD">
            <w:pPr>
              <w:jc w:val="center"/>
              <w:rPr>
                <w:color w:val="000000"/>
              </w:rPr>
            </w:pPr>
            <w:r w:rsidRPr="00511968">
              <w:rPr>
                <w:color w:val="000000"/>
              </w:rPr>
              <w:t>Date</w:t>
            </w:r>
          </w:p>
        </w:tc>
        <w:tc>
          <w:tcPr>
            <w:tcW w:w="722" w:type="pct"/>
            <w:tcBorders>
              <w:top w:val="nil"/>
              <w:left w:val="nil"/>
              <w:bottom w:val="single" w:sz="4" w:space="0" w:color="auto"/>
              <w:right w:val="single" w:sz="4" w:space="0" w:color="auto"/>
            </w:tcBorders>
            <w:shd w:val="clear" w:color="auto" w:fill="auto"/>
            <w:noWrap/>
            <w:vAlign w:val="bottom"/>
            <w:hideMark/>
          </w:tcPr>
          <w:p w14:paraId="1F5E67B0" w14:textId="77777777" w:rsidR="00811EFD" w:rsidRPr="00511968" w:rsidRDefault="00811EFD" w:rsidP="00811EFD">
            <w:pPr>
              <w:jc w:val="center"/>
              <w:rPr>
                <w:color w:val="000000"/>
              </w:rPr>
            </w:pPr>
            <w:r w:rsidRPr="00511968">
              <w:rPr>
                <w:color w:val="000000"/>
              </w:rPr>
              <w:t>Close Price</w:t>
            </w:r>
          </w:p>
        </w:tc>
        <w:tc>
          <w:tcPr>
            <w:tcW w:w="771" w:type="pct"/>
            <w:tcBorders>
              <w:top w:val="nil"/>
              <w:left w:val="nil"/>
              <w:bottom w:val="single" w:sz="4" w:space="0" w:color="auto"/>
              <w:right w:val="single" w:sz="4" w:space="0" w:color="auto"/>
            </w:tcBorders>
            <w:shd w:val="clear" w:color="auto" w:fill="auto"/>
            <w:noWrap/>
            <w:vAlign w:val="bottom"/>
            <w:hideMark/>
          </w:tcPr>
          <w:p w14:paraId="03BC85C3" w14:textId="77777777" w:rsidR="00811EFD" w:rsidRPr="00511968" w:rsidRDefault="00811EFD" w:rsidP="00811EFD">
            <w:pPr>
              <w:jc w:val="center"/>
              <w:rPr>
                <w:color w:val="000000"/>
              </w:rPr>
            </w:pPr>
            <w:r w:rsidRPr="00511968">
              <w:rPr>
                <w:color w:val="000000"/>
              </w:rPr>
              <w:t>Return</w:t>
            </w:r>
          </w:p>
        </w:tc>
        <w:tc>
          <w:tcPr>
            <w:tcW w:w="914" w:type="pct"/>
            <w:tcBorders>
              <w:top w:val="nil"/>
              <w:left w:val="nil"/>
              <w:bottom w:val="single" w:sz="4" w:space="0" w:color="auto"/>
              <w:right w:val="single" w:sz="4" w:space="0" w:color="auto"/>
            </w:tcBorders>
            <w:shd w:val="clear" w:color="auto" w:fill="auto"/>
            <w:noWrap/>
            <w:vAlign w:val="bottom"/>
            <w:hideMark/>
          </w:tcPr>
          <w:p w14:paraId="72642D81" w14:textId="77777777" w:rsidR="00811EFD" w:rsidRPr="00511968" w:rsidRDefault="00811EFD" w:rsidP="00811EFD">
            <w:pPr>
              <w:jc w:val="center"/>
              <w:rPr>
                <w:color w:val="000000"/>
              </w:rPr>
            </w:pPr>
            <w:r w:rsidRPr="00511968">
              <w:rPr>
                <w:color w:val="000000"/>
              </w:rPr>
              <w:t>Date</w:t>
            </w:r>
          </w:p>
        </w:tc>
        <w:tc>
          <w:tcPr>
            <w:tcW w:w="818" w:type="pct"/>
            <w:tcBorders>
              <w:top w:val="nil"/>
              <w:left w:val="nil"/>
              <w:bottom w:val="single" w:sz="4" w:space="0" w:color="auto"/>
              <w:right w:val="single" w:sz="4" w:space="0" w:color="auto"/>
            </w:tcBorders>
            <w:shd w:val="clear" w:color="auto" w:fill="auto"/>
            <w:noWrap/>
            <w:vAlign w:val="bottom"/>
            <w:hideMark/>
          </w:tcPr>
          <w:p w14:paraId="08329964" w14:textId="77777777" w:rsidR="00811EFD" w:rsidRPr="00511968" w:rsidRDefault="00811EFD" w:rsidP="00811EFD">
            <w:pPr>
              <w:jc w:val="center"/>
              <w:rPr>
                <w:color w:val="000000"/>
              </w:rPr>
            </w:pPr>
            <w:r w:rsidRPr="00511968">
              <w:rPr>
                <w:color w:val="000000"/>
              </w:rPr>
              <w:t>Close Price</w:t>
            </w:r>
          </w:p>
        </w:tc>
        <w:tc>
          <w:tcPr>
            <w:tcW w:w="719" w:type="pct"/>
            <w:tcBorders>
              <w:top w:val="nil"/>
              <w:left w:val="nil"/>
              <w:bottom w:val="single" w:sz="4" w:space="0" w:color="auto"/>
              <w:right w:val="single" w:sz="4" w:space="0" w:color="auto"/>
            </w:tcBorders>
            <w:shd w:val="clear" w:color="auto" w:fill="auto"/>
            <w:noWrap/>
            <w:vAlign w:val="bottom"/>
            <w:hideMark/>
          </w:tcPr>
          <w:p w14:paraId="1833379F" w14:textId="77777777" w:rsidR="00811EFD" w:rsidRPr="00511968" w:rsidRDefault="00811EFD" w:rsidP="00811EFD">
            <w:pPr>
              <w:jc w:val="center"/>
              <w:rPr>
                <w:color w:val="000000"/>
              </w:rPr>
            </w:pPr>
            <w:r w:rsidRPr="00511968">
              <w:rPr>
                <w:color w:val="000000"/>
              </w:rPr>
              <w:t>Return</w:t>
            </w:r>
          </w:p>
        </w:tc>
      </w:tr>
      <w:tr w:rsidR="00811EFD" w:rsidRPr="00511968" w14:paraId="4E7D208B"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3B2ADBDC" w14:textId="77777777" w:rsidR="00811EFD" w:rsidRPr="00511968" w:rsidRDefault="00811EFD" w:rsidP="00811EFD">
            <w:pPr>
              <w:jc w:val="center"/>
              <w:rPr>
                <w:color w:val="000000"/>
              </w:rPr>
            </w:pPr>
            <w:r w:rsidRPr="00511968">
              <w:rPr>
                <w:color w:val="000000"/>
              </w:rPr>
              <w:t>2-Dec-20</w:t>
            </w:r>
          </w:p>
        </w:tc>
        <w:tc>
          <w:tcPr>
            <w:tcW w:w="722" w:type="pct"/>
            <w:tcBorders>
              <w:top w:val="nil"/>
              <w:left w:val="nil"/>
              <w:bottom w:val="single" w:sz="4" w:space="0" w:color="auto"/>
              <w:right w:val="single" w:sz="4" w:space="0" w:color="auto"/>
            </w:tcBorders>
            <w:shd w:val="clear" w:color="auto" w:fill="auto"/>
            <w:noWrap/>
            <w:vAlign w:val="bottom"/>
            <w:hideMark/>
          </w:tcPr>
          <w:p w14:paraId="76416002" w14:textId="77777777" w:rsidR="00811EFD" w:rsidRPr="00511968" w:rsidRDefault="00811EFD" w:rsidP="00811EFD">
            <w:pPr>
              <w:jc w:val="center"/>
              <w:rPr>
                <w:color w:val="000000"/>
              </w:rPr>
            </w:pPr>
            <w:r w:rsidRPr="00511968">
              <w:rPr>
                <w:color w:val="000000"/>
              </w:rPr>
              <w:t>438.7</w:t>
            </w:r>
          </w:p>
        </w:tc>
        <w:tc>
          <w:tcPr>
            <w:tcW w:w="771" w:type="pct"/>
            <w:tcBorders>
              <w:top w:val="nil"/>
              <w:left w:val="nil"/>
              <w:bottom w:val="single" w:sz="4" w:space="0" w:color="auto"/>
              <w:right w:val="single" w:sz="4" w:space="0" w:color="auto"/>
            </w:tcBorders>
            <w:shd w:val="clear" w:color="auto" w:fill="auto"/>
            <w:noWrap/>
            <w:vAlign w:val="bottom"/>
            <w:hideMark/>
          </w:tcPr>
          <w:p w14:paraId="450D2BCE" w14:textId="77777777" w:rsidR="00811EFD" w:rsidRPr="00511968" w:rsidRDefault="00811EFD" w:rsidP="00811EFD">
            <w:pPr>
              <w:jc w:val="center"/>
              <w:rPr>
                <w:color w:val="000000"/>
              </w:rPr>
            </w:pPr>
            <w:r w:rsidRPr="00511968">
              <w:rPr>
                <w:color w:val="000000"/>
              </w:rPr>
              <w:t> </w:t>
            </w:r>
          </w:p>
        </w:tc>
        <w:tc>
          <w:tcPr>
            <w:tcW w:w="914" w:type="pct"/>
            <w:tcBorders>
              <w:top w:val="nil"/>
              <w:left w:val="nil"/>
              <w:bottom w:val="single" w:sz="4" w:space="0" w:color="auto"/>
              <w:right w:val="single" w:sz="4" w:space="0" w:color="auto"/>
            </w:tcBorders>
            <w:shd w:val="clear" w:color="auto" w:fill="auto"/>
            <w:noWrap/>
            <w:vAlign w:val="bottom"/>
            <w:hideMark/>
          </w:tcPr>
          <w:p w14:paraId="25565A13" w14:textId="77777777" w:rsidR="00811EFD" w:rsidRPr="00511968" w:rsidRDefault="00811EFD" w:rsidP="00811EFD">
            <w:pPr>
              <w:jc w:val="center"/>
              <w:rPr>
                <w:color w:val="000000"/>
              </w:rPr>
            </w:pPr>
            <w:r w:rsidRPr="00511968">
              <w:rPr>
                <w:color w:val="000000"/>
              </w:rPr>
              <w:t>4-Jan-21</w:t>
            </w:r>
          </w:p>
        </w:tc>
        <w:tc>
          <w:tcPr>
            <w:tcW w:w="818" w:type="pct"/>
            <w:tcBorders>
              <w:top w:val="nil"/>
              <w:left w:val="nil"/>
              <w:bottom w:val="single" w:sz="4" w:space="0" w:color="auto"/>
              <w:right w:val="single" w:sz="4" w:space="0" w:color="auto"/>
            </w:tcBorders>
            <w:shd w:val="clear" w:color="auto" w:fill="auto"/>
            <w:noWrap/>
            <w:vAlign w:val="bottom"/>
            <w:hideMark/>
          </w:tcPr>
          <w:p w14:paraId="7CCA5561" w14:textId="77777777" w:rsidR="00811EFD" w:rsidRPr="00511968" w:rsidRDefault="00811EFD" w:rsidP="00811EFD">
            <w:pPr>
              <w:jc w:val="center"/>
              <w:rPr>
                <w:color w:val="000000"/>
              </w:rPr>
            </w:pPr>
            <w:r w:rsidRPr="00511968">
              <w:rPr>
                <w:color w:val="000000"/>
              </w:rPr>
              <w:t>498.85</w:t>
            </w:r>
          </w:p>
        </w:tc>
        <w:tc>
          <w:tcPr>
            <w:tcW w:w="719" w:type="pct"/>
            <w:tcBorders>
              <w:top w:val="nil"/>
              <w:left w:val="nil"/>
              <w:bottom w:val="single" w:sz="4" w:space="0" w:color="auto"/>
              <w:right w:val="single" w:sz="4" w:space="0" w:color="auto"/>
            </w:tcBorders>
            <w:shd w:val="clear" w:color="auto" w:fill="auto"/>
            <w:noWrap/>
            <w:vAlign w:val="bottom"/>
            <w:hideMark/>
          </w:tcPr>
          <w:p w14:paraId="793A5934" w14:textId="77777777" w:rsidR="00811EFD" w:rsidRPr="00511968" w:rsidRDefault="00811EFD" w:rsidP="00811EFD">
            <w:pPr>
              <w:jc w:val="center"/>
              <w:rPr>
                <w:color w:val="000000"/>
              </w:rPr>
            </w:pPr>
            <w:r w:rsidRPr="00511968">
              <w:rPr>
                <w:color w:val="000000"/>
              </w:rPr>
              <w:t> </w:t>
            </w:r>
          </w:p>
        </w:tc>
      </w:tr>
      <w:tr w:rsidR="00811EFD" w:rsidRPr="00511968" w14:paraId="088E0512"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315649B1" w14:textId="77777777" w:rsidR="00811EFD" w:rsidRPr="00511968" w:rsidRDefault="00811EFD" w:rsidP="00811EFD">
            <w:pPr>
              <w:jc w:val="center"/>
              <w:rPr>
                <w:color w:val="000000"/>
              </w:rPr>
            </w:pPr>
            <w:r w:rsidRPr="00511968">
              <w:rPr>
                <w:color w:val="000000"/>
              </w:rPr>
              <w:t>3-Dec-20</w:t>
            </w:r>
          </w:p>
        </w:tc>
        <w:tc>
          <w:tcPr>
            <w:tcW w:w="722" w:type="pct"/>
            <w:tcBorders>
              <w:top w:val="nil"/>
              <w:left w:val="nil"/>
              <w:bottom w:val="single" w:sz="4" w:space="0" w:color="auto"/>
              <w:right w:val="single" w:sz="4" w:space="0" w:color="auto"/>
            </w:tcBorders>
            <w:shd w:val="clear" w:color="auto" w:fill="auto"/>
            <w:noWrap/>
            <w:vAlign w:val="bottom"/>
            <w:hideMark/>
          </w:tcPr>
          <w:p w14:paraId="5655D2EE" w14:textId="77777777" w:rsidR="00811EFD" w:rsidRPr="00511968" w:rsidRDefault="00811EFD" w:rsidP="00811EFD">
            <w:pPr>
              <w:jc w:val="center"/>
              <w:rPr>
                <w:color w:val="000000"/>
              </w:rPr>
            </w:pPr>
            <w:r w:rsidRPr="00511968">
              <w:rPr>
                <w:color w:val="000000"/>
              </w:rPr>
              <w:t>435.75</w:t>
            </w:r>
          </w:p>
        </w:tc>
        <w:tc>
          <w:tcPr>
            <w:tcW w:w="771" w:type="pct"/>
            <w:tcBorders>
              <w:top w:val="nil"/>
              <w:left w:val="nil"/>
              <w:bottom w:val="single" w:sz="4" w:space="0" w:color="auto"/>
              <w:right w:val="single" w:sz="4" w:space="0" w:color="auto"/>
            </w:tcBorders>
            <w:shd w:val="clear" w:color="auto" w:fill="auto"/>
            <w:noWrap/>
            <w:vAlign w:val="bottom"/>
            <w:hideMark/>
          </w:tcPr>
          <w:p w14:paraId="3589E72D" w14:textId="77777777" w:rsidR="00811EFD" w:rsidRPr="00511968" w:rsidRDefault="00811EFD" w:rsidP="00811EFD">
            <w:pPr>
              <w:jc w:val="center"/>
              <w:rPr>
                <w:color w:val="000000"/>
              </w:rPr>
            </w:pPr>
            <w:r w:rsidRPr="00511968">
              <w:rPr>
                <w:color w:val="000000"/>
              </w:rPr>
              <w:t>-0.67%</w:t>
            </w:r>
          </w:p>
        </w:tc>
        <w:tc>
          <w:tcPr>
            <w:tcW w:w="914" w:type="pct"/>
            <w:tcBorders>
              <w:top w:val="nil"/>
              <w:left w:val="nil"/>
              <w:bottom w:val="single" w:sz="4" w:space="0" w:color="auto"/>
              <w:right w:val="single" w:sz="4" w:space="0" w:color="auto"/>
            </w:tcBorders>
            <w:shd w:val="clear" w:color="auto" w:fill="auto"/>
            <w:noWrap/>
            <w:vAlign w:val="bottom"/>
            <w:hideMark/>
          </w:tcPr>
          <w:p w14:paraId="067686B6" w14:textId="77777777" w:rsidR="00811EFD" w:rsidRPr="00511968" w:rsidRDefault="00811EFD" w:rsidP="00811EFD">
            <w:pPr>
              <w:jc w:val="center"/>
              <w:rPr>
                <w:color w:val="000000"/>
              </w:rPr>
            </w:pPr>
            <w:r w:rsidRPr="00511968">
              <w:rPr>
                <w:color w:val="000000"/>
              </w:rPr>
              <w:t>5-Jan-21</w:t>
            </w:r>
          </w:p>
        </w:tc>
        <w:tc>
          <w:tcPr>
            <w:tcW w:w="818" w:type="pct"/>
            <w:tcBorders>
              <w:top w:val="nil"/>
              <w:left w:val="nil"/>
              <w:bottom w:val="single" w:sz="4" w:space="0" w:color="auto"/>
              <w:right w:val="single" w:sz="4" w:space="0" w:color="auto"/>
            </w:tcBorders>
            <w:shd w:val="clear" w:color="auto" w:fill="auto"/>
            <w:noWrap/>
            <w:vAlign w:val="bottom"/>
            <w:hideMark/>
          </w:tcPr>
          <w:p w14:paraId="0C1AB409" w14:textId="77777777" w:rsidR="00811EFD" w:rsidRPr="00511968" w:rsidRDefault="00811EFD" w:rsidP="00811EFD">
            <w:pPr>
              <w:jc w:val="center"/>
              <w:rPr>
                <w:color w:val="000000"/>
              </w:rPr>
            </w:pPr>
            <w:r w:rsidRPr="00511968">
              <w:rPr>
                <w:color w:val="000000"/>
              </w:rPr>
              <w:t>499.5</w:t>
            </w:r>
          </w:p>
        </w:tc>
        <w:tc>
          <w:tcPr>
            <w:tcW w:w="719" w:type="pct"/>
            <w:tcBorders>
              <w:top w:val="nil"/>
              <w:left w:val="nil"/>
              <w:bottom w:val="single" w:sz="4" w:space="0" w:color="auto"/>
              <w:right w:val="single" w:sz="4" w:space="0" w:color="auto"/>
            </w:tcBorders>
            <w:shd w:val="clear" w:color="auto" w:fill="auto"/>
            <w:noWrap/>
            <w:vAlign w:val="bottom"/>
            <w:hideMark/>
          </w:tcPr>
          <w:p w14:paraId="77796E6B" w14:textId="77777777" w:rsidR="00811EFD" w:rsidRPr="00511968" w:rsidRDefault="00811EFD" w:rsidP="00811EFD">
            <w:pPr>
              <w:jc w:val="center"/>
              <w:rPr>
                <w:color w:val="000000"/>
              </w:rPr>
            </w:pPr>
            <w:r w:rsidRPr="00511968">
              <w:rPr>
                <w:color w:val="000000"/>
              </w:rPr>
              <w:t>0.13%</w:t>
            </w:r>
          </w:p>
        </w:tc>
      </w:tr>
      <w:tr w:rsidR="00811EFD" w:rsidRPr="00511968" w14:paraId="63C7C0F7"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4B65434D" w14:textId="77777777" w:rsidR="00811EFD" w:rsidRPr="00511968" w:rsidRDefault="00811EFD" w:rsidP="00811EFD">
            <w:pPr>
              <w:jc w:val="center"/>
              <w:rPr>
                <w:color w:val="000000"/>
              </w:rPr>
            </w:pPr>
            <w:r w:rsidRPr="00511968">
              <w:rPr>
                <w:color w:val="000000"/>
              </w:rPr>
              <w:t>4-Dec-20</w:t>
            </w:r>
          </w:p>
        </w:tc>
        <w:tc>
          <w:tcPr>
            <w:tcW w:w="722" w:type="pct"/>
            <w:tcBorders>
              <w:top w:val="nil"/>
              <w:left w:val="nil"/>
              <w:bottom w:val="single" w:sz="4" w:space="0" w:color="auto"/>
              <w:right w:val="single" w:sz="4" w:space="0" w:color="auto"/>
            </w:tcBorders>
            <w:shd w:val="clear" w:color="auto" w:fill="auto"/>
            <w:noWrap/>
            <w:vAlign w:val="bottom"/>
            <w:hideMark/>
          </w:tcPr>
          <w:p w14:paraId="06D3D0EB" w14:textId="77777777" w:rsidR="00811EFD" w:rsidRPr="00511968" w:rsidRDefault="00811EFD" w:rsidP="00811EFD">
            <w:pPr>
              <w:jc w:val="center"/>
              <w:rPr>
                <w:color w:val="000000"/>
              </w:rPr>
            </w:pPr>
            <w:r w:rsidRPr="00511968">
              <w:rPr>
                <w:color w:val="000000"/>
              </w:rPr>
              <w:t>453.7</w:t>
            </w:r>
          </w:p>
        </w:tc>
        <w:tc>
          <w:tcPr>
            <w:tcW w:w="771" w:type="pct"/>
            <w:tcBorders>
              <w:top w:val="nil"/>
              <w:left w:val="nil"/>
              <w:bottom w:val="single" w:sz="4" w:space="0" w:color="auto"/>
              <w:right w:val="single" w:sz="4" w:space="0" w:color="auto"/>
            </w:tcBorders>
            <w:shd w:val="clear" w:color="auto" w:fill="auto"/>
            <w:noWrap/>
            <w:vAlign w:val="bottom"/>
            <w:hideMark/>
          </w:tcPr>
          <w:p w14:paraId="07028916" w14:textId="77777777" w:rsidR="00811EFD" w:rsidRPr="00511968" w:rsidRDefault="00811EFD" w:rsidP="00811EFD">
            <w:pPr>
              <w:jc w:val="center"/>
              <w:rPr>
                <w:color w:val="000000"/>
              </w:rPr>
            </w:pPr>
            <w:r w:rsidRPr="00511968">
              <w:rPr>
                <w:color w:val="000000"/>
              </w:rPr>
              <w:t>4.12%</w:t>
            </w:r>
          </w:p>
        </w:tc>
        <w:tc>
          <w:tcPr>
            <w:tcW w:w="914" w:type="pct"/>
            <w:tcBorders>
              <w:top w:val="nil"/>
              <w:left w:val="nil"/>
              <w:bottom w:val="single" w:sz="4" w:space="0" w:color="auto"/>
              <w:right w:val="single" w:sz="4" w:space="0" w:color="auto"/>
            </w:tcBorders>
            <w:shd w:val="clear" w:color="auto" w:fill="auto"/>
            <w:noWrap/>
            <w:vAlign w:val="bottom"/>
            <w:hideMark/>
          </w:tcPr>
          <w:p w14:paraId="0751CFF0" w14:textId="77777777" w:rsidR="00811EFD" w:rsidRPr="00511968" w:rsidRDefault="00811EFD" w:rsidP="00811EFD">
            <w:pPr>
              <w:jc w:val="center"/>
              <w:rPr>
                <w:color w:val="000000"/>
              </w:rPr>
            </w:pPr>
            <w:r w:rsidRPr="00511968">
              <w:rPr>
                <w:color w:val="000000"/>
              </w:rPr>
              <w:t>6-Jan-21</w:t>
            </w:r>
          </w:p>
        </w:tc>
        <w:tc>
          <w:tcPr>
            <w:tcW w:w="818" w:type="pct"/>
            <w:tcBorders>
              <w:top w:val="nil"/>
              <w:left w:val="nil"/>
              <w:bottom w:val="single" w:sz="4" w:space="0" w:color="auto"/>
              <w:right w:val="single" w:sz="4" w:space="0" w:color="auto"/>
            </w:tcBorders>
            <w:shd w:val="clear" w:color="auto" w:fill="auto"/>
            <w:noWrap/>
            <w:vAlign w:val="bottom"/>
            <w:hideMark/>
          </w:tcPr>
          <w:p w14:paraId="68A2CD7A" w14:textId="77777777" w:rsidR="00811EFD" w:rsidRPr="00511968" w:rsidRDefault="00811EFD" w:rsidP="00811EFD">
            <w:pPr>
              <w:jc w:val="center"/>
              <w:rPr>
                <w:color w:val="000000"/>
              </w:rPr>
            </w:pPr>
            <w:r w:rsidRPr="00511968">
              <w:rPr>
                <w:color w:val="000000"/>
              </w:rPr>
              <w:t>496.7</w:t>
            </w:r>
          </w:p>
        </w:tc>
        <w:tc>
          <w:tcPr>
            <w:tcW w:w="719" w:type="pct"/>
            <w:tcBorders>
              <w:top w:val="nil"/>
              <w:left w:val="nil"/>
              <w:bottom w:val="single" w:sz="4" w:space="0" w:color="auto"/>
              <w:right w:val="single" w:sz="4" w:space="0" w:color="auto"/>
            </w:tcBorders>
            <w:shd w:val="clear" w:color="auto" w:fill="auto"/>
            <w:noWrap/>
            <w:vAlign w:val="bottom"/>
            <w:hideMark/>
          </w:tcPr>
          <w:p w14:paraId="48B1B05D" w14:textId="77777777" w:rsidR="00811EFD" w:rsidRPr="00511968" w:rsidRDefault="00811EFD" w:rsidP="00811EFD">
            <w:pPr>
              <w:jc w:val="center"/>
              <w:rPr>
                <w:color w:val="000000"/>
              </w:rPr>
            </w:pPr>
            <w:r w:rsidRPr="00511968">
              <w:rPr>
                <w:color w:val="000000"/>
              </w:rPr>
              <w:t>-0.56%</w:t>
            </w:r>
          </w:p>
        </w:tc>
      </w:tr>
      <w:tr w:rsidR="00811EFD" w:rsidRPr="00511968" w14:paraId="5388F909"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0142B421" w14:textId="77777777" w:rsidR="00811EFD" w:rsidRPr="00511968" w:rsidRDefault="00811EFD" w:rsidP="00811EFD">
            <w:pPr>
              <w:jc w:val="center"/>
              <w:rPr>
                <w:color w:val="000000"/>
              </w:rPr>
            </w:pPr>
            <w:r w:rsidRPr="00511968">
              <w:rPr>
                <w:color w:val="000000"/>
              </w:rPr>
              <w:t>7-Dec-20</w:t>
            </w:r>
          </w:p>
        </w:tc>
        <w:tc>
          <w:tcPr>
            <w:tcW w:w="722" w:type="pct"/>
            <w:tcBorders>
              <w:top w:val="nil"/>
              <w:left w:val="nil"/>
              <w:bottom w:val="single" w:sz="4" w:space="0" w:color="auto"/>
              <w:right w:val="single" w:sz="4" w:space="0" w:color="auto"/>
            </w:tcBorders>
            <w:shd w:val="clear" w:color="auto" w:fill="auto"/>
            <w:noWrap/>
            <w:vAlign w:val="bottom"/>
            <w:hideMark/>
          </w:tcPr>
          <w:p w14:paraId="7704F4C8" w14:textId="77777777" w:rsidR="00811EFD" w:rsidRPr="00511968" w:rsidRDefault="00811EFD" w:rsidP="00811EFD">
            <w:pPr>
              <w:jc w:val="center"/>
              <w:rPr>
                <w:color w:val="000000"/>
              </w:rPr>
            </w:pPr>
            <w:r w:rsidRPr="00511968">
              <w:rPr>
                <w:color w:val="000000"/>
              </w:rPr>
              <w:t>471.45</w:t>
            </w:r>
          </w:p>
        </w:tc>
        <w:tc>
          <w:tcPr>
            <w:tcW w:w="771" w:type="pct"/>
            <w:tcBorders>
              <w:top w:val="nil"/>
              <w:left w:val="nil"/>
              <w:bottom w:val="single" w:sz="4" w:space="0" w:color="auto"/>
              <w:right w:val="single" w:sz="4" w:space="0" w:color="auto"/>
            </w:tcBorders>
            <w:shd w:val="clear" w:color="auto" w:fill="auto"/>
            <w:noWrap/>
            <w:vAlign w:val="bottom"/>
            <w:hideMark/>
          </w:tcPr>
          <w:p w14:paraId="142F8F9A" w14:textId="77777777" w:rsidR="00811EFD" w:rsidRPr="00511968" w:rsidRDefault="00811EFD" w:rsidP="00811EFD">
            <w:pPr>
              <w:jc w:val="center"/>
              <w:rPr>
                <w:color w:val="000000"/>
              </w:rPr>
            </w:pPr>
            <w:r w:rsidRPr="00511968">
              <w:rPr>
                <w:color w:val="000000"/>
              </w:rPr>
              <w:t>3.91%</w:t>
            </w:r>
          </w:p>
        </w:tc>
        <w:tc>
          <w:tcPr>
            <w:tcW w:w="914" w:type="pct"/>
            <w:tcBorders>
              <w:top w:val="nil"/>
              <w:left w:val="nil"/>
              <w:bottom w:val="single" w:sz="4" w:space="0" w:color="auto"/>
              <w:right w:val="single" w:sz="4" w:space="0" w:color="auto"/>
            </w:tcBorders>
            <w:shd w:val="clear" w:color="auto" w:fill="auto"/>
            <w:noWrap/>
            <w:vAlign w:val="bottom"/>
            <w:hideMark/>
          </w:tcPr>
          <w:p w14:paraId="7FA4B805" w14:textId="77777777" w:rsidR="00811EFD" w:rsidRPr="00511968" w:rsidRDefault="00811EFD" w:rsidP="00811EFD">
            <w:pPr>
              <w:jc w:val="center"/>
              <w:rPr>
                <w:color w:val="000000"/>
              </w:rPr>
            </w:pPr>
            <w:r w:rsidRPr="00511968">
              <w:rPr>
                <w:color w:val="000000"/>
              </w:rPr>
              <w:t>7-Jan-21</w:t>
            </w:r>
          </w:p>
        </w:tc>
        <w:tc>
          <w:tcPr>
            <w:tcW w:w="818" w:type="pct"/>
            <w:tcBorders>
              <w:top w:val="nil"/>
              <w:left w:val="nil"/>
              <w:bottom w:val="single" w:sz="4" w:space="0" w:color="auto"/>
              <w:right w:val="single" w:sz="4" w:space="0" w:color="auto"/>
            </w:tcBorders>
            <w:shd w:val="clear" w:color="auto" w:fill="auto"/>
            <w:noWrap/>
            <w:vAlign w:val="bottom"/>
            <w:hideMark/>
          </w:tcPr>
          <w:p w14:paraId="6D34970B" w14:textId="77777777" w:rsidR="00811EFD" w:rsidRPr="00511968" w:rsidRDefault="00811EFD" w:rsidP="00811EFD">
            <w:pPr>
              <w:jc w:val="center"/>
              <w:rPr>
                <w:color w:val="000000"/>
              </w:rPr>
            </w:pPr>
            <w:r w:rsidRPr="00511968">
              <w:rPr>
                <w:color w:val="000000"/>
              </w:rPr>
              <w:t>513.65</w:t>
            </w:r>
          </w:p>
        </w:tc>
        <w:tc>
          <w:tcPr>
            <w:tcW w:w="719" w:type="pct"/>
            <w:tcBorders>
              <w:top w:val="nil"/>
              <w:left w:val="nil"/>
              <w:bottom w:val="single" w:sz="4" w:space="0" w:color="auto"/>
              <w:right w:val="single" w:sz="4" w:space="0" w:color="auto"/>
            </w:tcBorders>
            <w:shd w:val="clear" w:color="auto" w:fill="auto"/>
            <w:noWrap/>
            <w:vAlign w:val="bottom"/>
            <w:hideMark/>
          </w:tcPr>
          <w:p w14:paraId="15936B52" w14:textId="77777777" w:rsidR="00811EFD" w:rsidRPr="00511968" w:rsidRDefault="00811EFD" w:rsidP="00811EFD">
            <w:pPr>
              <w:jc w:val="center"/>
              <w:rPr>
                <w:color w:val="000000"/>
              </w:rPr>
            </w:pPr>
            <w:r w:rsidRPr="00511968">
              <w:rPr>
                <w:color w:val="000000"/>
              </w:rPr>
              <w:t>3.41%</w:t>
            </w:r>
          </w:p>
        </w:tc>
      </w:tr>
      <w:tr w:rsidR="00811EFD" w:rsidRPr="00511968" w14:paraId="0DA69D76"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48C6BCB7" w14:textId="77777777" w:rsidR="00811EFD" w:rsidRPr="00511968" w:rsidRDefault="00811EFD" w:rsidP="00811EFD">
            <w:pPr>
              <w:jc w:val="center"/>
              <w:rPr>
                <w:color w:val="000000"/>
              </w:rPr>
            </w:pPr>
            <w:r w:rsidRPr="00511968">
              <w:rPr>
                <w:color w:val="000000"/>
              </w:rPr>
              <w:t>8-Dec-20</w:t>
            </w:r>
          </w:p>
        </w:tc>
        <w:tc>
          <w:tcPr>
            <w:tcW w:w="722" w:type="pct"/>
            <w:tcBorders>
              <w:top w:val="nil"/>
              <w:left w:val="nil"/>
              <w:bottom w:val="single" w:sz="4" w:space="0" w:color="auto"/>
              <w:right w:val="single" w:sz="4" w:space="0" w:color="auto"/>
            </w:tcBorders>
            <w:shd w:val="clear" w:color="auto" w:fill="auto"/>
            <w:noWrap/>
            <w:vAlign w:val="bottom"/>
            <w:hideMark/>
          </w:tcPr>
          <w:p w14:paraId="0B428848" w14:textId="77777777" w:rsidR="00811EFD" w:rsidRPr="00511968" w:rsidRDefault="00811EFD" w:rsidP="00811EFD">
            <w:pPr>
              <w:jc w:val="center"/>
              <w:rPr>
                <w:color w:val="000000"/>
              </w:rPr>
            </w:pPr>
            <w:r w:rsidRPr="00511968">
              <w:rPr>
                <w:color w:val="000000"/>
              </w:rPr>
              <w:t>463.1</w:t>
            </w:r>
          </w:p>
        </w:tc>
        <w:tc>
          <w:tcPr>
            <w:tcW w:w="771" w:type="pct"/>
            <w:tcBorders>
              <w:top w:val="nil"/>
              <w:left w:val="nil"/>
              <w:bottom w:val="single" w:sz="4" w:space="0" w:color="auto"/>
              <w:right w:val="single" w:sz="4" w:space="0" w:color="auto"/>
            </w:tcBorders>
            <w:shd w:val="clear" w:color="auto" w:fill="auto"/>
            <w:noWrap/>
            <w:vAlign w:val="bottom"/>
            <w:hideMark/>
          </w:tcPr>
          <w:p w14:paraId="1272F6CB" w14:textId="77777777" w:rsidR="00811EFD" w:rsidRPr="00511968" w:rsidRDefault="00811EFD" w:rsidP="00811EFD">
            <w:pPr>
              <w:jc w:val="center"/>
              <w:rPr>
                <w:color w:val="000000"/>
              </w:rPr>
            </w:pPr>
            <w:r w:rsidRPr="00511968">
              <w:rPr>
                <w:color w:val="000000"/>
              </w:rPr>
              <w:t>-1.77%</w:t>
            </w:r>
          </w:p>
        </w:tc>
        <w:tc>
          <w:tcPr>
            <w:tcW w:w="914" w:type="pct"/>
            <w:tcBorders>
              <w:top w:val="nil"/>
              <w:left w:val="nil"/>
              <w:bottom w:val="single" w:sz="4" w:space="0" w:color="auto"/>
              <w:right w:val="single" w:sz="4" w:space="0" w:color="auto"/>
            </w:tcBorders>
            <w:shd w:val="clear" w:color="auto" w:fill="auto"/>
            <w:noWrap/>
            <w:vAlign w:val="bottom"/>
            <w:hideMark/>
          </w:tcPr>
          <w:p w14:paraId="5F728BE8" w14:textId="77777777" w:rsidR="00811EFD" w:rsidRPr="00511968" w:rsidRDefault="00811EFD" w:rsidP="00811EFD">
            <w:pPr>
              <w:jc w:val="center"/>
              <w:rPr>
                <w:color w:val="000000"/>
              </w:rPr>
            </w:pPr>
            <w:r w:rsidRPr="00511968">
              <w:rPr>
                <w:color w:val="000000"/>
              </w:rPr>
              <w:t>8-Jan-21</w:t>
            </w:r>
          </w:p>
        </w:tc>
        <w:tc>
          <w:tcPr>
            <w:tcW w:w="818" w:type="pct"/>
            <w:tcBorders>
              <w:top w:val="nil"/>
              <w:left w:val="nil"/>
              <w:bottom w:val="single" w:sz="4" w:space="0" w:color="auto"/>
              <w:right w:val="single" w:sz="4" w:space="0" w:color="auto"/>
            </w:tcBorders>
            <w:shd w:val="clear" w:color="auto" w:fill="auto"/>
            <w:noWrap/>
            <w:vAlign w:val="bottom"/>
            <w:hideMark/>
          </w:tcPr>
          <w:p w14:paraId="486E2C08" w14:textId="77777777" w:rsidR="00811EFD" w:rsidRPr="00511968" w:rsidRDefault="00811EFD" w:rsidP="00811EFD">
            <w:pPr>
              <w:jc w:val="center"/>
              <w:rPr>
                <w:color w:val="000000"/>
              </w:rPr>
            </w:pPr>
            <w:r w:rsidRPr="00511968">
              <w:rPr>
                <w:color w:val="000000"/>
              </w:rPr>
              <w:t>517.05</w:t>
            </w:r>
          </w:p>
        </w:tc>
        <w:tc>
          <w:tcPr>
            <w:tcW w:w="719" w:type="pct"/>
            <w:tcBorders>
              <w:top w:val="nil"/>
              <w:left w:val="nil"/>
              <w:bottom w:val="single" w:sz="4" w:space="0" w:color="auto"/>
              <w:right w:val="single" w:sz="4" w:space="0" w:color="auto"/>
            </w:tcBorders>
            <w:shd w:val="clear" w:color="auto" w:fill="auto"/>
            <w:noWrap/>
            <w:vAlign w:val="bottom"/>
            <w:hideMark/>
          </w:tcPr>
          <w:p w14:paraId="459C0633" w14:textId="77777777" w:rsidR="00811EFD" w:rsidRPr="00511968" w:rsidRDefault="00811EFD" w:rsidP="00811EFD">
            <w:pPr>
              <w:jc w:val="center"/>
              <w:rPr>
                <w:color w:val="000000"/>
              </w:rPr>
            </w:pPr>
            <w:r w:rsidRPr="00511968">
              <w:rPr>
                <w:color w:val="000000"/>
              </w:rPr>
              <w:t>0.66%</w:t>
            </w:r>
          </w:p>
        </w:tc>
      </w:tr>
      <w:tr w:rsidR="00811EFD" w:rsidRPr="00511968" w14:paraId="4B9DE76B"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4BF35D8E" w14:textId="77777777" w:rsidR="00811EFD" w:rsidRPr="00511968" w:rsidRDefault="00811EFD" w:rsidP="00811EFD">
            <w:pPr>
              <w:jc w:val="center"/>
              <w:rPr>
                <w:color w:val="000000"/>
              </w:rPr>
            </w:pPr>
            <w:r w:rsidRPr="00511968">
              <w:rPr>
                <w:color w:val="000000"/>
              </w:rPr>
              <w:t>9-Dec-20</w:t>
            </w:r>
          </w:p>
        </w:tc>
        <w:tc>
          <w:tcPr>
            <w:tcW w:w="722" w:type="pct"/>
            <w:tcBorders>
              <w:top w:val="nil"/>
              <w:left w:val="nil"/>
              <w:bottom w:val="single" w:sz="4" w:space="0" w:color="auto"/>
              <w:right w:val="single" w:sz="4" w:space="0" w:color="auto"/>
            </w:tcBorders>
            <w:shd w:val="clear" w:color="auto" w:fill="auto"/>
            <w:noWrap/>
            <w:vAlign w:val="bottom"/>
            <w:hideMark/>
          </w:tcPr>
          <w:p w14:paraId="5258F870" w14:textId="77777777" w:rsidR="00811EFD" w:rsidRPr="00511968" w:rsidRDefault="00811EFD" w:rsidP="00811EFD">
            <w:pPr>
              <w:jc w:val="center"/>
              <w:rPr>
                <w:color w:val="000000"/>
              </w:rPr>
            </w:pPr>
            <w:r w:rsidRPr="00511968">
              <w:rPr>
                <w:color w:val="000000"/>
              </w:rPr>
              <w:t>463.15</w:t>
            </w:r>
          </w:p>
        </w:tc>
        <w:tc>
          <w:tcPr>
            <w:tcW w:w="771" w:type="pct"/>
            <w:tcBorders>
              <w:top w:val="nil"/>
              <w:left w:val="nil"/>
              <w:bottom w:val="single" w:sz="4" w:space="0" w:color="auto"/>
              <w:right w:val="single" w:sz="4" w:space="0" w:color="auto"/>
            </w:tcBorders>
            <w:shd w:val="clear" w:color="auto" w:fill="auto"/>
            <w:noWrap/>
            <w:vAlign w:val="bottom"/>
            <w:hideMark/>
          </w:tcPr>
          <w:p w14:paraId="3A3FB116" w14:textId="77777777" w:rsidR="00811EFD" w:rsidRPr="00511968" w:rsidRDefault="00811EFD" w:rsidP="00811EFD">
            <w:pPr>
              <w:jc w:val="center"/>
              <w:rPr>
                <w:color w:val="000000"/>
              </w:rPr>
            </w:pPr>
            <w:r w:rsidRPr="00511968">
              <w:rPr>
                <w:color w:val="000000"/>
              </w:rPr>
              <w:t>0.01%</w:t>
            </w:r>
          </w:p>
        </w:tc>
        <w:tc>
          <w:tcPr>
            <w:tcW w:w="914" w:type="pct"/>
            <w:tcBorders>
              <w:top w:val="nil"/>
              <w:left w:val="nil"/>
              <w:bottom w:val="single" w:sz="4" w:space="0" w:color="auto"/>
              <w:right w:val="single" w:sz="4" w:space="0" w:color="auto"/>
            </w:tcBorders>
            <w:shd w:val="clear" w:color="auto" w:fill="auto"/>
            <w:noWrap/>
            <w:vAlign w:val="bottom"/>
            <w:hideMark/>
          </w:tcPr>
          <w:p w14:paraId="38796F03" w14:textId="77777777" w:rsidR="00811EFD" w:rsidRPr="00511968" w:rsidRDefault="00811EFD" w:rsidP="00811EFD">
            <w:pPr>
              <w:jc w:val="center"/>
              <w:rPr>
                <w:color w:val="000000"/>
              </w:rPr>
            </w:pPr>
            <w:r w:rsidRPr="00511968">
              <w:rPr>
                <w:color w:val="000000"/>
              </w:rPr>
              <w:t>11-Jan-21</w:t>
            </w:r>
          </w:p>
        </w:tc>
        <w:tc>
          <w:tcPr>
            <w:tcW w:w="818" w:type="pct"/>
            <w:tcBorders>
              <w:top w:val="nil"/>
              <w:left w:val="nil"/>
              <w:bottom w:val="single" w:sz="4" w:space="0" w:color="auto"/>
              <w:right w:val="single" w:sz="4" w:space="0" w:color="auto"/>
            </w:tcBorders>
            <w:shd w:val="clear" w:color="auto" w:fill="auto"/>
            <w:noWrap/>
            <w:vAlign w:val="bottom"/>
            <w:hideMark/>
          </w:tcPr>
          <w:p w14:paraId="25A48DA6" w14:textId="77777777" w:rsidR="00811EFD" w:rsidRPr="00511968" w:rsidRDefault="00811EFD" w:rsidP="00811EFD">
            <w:pPr>
              <w:jc w:val="center"/>
              <w:rPr>
                <w:color w:val="000000"/>
              </w:rPr>
            </w:pPr>
            <w:r w:rsidRPr="00511968">
              <w:rPr>
                <w:color w:val="000000"/>
              </w:rPr>
              <w:t>508.25</w:t>
            </w:r>
          </w:p>
        </w:tc>
        <w:tc>
          <w:tcPr>
            <w:tcW w:w="719" w:type="pct"/>
            <w:tcBorders>
              <w:top w:val="nil"/>
              <w:left w:val="nil"/>
              <w:bottom w:val="single" w:sz="4" w:space="0" w:color="auto"/>
              <w:right w:val="single" w:sz="4" w:space="0" w:color="auto"/>
            </w:tcBorders>
            <w:shd w:val="clear" w:color="auto" w:fill="auto"/>
            <w:noWrap/>
            <w:vAlign w:val="bottom"/>
            <w:hideMark/>
          </w:tcPr>
          <w:p w14:paraId="34DADEB0" w14:textId="77777777" w:rsidR="00811EFD" w:rsidRPr="00511968" w:rsidRDefault="00811EFD" w:rsidP="00811EFD">
            <w:pPr>
              <w:jc w:val="center"/>
              <w:rPr>
                <w:color w:val="000000"/>
              </w:rPr>
            </w:pPr>
            <w:r w:rsidRPr="00511968">
              <w:rPr>
                <w:color w:val="000000"/>
              </w:rPr>
              <w:t>-1.70%</w:t>
            </w:r>
          </w:p>
        </w:tc>
      </w:tr>
      <w:tr w:rsidR="00811EFD" w:rsidRPr="00511968" w14:paraId="70B0D7E2"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03C3D9C7" w14:textId="77777777" w:rsidR="00811EFD" w:rsidRPr="00511968" w:rsidRDefault="00811EFD" w:rsidP="00811EFD">
            <w:pPr>
              <w:jc w:val="center"/>
              <w:rPr>
                <w:color w:val="000000"/>
              </w:rPr>
            </w:pPr>
            <w:r w:rsidRPr="00511968">
              <w:rPr>
                <w:color w:val="000000"/>
              </w:rPr>
              <w:t>10-Dec-20</w:t>
            </w:r>
          </w:p>
        </w:tc>
        <w:tc>
          <w:tcPr>
            <w:tcW w:w="722" w:type="pct"/>
            <w:tcBorders>
              <w:top w:val="nil"/>
              <w:left w:val="nil"/>
              <w:bottom w:val="single" w:sz="4" w:space="0" w:color="auto"/>
              <w:right w:val="single" w:sz="4" w:space="0" w:color="auto"/>
            </w:tcBorders>
            <w:shd w:val="clear" w:color="auto" w:fill="auto"/>
            <w:noWrap/>
            <w:vAlign w:val="bottom"/>
            <w:hideMark/>
          </w:tcPr>
          <w:p w14:paraId="0B865BF9" w14:textId="77777777" w:rsidR="00811EFD" w:rsidRPr="00511968" w:rsidRDefault="00811EFD" w:rsidP="00811EFD">
            <w:pPr>
              <w:jc w:val="center"/>
              <w:rPr>
                <w:color w:val="000000"/>
              </w:rPr>
            </w:pPr>
            <w:r w:rsidRPr="00511968">
              <w:rPr>
                <w:color w:val="000000"/>
              </w:rPr>
              <w:t>470.95</w:t>
            </w:r>
          </w:p>
        </w:tc>
        <w:tc>
          <w:tcPr>
            <w:tcW w:w="771" w:type="pct"/>
            <w:tcBorders>
              <w:top w:val="nil"/>
              <w:left w:val="nil"/>
              <w:bottom w:val="single" w:sz="4" w:space="0" w:color="auto"/>
              <w:right w:val="single" w:sz="4" w:space="0" w:color="auto"/>
            </w:tcBorders>
            <w:shd w:val="clear" w:color="auto" w:fill="auto"/>
            <w:noWrap/>
            <w:vAlign w:val="bottom"/>
            <w:hideMark/>
          </w:tcPr>
          <w:p w14:paraId="3C83072B" w14:textId="77777777" w:rsidR="00811EFD" w:rsidRPr="00511968" w:rsidRDefault="00811EFD" w:rsidP="00811EFD">
            <w:pPr>
              <w:jc w:val="center"/>
              <w:rPr>
                <w:color w:val="000000"/>
              </w:rPr>
            </w:pPr>
            <w:r w:rsidRPr="00511968">
              <w:rPr>
                <w:color w:val="000000"/>
              </w:rPr>
              <w:t>1.68%</w:t>
            </w:r>
          </w:p>
        </w:tc>
        <w:tc>
          <w:tcPr>
            <w:tcW w:w="914" w:type="pct"/>
            <w:tcBorders>
              <w:top w:val="nil"/>
              <w:left w:val="nil"/>
              <w:bottom w:val="single" w:sz="4" w:space="0" w:color="auto"/>
              <w:right w:val="single" w:sz="4" w:space="0" w:color="auto"/>
            </w:tcBorders>
            <w:shd w:val="clear" w:color="auto" w:fill="auto"/>
            <w:noWrap/>
            <w:vAlign w:val="bottom"/>
            <w:hideMark/>
          </w:tcPr>
          <w:p w14:paraId="09B6E0CE" w14:textId="77777777" w:rsidR="00811EFD" w:rsidRPr="00511968" w:rsidRDefault="00811EFD" w:rsidP="00811EFD">
            <w:pPr>
              <w:jc w:val="center"/>
              <w:rPr>
                <w:color w:val="000000"/>
              </w:rPr>
            </w:pPr>
            <w:r w:rsidRPr="00511968">
              <w:rPr>
                <w:color w:val="000000"/>
              </w:rPr>
              <w:t>12-Jan-21</w:t>
            </w:r>
          </w:p>
        </w:tc>
        <w:tc>
          <w:tcPr>
            <w:tcW w:w="818" w:type="pct"/>
            <w:tcBorders>
              <w:top w:val="nil"/>
              <w:left w:val="nil"/>
              <w:bottom w:val="single" w:sz="4" w:space="0" w:color="auto"/>
              <w:right w:val="single" w:sz="4" w:space="0" w:color="auto"/>
            </w:tcBorders>
            <w:shd w:val="clear" w:color="auto" w:fill="auto"/>
            <w:noWrap/>
            <w:vAlign w:val="bottom"/>
            <w:hideMark/>
          </w:tcPr>
          <w:p w14:paraId="47DAECB1" w14:textId="77777777" w:rsidR="00811EFD" w:rsidRPr="00511968" w:rsidRDefault="00811EFD" w:rsidP="00811EFD">
            <w:pPr>
              <w:jc w:val="center"/>
              <w:rPr>
                <w:color w:val="000000"/>
              </w:rPr>
            </w:pPr>
            <w:r w:rsidRPr="00511968">
              <w:rPr>
                <w:color w:val="000000"/>
              </w:rPr>
              <w:t>511.2</w:t>
            </w:r>
          </w:p>
        </w:tc>
        <w:tc>
          <w:tcPr>
            <w:tcW w:w="719" w:type="pct"/>
            <w:tcBorders>
              <w:top w:val="nil"/>
              <w:left w:val="nil"/>
              <w:bottom w:val="single" w:sz="4" w:space="0" w:color="auto"/>
              <w:right w:val="single" w:sz="4" w:space="0" w:color="auto"/>
            </w:tcBorders>
            <w:shd w:val="clear" w:color="auto" w:fill="auto"/>
            <w:noWrap/>
            <w:vAlign w:val="bottom"/>
            <w:hideMark/>
          </w:tcPr>
          <w:p w14:paraId="34B7226F" w14:textId="77777777" w:rsidR="00811EFD" w:rsidRPr="00511968" w:rsidRDefault="00811EFD" w:rsidP="00811EFD">
            <w:pPr>
              <w:jc w:val="center"/>
              <w:rPr>
                <w:color w:val="000000"/>
              </w:rPr>
            </w:pPr>
            <w:r w:rsidRPr="00511968">
              <w:rPr>
                <w:color w:val="000000"/>
              </w:rPr>
              <w:t>0.58%</w:t>
            </w:r>
          </w:p>
        </w:tc>
      </w:tr>
      <w:tr w:rsidR="00811EFD" w:rsidRPr="00511968" w14:paraId="6E9DEAE1"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4B56F7F4" w14:textId="77777777" w:rsidR="00811EFD" w:rsidRPr="00511968" w:rsidRDefault="00811EFD" w:rsidP="00811EFD">
            <w:pPr>
              <w:jc w:val="center"/>
              <w:rPr>
                <w:color w:val="000000"/>
              </w:rPr>
            </w:pPr>
            <w:r w:rsidRPr="00511968">
              <w:rPr>
                <w:color w:val="000000"/>
              </w:rPr>
              <w:t>11-Dec-20</w:t>
            </w:r>
          </w:p>
        </w:tc>
        <w:tc>
          <w:tcPr>
            <w:tcW w:w="722" w:type="pct"/>
            <w:tcBorders>
              <w:top w:val="nil"/>
              <w:left w:val="nil"/>
              <w:bottom w:val="single" w:sz="4" w:space="0" w:color="auto"/>
              <w:right w:val="single" w:sz="4" w:space="0" w:color="auto"/>
            </w:tcBorders>
            <w:shd w:val="clear" w:color="auto" w:fill="auto"/>
            <w:noWrap/>
            <w:vAlign w:val="bottom"/>
            <w:hideMark/>
          </w:tcPr>
          <w:p w14:paraId="62733969" w14:textId="77777777" w:rsidR="00811EFD" w:rsidRPr="00511968" w:rsidRDefault="00811EFD" w:rsidP="00811EFD">
            <w:pPr>
              <w:jc w:val="center"/>
              <w:rPr>
                <w:color w:val="000000"/>
              </w:rPr>
            </w:pPr>
            <w:r w:rsidRPr="00511968">
              <w:rPr>
                <w:color w:val="000000"/>
              </w:rPr>
              <w:t>466.25</w:t>
            </w:r>
          </w:p>
        </w:tc>
        <w:tc>
          <w:tcPr>
            <w:tcW w:w="771" w:type="pct"/>
            <w:tcBorders>
              <w:top w:val="nil"/>
              <w:left w:val="nil"/>
              <w:bottom w:val="single" w:sz="4" w:space="0" w:color="auto"/>
              <w:right w:val="single" w:sz="4" w:space="0" w:color="auto"/>
            </w:tcBorders>
            <w:shd w:val="clear" w:color="auto" w:fill="auto"/>
            <w:noWrap/>
            <w:vAlign w:val="bottom"/>
            <w:hideMark/>
          </w:tcPr>
          <w:p w14:paraId="796E4EF4" w14:textId="77777777" w:rsidR="00811EFD" w:rsidRPr="00511968" w:rsidRDefault="00811EFD" w:rsidP="00811EFD">
            <w:pPr>
              <w:jc w:val="center"/>
              <w:rPr>
                <w:color w:val="000000"/>
              </w:rPr>
            </w:pPr>
            <w:r w:rsidRPr="00511968">
              <w:rPr>
                <w:color w:val="000000"/>
              </w:rPr>
              <w:t>-1.00%</w:t>
            </w:r>
          </w:p>
        </w:tc>
        <w:tc>
          <w:tcPr>
            <w:tcW w:w="914" w:type="pct"/>
            <w:tcBorders>
              <w:top w:val="nil"/>
              <w:left w:val="nil"/>
              <w:bottom w:val="single" w:sz="4" w:space="0" w:color="auto"/>
              <w:right w:val="single" w:sz="4" w:space="0" w:color="auto"/>
            </w:tcBorders>
            <w:shd w:val="clear" w:color="auto" w:fill="auto"/>
            <w:noWrap/>
            <w:vAlign w:val="bottom"/>
            <w:hideMark/>
          </w:tcPr>
          <w:p w14:paraId="17D7D05E" w14:textId="77777777" w:rsidR="00811EFD" w:rsidRPr="00511968" w:rsidRDefault="00811EFD" w:rsidP="00811EFD">
            <w:pPr>
              <w:jc w:val="center"/>
              <w:rPr>
                <w:color w:val="000000"/>
              </w:rPr>
            </w:pPr>
            <w:r w:rsidRPr="00511968">
              <w:rPr>
                <w:color w:val="000000"/>
              </w:rPr>
              <w:t>13-Jan-21</w:t>
            </w:r>
          </w:p>
        </w:tc>
        <w:tc>
          <w:tcPr>
            <w:tcW w:w="818" w:type="pct"/>
            <w:tcBorders>
              <w:top w:val="nil"/>
              <w:left w:val="nil"/>
              <w:bottom w:val="single" w:sz="4" w:space="0" w:color="auto"/>
              <w:right w:val="single" w:sz="4" w:space="0" w:color="auto"/>
            </w:tcBorders>
            <w:shd w:val="clear" w:color="auto" w:fill="auto"/>
            <w:noWrap/>
            <w:vAlign w:val="bottom"/>
            <w:hideMark/>
          </w:tcPr>
          <w:p w14:paraId="4D616503" w14:textId="77777777" w:rsidR="00811EFD" w:rsidRPr="00511968" w:rsidRDefault="00811EFD" w:rsidP="00811EFD">
            <w:pPr>
              <w:jc w:val="center"/>
              <w:rPr>
                <w:color w:val="000000"/>
              </w:rPr>
            </w:pPr>
            <w:r w:rsidRPr="00511968">
              <w:rPr>
                <w:color w:val="000000"/>
              </w:rPr>
              <w:t>536.7</w:t>
            </w:r>
          </w:p>
        </w:tc>
        <w:tc>
          <w:tcPr>
            <w:tcW w:w="719" w:type="pct"/>
            <w:tcBorders>
              <w:top w:val="nil"/>
              <w:left w:val="nil"/>
              <w:bottom w:val="single" w:sz="4" w:space="0" w:color="auto"/>
              <w:right w:val="single" w:sz="4" w:space="0" w:color="auto"/>
            </w:tcBorders>
            <w:shd w:val="clear" w:color="auto" w:fill="auto"/>
            <w:noWrap/>
            <w:vAlign w:val="bottom"/>
            <w:hideMark/>
          </w:tcPr>
          <w:p w14:paraId="2C6D0D24" w14:textId="77777777" w:rsidR="00811EFD" w:rsidRPr="00511968" w:rsidRDefault="00811EFD" w:rsidP="00811EFD">
            <w:pPr>
              <w:jc w:val="center"/>
              <w:rPr>
                <w:color w:val="000000"/>
              </w:rPr>
            </w:pPr>
            <w:r w:rsidRPr="00511968">
              <w:rPr>
                <w:color w:val="000000"/>
              </w:rPr>
              <w:t>4.99%</w:t>
            </w:r>
          </w:p>
        </w:tc>
      </w:tr>
      <w:tr w:rsidR="00811EFD" w:rsidRPr="00511968" w14:paraId="46DDE036"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3B489A8C" w14:textId="77777777" w:rsidR="00811EFD" w:rsidRPr="00511968" w:rsidRDefault="00811EFD" w:rsidP="00811EFD">
            <w:pPr>
              <w:jc w:val="center"/>
              <w:rPr>
                <w:color w:val="000000"/>
              </w:rPr>
            </w:pPr>
            <w:r w:rsidRPr="00511968">
              <w:rPr>
                <w:color w:val="000000"/>
              </w:rPr>
              <w:t>14-Dec-20</w:t>
            </w:r>
          </w:p>
        </w:tc>
        <w:tc>
          <w:tcPr>
            <w:tcW w:w="722" w:type="pct"/>
            <w:tcBorders>
              <w:top w:val="nil"/>
              <w:left w:val="nil"/>
              <w:bottom w:val="single" w:sz="4" w:space="0" w:color="auto"/>
              <w:right w:val="single" w:sz="4" w:space="0" w:color="auto"/>
            </w:tcBorders>
            <w:shd w:val="clear" w:color="auto" w:fill="auto"/>
            <w:noWrap/>
            <w:vAlign w:val="bottom"/>
            <w:hideMark/>
          </w:tcPr>
          <w:p w14:paraId="6B5DBA68" w14:textId="77777777" w:rsidR="00811EFD" w:rsidRPr="00511968" w:rsidRDefault="00811EFD" w:rsidP="00811EFD">
            <w:pPr>
              <w:jc w:val="center"/>
              <w:rPr>
                <w:color w:val="000000"/>
              </w:rPr>
            </w:pPr>
            <w:r w:rsidRPr="00511968">
              <w:rPr>
                <w:color w:val="000000"/>
              </w:rPr>
              <w:t>467</w:t>
            </w:r>
          </w:p>
        </w:tc>
        <w:tc>
          <w:tcPr>
            <w:tcW w:w="771" w:type="pct"/>
            <w:tcBorders>
              <w:top w:val="nil"/>
              <w:left w:val="nil"/>
              <w:bottom w:val="single" w:sz="4" w:space="0" w:color="auto"/>
              <w:right w:val="single" w:sz="4" w:space="0" w:color="auto"/>
            </w:tcBorders>
            <w:shd w:val="clear" w:color="auto" w:fill="auto"/>
            <w:noWrap/>
            <w:vAlign w:val="bottom"/>
            <w:hideMark/>
          </w:tcPr>
          <w:p w14:paraId="05C527EA" w14:textId="77777777" w:rsidR="00811EFD" w:rsidRPr="00511968" w:rsidRDefault="00811EFD" w:rsidP="00811EFD">
            <w:pPr>
              <w:jc w:val="center"/>
              <w:rPr>
                <w:color w:val="000000"/>
              </w:rPr>
            </w:pPr>
            <w:r w:rsidRPr="00511968">
              <w:rPr>
                <w:color w:val="000000"/>
              </w:rPr>
              <w:t>0.16%</w:t>
            </w:r>
          </w:p>
        </w:tc>
        <w:tc>
          <w:tcPr>
            <w:tcW w:w="914" w:type="pct"/>
            <w:tcBorders>
              <w:top w:val="nil"/>
              <w:left w:val="nil"/>
              <w:bottom w:val="single" w:sz="4" w:space="0" w:color="auto"/>
              <w:right w:val="single" w:sz="4" w:space="0" w:color="auto"/>
            </w:tcBorders>
            <w:shd w:val="clear" w:color="auto" w:fill="auto"/>
            <w:noWrap/>
            <w:vAlign w:val="bottom"/>
            <w:hideMark/>
          </w:tcPr>
          <w:p w14:paraId="7798E07F" w14:textId="77777777" w:rsidR="00811EFD" w:rsidRPr="00511968" w:rsidRDefault="00811EFD" w:rsidP="00811EFD">
            <w:pPr>
              <w:jc w:val="center"/>
              <w:rPr>
                <w:color w:val="000000"/>
              </w:rPr>
            </w:pPr>
            <w:r w:rsidRPr="00511968">
              <w:rPr>
                <w:color w:val="000000"/>
              </w:rPr>
              <w:t>14-Jan-21</w:t>
            </w:r>
          </w:p>
        </w:tc>
        <w:tc>
          <w:tcPr>
            <w:tcW w:w="818" w:type="pct"/>
            <w:tcBorders>
              <w:top w:val="nil"/>
              <w:left w:val="nil"/>
              <w:bottom w:val="single" w:sz="4" w:space="0" w:color="auto"/>
              <w:right w:val="single" w:sz="4" w:space="0" w:color="auto"/>
            </w:tcBorders>
            <w:shd w:val="clear" w:color="auto" w:fill="auto"/>
            <w:noWrap/>
            <w:vAlign w:val="bottom"/>
            <w:hideMark/>
          </w:tcPr>
          <w:p w14:paraId="3EE95396" w14:textId="77777777" w:rsidR="00811EFD" w:rsidRPr="00511968" w:rsidRDefault="00811EFD" w:rsidP="00811EFD">
            <w:pPr>
              <w:jc w:val="center"/>
              <w:rPr>
                <w:color w:val="000000"/>
              </w:rPr>
            </w:pPr>
            <w:r w:rsidRPr="00511968">
              <w:rPr>
                <w:color w:val="000000"/>
              </w:rPr>
              <w:t>536.6</w:t>
            </w:r>
          </w:p>
        </w:tc>
        <w:tc>
          <w:tcPr>
            <w:tcW w:w="719" w:type="pct"/>
            <w:tcBorders>
              <w:top w:val="nil"/>
              <w:left w:val="nil"/>
              <w:bottom w:val="single" w:sz="4" w:space="0" w:color="auto"/>
              <w:right w:val="single" w:sz="4" w:space="0" w:color="auto"/>
            </w:tcBorders>
            <w:shd w:val="clear" w:color="auto" w:fill="auto"/>
            <w:noWrap/>
            <w:vAlign w:val="bottom"/>
            <w:hideMark/>
          </w:tcPr>
          <w:p w14:paraId="18386741" w14:textId="77777777" w:rsidR="00811EFD" w:rsidRPr="00511968" w:rsidRDefault="00811EFD" w:rsidP="00811EFD">
            <w:pPr>
              <w:jc w:val="center"/>
              <w:rPr>
                <w:color w:val="000000"/>
              </w:rPr>
            </w:pPr>
            <w:r w:rsidRPr="00511968">
              <w:rPr>
                <w:color w:val="000000"/>
              </w:rPr>
              <w:t>-0.02%</w:t>
            </w:r>
          </w:p>
        </w:tc>
      </w:tr>
      <w:tr w:rsidR="00811EFD" w:rsidRPr="00511968" w14:paraId="7BEC7B0F"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48EF48EA" w14:textId="77777777" w:rsidR="00811EFD" w:rsidRPr="00511968" w:rsidRDefault="00811EFD" w:rsidP="00811EFD">
            <w:pPr>
              <w:jc w:val="center"/>
              <w:rPr>
                <w:color w:val="000000"/>
              </w:rPr>
            </w:pPr>
            <w:r w:rsidRPr="00511968">
              <w:rPr>
                <w:color w:val="000000"/>
              </w:rPr>
              <w:t>15-Dec-20</w:t>
            </w:r>
          </w:p>
        </w:tc>
        <w:tc>
          <w:tcPr>
            <w:tcW w:w="722" w:type="pct"/>
            <w:tcBorders>
              <w:top w:val="nil"/>
              <w:left w:val="nil"/>
              <w:bottom w:val="single" w:sz="4" w:space="0" w:color="auto"/>
              <w:right w:val="single" w:sz="4" w:space="0" w:color="auto"/>
            </w:tcBorders>
            <w:shd w:val="clear" w:color="auto" w:fill="auto"/>
            <w:noWrap/>
            <w:vAlign w:val="bottom"/>
            <w:hideMark/>
          </w:tcPr>
          <w:p w14:paraId="1ECD15EC" w14:textId="77777777" w:rsidR="00811EFD" w:rsidRPr="00511968" w:rsidRDefault="00811EFD" w:rsidP="00811EFD">
            <w:pPr>
              <w:jc w:val="center"/>
              <w:rPr>
                <w:color w:val="000000"/>
              </w:rPr>
            </w:pPr>
            <w:r w:rsidRPr="00511968">
              <w:rPr>
                <w:color w:val="000000"/>
              </w:rPr>
              <w:t>475.55</w:t>
            </w:r>
          </w:p>
        </w:tc>
        <w:tc>
          <w:tcPr>
            <w:tcW w:w="771" w:type="pct"/>
            <w:tcBorders>
              <w:top w:val="nil"/>
              <w:left w:val="nil"/>
              <w:bottom w:val="single" w:sz="4" w:space="0" w:color="auto"/>
              <w:right w:val="single" w:sz="4" w:space="0" w:color="auto"/>
            </w:tcBorders>
            <w:shd w:val="clear" w:color="auto" w:fill="auto"/>
            <w:noWrap/>
            <w:vAlign w:val="bottom"/>
            <w:hideMark/>
          </w:tcPr>
          <w:p w14:paraId="3CCEBB34" w14:textId="77777777" w:rsidR="00811EFD" w:rsidRPr="00511968" w:rsidRDefault="00811EFD" w:rsidP="00811EFD">
            <w:pPr>
              <w:jc w:val="center"/>
              <w:rPr>
                <w:color w:val="000000"/>
              </w:rPr>
            </w:pPr>
            <w:r w:rsidRPr="00511968">
              <w:rPr>
                <w:color w:val="000000"/>
              </w:rPr>
              <w:t>1.83%</w:t>
            </w:r>
          </w:p>
        </w:tc>
        <w:tc>
          <w:tcPr>
            <w:tcW w:w="914" w:type="pct"/>
            <w:tcBorders>
              <w:top w:val="nil"/>
              <w:left w:val="nil"/>
              <w:bottom w:val="single" w:sz="4" w:space="0" w:color="auto"/>
              <w:right w:val="single" w:sz="4" w:space="0" w:color="auto"/>
            </w:tcBorders>
            <w:shd w:val="clear" w:color="auto" w:fill="auto"/>
            <w:noWrap/>
            <w:vAlign w:val="bottom"/>
            <w:hideMark/>
          </w:tcPr>
          <w:p w14:paraId="61F083C5" w14:textId="77777777" w:rsidR="00811EFD" w:rsidRPr="00511968" w:rsidRDefault="00811EFD" w:rsidP="00811EFD">
            <w:pPr>
              <w:jc w:val="center"/>
              <w:rPr>
                <w:color w:val="000000"/>
              </w:rPr>
            </w:pPr>
            <w:r w:rsidRPr="00511968">
              <w:rPr>
                <w:color w:val="000000"/>
              </w:rPr>
              <w:t>15-Jan-21</w:t>
            </w:r>
          </w:p>
        </w:tc>
        <w:tc>
          <w:tcPr>
            <w:tcW w:w="818" w:type="pct"/>
            <w:tcBorders>
              <w:top w:val="nil"/>
              <w:left w:val="nil"/>
              <w:bottom w:val="single" w:sz="4" w:space="0" w:color="auto"/>
              <w:right w:val="single" w:sz="4" w:space="0" w:color="auto"/>
            </w:tcBorders>
            <w:shd w:val="clear" w:color="auto" w:fill="auto"/>
            <w:noWrap/>
            <w:vAlign w:val="bottom"/>
            <w:hideMark/>
          </w:tcPr>
          <w:p w14:paraId="62FBFA26" w14:textId="77777777" w:rsidR="00811EFD" w:rsidRPr="00511968" w:rsidRDefault="00811EFD" w:rsidP="00811EFD">
            <w:pPr>
              <w:jc w:val="center"/>
              <w:rPr>
                <w:color w:val="000000"/>
              </w:rPr>
            </w:pPr>
            <w:r w:rsidRPr="00511968">
              <w:rPr>
                <w:color w:val="000000"/>
              </w:rPr>
              <w:t>527.9</w:t>
            </w:r>
          </w:p>
        </w:tc>
        <w:tc>
          <w:tcPr>
            <w:tcW w:w="719" w:type="pct"/>
            <w:tcBorders>
              <w:top w:val="nil"/>
              <w:left w:val="nil"/>
              <w:bottom w:val="single" w:sz="4" w:space="0" w:color="auto"/>
              <w:right w:val="single" w:sz="4" w:space="0" w:color="auto"/>
            </w:tcBorders>
            <w:shd w:val="clear" w:color="auto" w:fill="auto"/>
            <w:noWrap/>
            <w:vAlign w:val="bottom"/>
            <w:hideMark/>
          </w:tcPr>
          <w:p w14:paraId="77B87EFC" w14:textId="77777777" w:rsidR="00811EFD" w:rsidRPr="00511968" w:rsidRDefault="00811EFD" w:rsidP="00811EFD">
            <w:pPr>
              <w:jc w:val="center"/>
              <w:rPr>
                <w:color w:val="000000"/>
              </w:rPr>
            </w:pPr>
            <w:r w:rsidRPr="00511968">
              <w:rPr>
                <w:color w:val="000000"/>
              </w:rPr>
              <w:t>-1.62%</w:t>
            </w:r>
          </w:p>
        </w:tc>
      </w:tr>
      <w:tr w:rsidR="00811EFD" w:rsidRPr="00511968" w14:paraId="5C9DA20C"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3A39F5D8" w14:textId="77777777" w:rsidR="00811EFD" w:rsidRPr="00511968" w:rsidRDefault="00811EFD" w:rsidP="00811EFD">
            <w:pPr>
              <w:jc w:val="center"/>
              <w:rPr>
                <w:color w:val="000000"/>
              </w:rPr>
            </w:pPr>
            <w:r w:rsidRPr="00511968">
              <w:rPr>
                <w:color w:val="000000"/>
              </w:rPr>
              <w:t>16-Dec-20</w:t>
            </w:r>
          </w:p>
        </w:tc>
        <w:tc>
          <w:tcPr>
            <w:tcW w:w="722" w:type="pct"/>
            <w:tcBorders>
              <w:top w:val="nil"/>
              <w:left w:val="nil"/>
              <w:bottom w:val="single" w:sz="4" w:space="0" w:color="auto"/>
              <w:right w:val="single" w:sz="4" w:space="0" w:color="auto"/>
            </w:tcBorders>
            <w:shd w:val="clear" w:color="auto" w:fill="auto"/>
            <w:noWrap/>
            <w:vAlign w:val="bottom"/>
            <w:hideMark/>
          </w:tcPr>
          <w:p w14:paraId="5C9941FF" w14:textId="77777777" w:rsidR="00811EFD" w:rsidRPr="00511968" w:rsidRDefault="00811EFD" w:rsidP="00811EFD">
            <w:pPr>
              <w:jc w:val="center"/>
              <w:rPr>
                <w:color w:val="000000"/>
              </w:rPr>
            </w:pPr>
            <w:r w:rsidRPr="00511968">
              <w:rPr>
                <w:color w:val="000000"/>
              </w:rPr>
              <w:t>475.55</w:t>
            </w:r>
          </w:p>
        </w:tc>
        <w:tc>
          <w:tcPr>
            <w:tcW w:w="771" w:type="pct"/>
            <w:tcBorders>
              <w:top w:val="nil"/>
              <w:left w:val="nil"/>
              <w:bottom w:val="single" w:sz="4" w:space="0" w:color="auto"/>
              <w:right w:val="single" w:sz="4" w:space="0" w:color="auto"/>
            </w:tcBorders>
            <w:shd w:val="clear" w:color="auto" w:fill="auto"/>
            <w:noWrap/>
            <w:vAlign w:val="bottom"/>
            <w:hideMark/>
          </w:tcPr>
          <w:p w14:paraId="7E85CE5E" w14:textId="77777777" w:rsidR="00811EFD" w:rsidRPr="00511968" w:rsidRDefault="00811EFD" w:rsidP="00811EFD">
            <w:pPr>
              <w:jc w:val="center"/>
              <w:rPr>
                <w:color w:val="000000"/>
              </w:rPr>
            </w:pPr>
            <w:r w:rsidRPr="00511968">
              <w:rPr>
                <w:color w:val="000000"/>
              </w:rPr>
              <w:t>0.00%</w:t>
            </w:r>
          </w:p>
        </w:tc>
        <w:tc>
          <w:tcPr>
            <w:tcW w:w="914" w:type="pct"/>
            <w:tcBorders>
              <w:top w:val="nil"/>
              <w:left w:val="nil"/>
              <w:bottom w:val="single" w:sz="4" w:space="0" w:color="auto"/>
              <w:right w:val="single" w:sz="4" w:space="0" w:color="auto"/>
            </w:tcBorders>
            <w:shd w:val="clear" w:color="auto" w:fill="auto"/>
            <w:noWrap/>
            <w:vAlign w:val="bottom"/>
            <w:hideMark/>
          </w:tcPr>
          <w:p w14:paraId="6E4ADA37" w14:textId="77777777" w:rsidR="00811EFD" w:rsidRPr="00511968" w:rsidRDefault="00811EFD" w:rsidP="00811EFD">
            <w:pPr>
              <w:jc w:val="center"/>
              <w:rPr>
                <w:color w:val="000000"/>
              </w:rPr>
            </w:pPr>
            <w:r w:rsidRPr="00511968">
              <w:rPr>
                <w:color w:val="000000"/>
              </w:rPr>
              <w:t>18-Jan-21</w:t>
            </w:r>
          </w:p>
        </w:tc>
        <w:tc>
          <w:tcPr>
            <w:tcW w:w="818" w:type="pct"/>
            <w:tcBorders>
              <w:top w:val="nil"/>
              <w:left w:val="nil"/>
              <w:bottom w:val="single" w:sz="4" w:space="0" w:color="auto"/>
              <w:right w:val="single" w:sz="4" w:space="0" w:color="auto"/>
            </w:tcBorders>
            <w:shd w:val="clear" w:color="auto" w:fill="auto"/>
            <w:noWrap/>
            <w:vAlign w:val="bottom"/>
            <w:hideMark/>
          </w:tcPr>
          <w:p w14:paraId="48A269BD" w14:textId="77777777" w:rsidR="00811EFD" w:rsidRPr="00511968" w:rsidRDefault="00811EFD" w:rsidP="00811EFD">
            <w:pPr>
              <w:jc w:val="center"/>
              <w:rPr>
                <w:color w:val="000000"/>
              </w:rPr>
            </w:pPr>
            <w:r w:rsidRPr="00511968">
              <w:rPr>
                <w:color w:val="000000"/>
              </w:rPr>
              <w:t>515.25</w:t>
            </w:r>
          </w:p>
        </w:tc>
        <w:tc>
          <w:tcPr>
            <w:tcW w:w="719" w:type="pct"/>
            <w:tcBorders>
              <w:top w:val="nil"/>
              <w:left w:val="nil"/>
              <w:bottom w:val="single" w:sz="4" w:space="0" w:color="auto"/>
              <w:right w:val="single" w:sz="4" w:space="0" w:color="auto"/>
            </w:tcBorders>
            <w:shd w:val="clear" w:color="auto" w:fill="auto"/>
            <w:noWrap/>
            <w:vAlign w:val="bottom"/>
            <w:hideMark/>
          </w:tcPr>
          <w:p w14:paraId="19BF57F2" w14:textId="77777777" w:rsidR="00811EFD" w:rsidRPr="00511968" w:rsidRDefault="00811EFD" w:rsidP="00811EFD">
            <w:pPr>
              <w:jc w:val="center"/>
              <w:rPr>
                <w:color w:val="000000"/>
              </w:rPr>
            </w:pPr>
            <w:r w:rsidRPr="00511968">
              <w:rPr>
                <w:color w:val="000000"/>
              </w:rPr>
              <w:t>-2.40%</w:t>
            </w:r>
          </w:p>
        </w:tc>
      </w:tr>
      <w:tr w:rsidR="00811EFD" w:rsidRPr="00511968" w14:paraId="10D6388A"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265E9CF9" w14:textId="77777777" w:rsidR="00811EFD" w:rsidRPr="00511968" w:rsidRDefault="00811EFD" w:rsidP="00811EFD">
            <w:pPr>
              <w:jc w:val="center"/>
              <w:rPr>
                <w:color w:val="000000"/>
              </w:rPr>
            </w:pPr>
            <w:r w:rsidRPr="00511968">
              <w:rPr>
                <w:color w:val="000000"/>
              </w:rPr>
              <w:t>17-Dec-20</w:t>
            </w:r>
          </w:p>
        </w:tc>
        <w:tc>
          <w:tcPr>
            <w:tcW w:w="722" w:type="pct"/>
            <w:tcBorders>
              <w:top w:val="nil"/>
              <w:left w:val="nil"/>
              <w:bottom w:val="single" w:sz="4" w:space="0" w:color="auto"/>
              <w:right w:val="single" w:sz="4" w:space="0" w:color="auto"/>
            </w:tcBorders>
            <w:shd w:val="clear" w:color="auto" w:fill="auto"/>
            <w:noWrap/>
            <w:vAlign w:val="bottom"/>
            <w:hideMark/>
          </w:tcPr>
          <w:p w14:paraId="16B8C48A" w14:textId="77777777" w:rsidR="00811EFD" w:rsidRPr="00511968" w:rsidRDefault="00811EFD" w:rsidP="00811EFD">
            <w:pPr>
              <w:jc w:val="center"/>
              <w:rPr>
                <w:color w:val="000000"/>
              </w:rPr>
            </w:pPr>
            <w:r w:rsidRPr="00511968">
              <w:rPr>
                <w:color w:val="000000"/>
              </w:rPr>
              <w:t>467.85</w:t>
            </w:r>
          </w:p>
        </w:tc>
        <w:tc>
          <w:tcPr>
            <w:tcW w:w="771" w:type="pct"/>
            <w:tcBorders>
              <w:top w:val="nil"/>
              <w:left w:val="nil"/>
              <w:bottom w:val="single" w:sz="4" w:space="0" w:color="auto"/>
              <w:right w:val="single" w:sz="4" w:space="0" w:color="auto"/>
            </w:tcBorders>
            <w:shd w:val="clear" w:color="auto" w:fill="auto"/>
            <w:noWrap/>
            <w:vAlign w:val="bottom"/>
            <w:hideMark/>
          </w:tcPr>
          <w:p w14:paraId="4958B1EE" w14:textId="77777777" w:rsidR="00811EFD" w:rsidRPr="00511968" w:rsidRDefault="00811EFD" w:rsidP="00811EFD">
            <w:pPr>
              <w:jc w:val="center"/>
              <w:rPr>
                <w:color w:val="000000"/>
              </w:rPr>
            </w:pPr>
            <w:r w:rsidRPr="00511968">
              <w:rPr>
                <w:color w:val="000000"/>
              </w:rPr>
              <w:t>-1.62%</w:t>
            </w:r>
          </w:p>
        </w:tc>
        <w:tc>
          <w:tcPr>
            <w:tcW w:w="914" w:type="pct"/>
            <w:tcBorders>
              <w:top w:val="nil"/>
              <w:left w:val="nil"/>
              <w:bottom w:val="single" w:sz="4" w:space="0" w:color="auto"/>
              <w:right w:val="single" w:sz="4" w:space="0" w:color="auto"/>
            </w:tcBorders>
            <w:shd w:val="clear" w:color="auto" w:fill="auto"/>
            <w:noWrap/>
            <w:vAlign w:val="bottom"/>
            <w:hideMark/>
          </w:tcPr>
          <w:p w14:paraId="6AAEE275" w14:textId="77777777" w:rsidR="00811EFD" w:rsidRPr="00511968" w:rsidRDefault="00811EFD" w:rsidP="00811EFD">
            <w:pPr>
              <w:jc w:val="center"/>
              <w:rPr>
                <w:color w:val="000000"/>
              </w:rPr>
            </w:pPr>
            <w:r w:rsidRPr="00511968">
              <w:rPr>
                <w:color w:val="000000"/>
              </w:rPr>
              <w:t>19-Jan-21</w:t>
            </w:r>
          </w:p>
        </w:tc>
        <w:tc>
          <w:tcPr>
            <w:tcW w:w="818" w:type="pct"/>
            <w:tcBorders>
              <w:top w:val="nil"/>
              <w:left w:val="nil"/>
              <w:bottom w:val="single" w:sz="4" w:space="0" w:color="auto"/>
              <w:right w:val="single" w:sz="4" w:space="0" w:color="auto"/>
            </w:tcBorders>
            <w:shd w:val="clear" w:color="auto" w:fill="auto"/>
            <w:noWrap/>
            <w:vAlign w:val="bottom"/>
            <w:hideMark/>
          </w:tcPr>
          <w:p w14:paraId="52328B07" w14:textId="77777777" w:rsidR="00811EFD" w:rsidRPr="00511968" w:rsidRDefault="00811EFD" w:rsidP="00811EFD">
            <w:pPr>
              <w:jc w:val="center"/>
              <w:rPr>
                <w:color w:val="000000"/>
              </w:rPr>
            </w:pPr>
            <w:r w:rsidRPr="00511968">
              <w:rPr>
                <w:color w:val="000000"/>
              </w:rPr>
              <w:t>531.2</w:t>
            </w:r>
          </w:p>
        </w:tc>
        <w:tc>
          <w:tcPr>
            <w:tcW w:w="719" w:type="pct"/>
            <w:tcBorders>
              <w:top w:val="nil"/>
              <w:left w:val="nil"/>
              <w:bottom w:val="single" w:sz="4" w:space="0" w:color="auto"/>
              <w:right w:val="single" w:sz="4" w:space="0" w:color="auto"/>
            </w:tcBorders>
            <w:shd w:val="clear" w:color="auto" w:fill="auto"/>
            <w:noWrap/>
            <w:vAlign w:val="bottom"/>
            <w:hideMark/>
          </w:tcPr>
          <w:p w14:paraId="780C744A" w14:textId="77777777" w:rsidR="00811EFD" w:rsidRPr="00511968" w:rsidRDefault="00811EFD" w:rsidP="00811EFD">
            <w:pPr>
              <w:jc w:val="center"/>
              <w:rPr>
                <w:color w:val="000000"/>
              </w:rPr>
            </w:pPr>
            <w:r w:rsidRPr="00511968">
              <w:rPr>
                <w:color w:val="000000"/>
              </w:rPr>
              <w:t>3.10%</w:t>
            </w:r>
          </w:p>
        </w:tc>
      </w:tr>
      <w:tr w:rsidR="00811EFD" w:rsidRPr="00511968" w14:paraId="6BBE98FA"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0543D124" w14:textId="77777777" w:rsidR="00811EFD" w:rsidRPr="00511968" w:rsidRDefault="00811EFD" w:rsidP="00811EFD">
            <w:pPr>
              <w:jc w:val="center"/>
              <w:rPr>
                <w:color w:val="000000"/>
              </w:rPr>
            </w:pPr>
            <w:r w:rsidRPr="00511968">
              <w:rPr>
                <w:color w:val="000000"/>
              </w:rPr>
              <w:t>18-Dec-20</w:t>
            </w:r>
          </w:p>
        </w:tc>
        <w:tc>
          <w:tcPr>
            <w:tcW w:w="722" w:type="pct"/>
            <w:tcBorders>
              <w:top w:val="nil"/>
              <w:left w:val="nil"/>
              <w:bottom w:val="single" w:sz="4" w:space="0" w:color="auto"/>
              <w:right w:val="single" w:sz="4" w:space="0" w:color="auto"/>
            </w:tcBorders>
            <w:shd w:val="clear" w:color="auto" w:fill="auto"/>
            <w:noWrap/>
            <w:vAlign w:val="bottom"/>
            <w:hideMark/>
          </w:tcPr>
          <w:p w14:paraId="15BAFEBD" w14:textId="77777777" w:rsidR="00811EFD" w:rsidRPr="00511968" w:rsidRDefault="00811EFD" w:rsidP="00811EFD">
            <w:pPr>
              <w:jc w:val="center"/>
              <w:rPr>
                <w:color w:val="000000"/>
              </w:rPr>
            </w:pPr>
            <w:r w:rsidRPr="00511968">
              <w:rPr>
                <w:color w:val="000000"/>
              </w:rPr>
              <w:t>463.1</w:t>
            </w:r>
          </w:p>
        </w:tc>
        <w:tc>
          <w:tcPr>
            <w:tcW w:w="771" w:type="pct"/>
            <w:tcBorders>
              <w:top w:val="nil"/>
              <w:left w:val="nil"/>
              <w:bottom w:val="single" w:sz="4" w:space="0" w:color="auto"/>
              <w:right w:val="single" w:sz="4" w:space="0" w:color="auto"/>
            </w:tcBorders>
            <w:shd w:val="clear" w:color="auto" w:fill="auto"/>
            <w:noWrap/>
            <w:vAlign w:val="bottom"/>
            <w:hideMark/>
          </w:tcPr>
          <w:p w14:paraId="41CB5607" w14:textId="77777777" w:rsidR="00811EFD" w:rsidRPr="00511968" w:rsidRDefault="00811EFD" w:rsidP="00811EFD">
            <w:pPr>
              <w:jc w:val="center"/>
              <w:rPr>
                <w:color w:val="000000"/>
              </w:rPr>
            </w:pPr>
            <w:r w:rsidRPr="00511968">
              <w:rPr>
                <w:color w:val="000000"/>
              </w:rPr>
              <w:t>-1.02%</w:t>
            </w:r>
          </w:p>
        </w:tc>
        <w:tc>
          <w:tcPr>
            <w:tcW w:w="914" w:type="pct"/>
            <w:tcBorders>
              <w:top w:val="nil"/>
              <w:left w:val="nil"/>
              <w:bottom w:val="single" w:sz="4" w:space="0" w:color="auto"/>
              <w:right w:val="single" w:sz="4" w:space="0" w:color="auto"/>
            </w:tcBorders>
            <w:shd w:val="clear" w:color="auto" w:fill="auto"/>
            <w:noWrap/>
            <w:vAlign w:val="bottom"/>
            <w:hideMark/>
          </w:tcPr>
          <w:p w14:paraId="30B01B51" w14:textId="77777777" w:rsidR="00811EFD" w:rsidRPr="00511968" w:rsidRDefault="00811EFD" w:rsidP="00811EFD">
            <w:pPr>
              <w:jc w:val="center"/>
              <w:rPr>
                <w:color w:val="000000"/>
              </w:rPr>
            </w:pPr>
            <w:r w:rsidRPr="00511968">
              <w:rPr>
                <w:color w:val="000000"/>
              </w:rPr>
              <w:t>20-Jan-21</w:t>
            </w:r>
          </w:p>
        </w:tc>
        <w:tc>
          <w:tcPr>
            <w:tcW w:w="818" w:type="pct"/>
            <w:tcBorders>
              <w:top w:val="nil"/>
              <w:left w:val="nil"/>
              <w:bottom w:val="single" w:sz="4" w:space="0" w:color="auto"/>
              <w:right w:val="single" w:sz="4" w:space="0" w:color="auto"/>
            </w:tcBorders>
            <w:shd w:val="clear" w:color="auto" w:fill="auto"/>
            <w:noWrap/>
            <w:vAlign w:val="bottom"/>
            <w:hideMark/>
          </w:tcPr>
          <w:p w14:paraId="6F14C4EB" w14:textId="77777777" w:rsidR="00811EFD" w:rsidRPr="00511968" w:rsidRDefault="00811EFD" w:rsidP="00811EFD">
            <w:pPr>
              <w:jc w:val="center"/>
              <w:rPr>
                <w:color w:val="000000"/>
              </w:rPr>
            </w:pPr>
            <w:r w:rsidRPr="00511968">
              <w:rPr>
                <w:color w:val="000000"/>
              </w:rPr>
              <w:t>558.25</w:t>
            </w:r>
          </w:p>
        </w:tc>
        <w:tc>
          <w:tcPr>
            <w:tcW w:w="719" w:type="pct"/>
            <w:tcBorders>
              <w:top w:val="nil"/>
              <w:left w:val="nil"/>
              <w:bottom w:val="single" w:sz="4" w:space="0" w:color="auto"/>
              <w:right w:val="single" w:sz="4" w:space="0" w:color="auto"/>
            </w:tcBorders>
            <w:shd w:val="clear" w:color="auto" w:fill="auto"/>
            <w:noWrap/>
            <w:vAlign w:val="bottom"/>
            <w:hideMark/>
          </w:tcPr>
          <w:p w14:paraId="0AD36B0D" w14:textId="77777777" w:rsidR="00811EFD" w:rsidRPr="00511968" w:rsidRDefault="00811EFD" w:rsidP="00811EFD">
            <w:pPr>
              <w:jc w:val="center"/>
              <w:rPr>
                <w:color w:val="000000"/>
              </w:rPr>
            </w:pPr>
            <w:r w:rsidRPr="00511968">
              <w:rPr>
                <w:color w:val="000000"/>
              </w:rPr>
              <w:t>5.09%</w:t>
            </w:r>
          </w:p>
        </w:tc>
      </w:tr>
      <w:tr w:rsidR="00811EFD" w:rsidRPr="00511968" w14:paraId="3922B11A"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09FFA510" w14:textId="77777777" w:rsidR="00811EFD" w:rsidRPr="00511968" w:rsidRDefault="00811EFD" w:rsidP="00811EFD">
            <w:pPr>
              <w:jc w:val="center"/>
              <w:rPr>
                <w:color w:val="000000"/>
              </w:rPr>
            </w:pPr>
            <w:r w:rsidRPr="00511968">
              <w:rPr>
                <w:color w:val="000000"/>
              </w:rPr>
              <w:t>21-Dec-20</w:t>
            </w:r>
          </w:p>
        </w:tc>
        <w:tc>
          <w:tcPr>
            <w:tcW w:w="722" w:type="pct"/>
            <w:tcBorders>
              <w:top w:val="nil"/>
              <w:left w:val="nil"/>
              <w:bottom w:val="single" w:sz="4" w:space="0" w:color="auto"/>
              <w:right w:val="single" w:sz="4" w:space="0" w:color="auto"/>
            </w:tcBorders>
            <w:shd w:val="clear" w:color="auto" w:fill="auto"/>
            <w:noWrap/>
            <w:vAlign w:val="bottom"/>
            <w:hideMark/>
          </w:tcPr>
          <w:p w14:paraId="2F6BFC34" w14:textId="77777777" w:rsidR="00811EFD" w:rsidRPr="00511968" w:rsidRDefault="00811EFD" w:rsidP="00811EFD">
            <w:pPr>
              <w:jc w:val="center"/>
              <w:rPr>
                <w:color w:val="000000"/>
              </w:rPr>
            </w:pPr>
            <w:r w:rsidRPr="00511968">
              <w:rPr>
                <w:color w:val="000000"/>
              </w:rPr>
              <w:t>444.2</w:t>
            </w:r>
          </w:p>
        </w:tc>
        <w:tc>
          <w:tcPr>
            <w:tcW w:w="771" w:type="pct"/>
            <w:tcBorders>
              <w:top w:val="nil"/>
              <w:left w:val="nil"/>
              <w:bottom w:val="single" w:sz="4" w:space="0" w:color="auto"/>
              <w:right w:val="single" w:sz="4" w:space="0" w:color="auto"/>
            </w:tcBorders>
            <w:shd w:val="clear" w:color="auto" w:fill="auto"/>
            <w:noWrap/>
            <w:vAlign w:val="bottom"/>
            <w:hideMark/>
          </w:tcPr>
          <w:p w14:paraId="5CB722DE" w14:textId="77777777" w:rsidR="00811EFD" w:rsidRPr="00511968" w:rsidRDefault="00811EFD" w:rsidP="00811EFD">
            <w:pPr>
              <w:jc w:val="center"/>
              <w:rPr>
                <w:color w:val="000000"/>
              </w:rPr>
            </w:pPr>
            <w:r w:rsidRPr="00511968">
              <w:rPr>
                <w:color w:val="000000"/>
              </w:rPr>
              <w:t>-4.08%</w:t>
            </w:r>
          </w:p>
        </w:tc>
        <w:tc>
          <w:tcPr>
            <w:tcW w:w="914" w:type="pct"/>
            <w:tcBorders>
              <w:top w:val="nil"/>
              <w:left w:val="nil"/>
              <w:bottom w:val="single" w:sz="4" w:space="0" w:color="auto"/>
              <w:right w:val="single" w:sz="4" w:space="0" w:color="auto"/>
            </w:tcBorders>
            <w:shd w:val="clear" w:color="auto" w:fill="auto"/>
            <w:noWrap/>
            <w:vAlign w:val="bottom"/>
            <w:hideMark/>
          </w:tcPr>
          <w:p w14:paraId="78C17F87" w14:textId="77777777" w:rsidR="00811EFD" w:rsidRPr="00511968" w:rsidRDefault="00811EFD" w:rsidP="00811EFD">
            <w:pPr>
              <w:jc w:val="center"/>
              <w:rPr>
                <w:color w:val="000000"/>
              </w:rPr>
            </w:pPr>
            <w:r w:rsidRPr="00511968">
              <w:rPr>
                <w:color w:val="000000"/>
              </w:rPr>
              <w:t>21-Jan-21</w:t>
            </w:r>
          </w:p>
        </w:tc>
        <w:tc>
          <w:tcPr>
            <w:tcW w:w="818" w:type="pct"/>
            <w:tcBorders>
              <w:top w:val="nil"/>
              <w:left w:val="nil"/>
              <w:bottom w:val="single" w:sz="4" w:space="0" w:color="auto"/>
              <w:right w:val="single" w:sz="4" w:space="0" w:color="auto"/>
            </w:tcBorders>
            <w:shd w:val="clear" w:color="auto" w:fill="auto"/>
            <w:noWrap/>
            <w:vAlign w:val="bottom"/>
            <w:hideMark/>
          </w:tcPr>
          <w:p w14:paraId="324658ED" w14:textId="77777777" w:rsidR="00811EFD" w:rsidRPr="00511968" w:rsidRDefault="00811EFD" w:rsidP="00811EFD">
            <w:pPr>
              <w:jc w:val="center"/>
              <w:rPr>
                <w:color w:val="000000"/>
              </w:rPr>
            </w:pPr>
            <w:r w:rsidRPr="00511968">
              <w:rPr>
                <w:color w:val="000000"/>
              </w:rPr>
              <w:t>548</w:t>
            </w:r>
          </w:p>
        </w:tc>
        <w:tc>
          <w:tcPr>
            <w:tcW w:w="719" w:type="pct"/>
            <w:tcBorders>
              <w:top w:val="nil"/>
              <w:left w:val="nil"/>
              <w:bottom w:val="single" w:sz="4" w:space="0" w:color="auto"/>
              <w:right w:val="single" w:sz="4" w:space="0" w:color="auto"/>
            </w:tcBorders>
            <w:shd w:val="clear" w:color="auto" w:fill="auto"/>
            <w:noWrap/>
            <w:vAlign w:val="bottom"/>
            <w:hideMark/>
          </w:tcPr>
          <w:p w14:paraId="4FCE51BD" w14:textId="77777777" w:rsidR="00811EFD" w:rsidRPr="00511968" w:rsidRDefault="00811EFD" w:rsidP="00811EFD">
            <w:pPr>
              <w:jc w:val="center"/>
              <w:rPr>
                <w:color w:val="000000"/>
              </w:rPr>
            </w:pPr>
            <w:r w:rsidRPr="00511968">
              <w:rPr>
                <w:color w:val="000000"/>
              </w:rPr>
              <w:t>-1.84%</w:t>
            </w:r>
          </w:p>
        </w:tc>
      </w:tr>
      <w:tr w:rsidR="00811EFD" w:rsidRPr="00511968" w14:paraId="47F339EF"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02F10C70" w14:textId="77777777" w:rsidR="00811EFD" w:rsidRPr="00511968" w:rsidRDefault="00811EFD" w:rsidP="00811EFD">
            <w:pPr>
              <w:jc w:val="center"/>
              <w:rPr>
                <w:color w:val="000000"/>
              </w:rPr>
            </w:pPr>
            <w:r w:rsidRPr="00511968">
              <w:rPr>
                <w:color w:val="000000"/>
              </w:rPr>
              <w:t>22-Dec-20</w:t>
            </w:r>
          </w:p>
        </w:tc>
        <w:tc>
          <w:tcPr>
            <w:tcW w:w="722" w:type="pct"/>
            <w:tcBorders>
              <w:top w:val="nil"/>
              <w:left w:val="nil"/>
              <w:bottom w:val="single" w:sz="4" w:space="0" w:color="auto"/>
              <w:right w:val="single" w:sz="4" w:space="0" w:color="auto"/>
            </w:tcBorders>
            <w:shd w:val="clear" w:color="auto" w:fill="auto"/>
            <w:noWrap/>
            <w:vAlign w:val="bottom"/>
            <w:hideMark/>
          </w:tcPr>
          <w:p w14:paraId="7476DDEE" w14:textId="77777777" w:rsidR="00811EFD" w:rsidRPr="00511968" w:rsidRDefault="00811EFD" w:rsidP="00811EFD">
            <w:pPr>
              <w:jc w:val="center"/>
              <w:rPr>
                <w:color w:val="000000"/>
              </w:rPr>
            </w:pPr>
            <w:r w:rsidRPr="00511968">
              <w:rPr>
                <w:color w:val="000000"/>
              </w:rPr>
              <w:t>468.25</w:t>
            </w:r>
          </w:p>
        </w:tc>
        <w:tc>
          <w:tcPr>
            <w:tcW w:w="771" w:type="pct"/>
            <w:tcBorders>
              <w:top w:val="nil"/>
              <w:left w:val="nil"/>
              <w:bottom w:val="single" w:sz="4" w:space="0" w:color="auto"/>
              <w:right w:val="single" w:sz="4" w:space="0" w:color="auto"/>
            </w:tcBorders>
            <w:shd w:val="clear" w:color="auto" w:fill="auto"/>
            <w:noWrap/>
            <w:vAlign w:val="bottom"/>
            <w:hideMark/>
          </w:tcPr>
          <w:p w14:paraId="0F2CEAFA" w14:textId="77777777" w:rsidR="00811EFD" w:rsidRPr="00511968" w:rsidRDefault="00811EFD" w:rsidP="00811EFD">
            <w:pPr>
              <w:jc w:val="center"/>
              <w:rPr>
                <w:color w:val="000000"/>
              </w:rPr>
            </w:pPr>
            <w:r w:rsidRPr="00511968">
              <w:rPr>
                <w:color w:val="000000"/>
              </w:rPr>
              <w:t>5.41%</w:t>
            </w:r>
          </w:p>
        </w:tc>
        <w:tc>
          <w:tcPr>
            <w:tcW w:w="914" w:type="pct"/>
            <w:tcBorders>
              <w:top w:val="nil"/>
              <w:left w:val="nil"/>
              <w:bottom w:val="single" w:sz="4" w:space="0" w:color="auto"/>
              <w:right w:val="single" w:sz="4" w:space="0" w:color="auto"/>
            </w:tcBorders>
            <w:shd w:val="clear" w:color="auto" w:fill="auto"/>
            <w:noWrap/>
            <w:vAlign w:val="bottom"/>
            <w:hideMark/>
          </w:tcPr>
          <w:p w14:paraId="493F386F" w14:textId="77777777" w:rsidR="00811EFD" w:rsidRPr="00511968" w:rsidRDefault="00811EFD" w:rsidP="00811EFD">
            <w:pPr>
              <w:jc w:val="center"/>
              <w:rPr>
                <w:color w:val="000000"/>
              </w:rPr>
            </w:pPr>
            <w:r w:rsidRPr="00511968">
              <w:rPr>
                <w:color w:val="000000"/>
              </w:rPr>
              <w:t>22-Jan-21</w:t>
            </w:r>
          </w:p>
        </w:tc>
        <w:tc>
          <w:tcPr>
            <w:tcW w:w="818" w:type="pct"/>
            <w:tcBorders>
              <w:top w:val="nil"/>
              <w:left w:val="nil"/>
              <w:bottom w:val="single" w:sz="4" w:space="0" w:color="auto"/>
              <w:right w:val="single" w:sz="4" w:space="0" w:color="auto"/>
            </w:tcBorders>
            <w:shd w:val="clear" w:color="auto" w:fill="auto"/>
            <w:noWrap/>
            <w:vAlign w:val="bottom"/>
            <w:hideMark/>
          </w:tcPr>
          <w:p w14:paraId="1964DC55" w14:textId="77777777" w:rsidR="00811EFD" w:rsidRPr="00511968" w:rsidRDefault="00811EFD" w:rsidP="00811EFD">
            <w:pPr>
              <w:jc w:val="center"/>
              <w:rPr>
                <w:color w:val="000000"/>
              </w:rPr>
            </w:pPr>
            <w:r w:rsidRPr="00511968">
              <w:rPr>
                <w:color w:val="000000"/>
              </w:rPr>
              <w:t>536</w:t>
            </w:r>
          </w:p>
        </w:tc>
        <w:tc>
          <w:tcPr>
            <w:tcW w:w="719" w:type="pct"/>
            <w:tcBorders>
              <w:top w:val="nil"/>
              <w:left w:val="nil"/>
              <w:bottom w:val="single" w:sz="4" w:space="0" w:color="auto"/>
              <w:right w:val="single" w:sz="4" w:space="0" w:color="auto"/>
            </w:tcBorders>
            <w:shd w:val="clear" w:color="auto" w:fill="auto"/>
            <w:noWrap/>
            <w:vAlign w:val="bottom"/>
            <w:hideMark/>
          </w:tcPr>
          <w:p w14:paraId="4D6572D5" w14:textId="77777777" w:rsidR="00811EFD" w:rsidRPr="00511968" w:rsidRDefault="00811EFD" w:rsidP="00811EFD">
            <w:pPr>
              <w:jc w:val="center"/>
              <w:rPr>
                <w:color w:val="000000"/>
              </w:rPr>
            </w:pPr>
            <w:r w:rsidRPr="00511968">
              <w:rPr>
                <w:color w:val="000000"/>
              </w:rPr>
              <w:t>-2.19%</w:t>
            </w:r>
          </w:p>
        </w:tc>
      </w:tr>
      <w:tr w:rsidR="00811EFD" w:rsidRPr="00511968" w14:paraId="4E36ED01"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59025685" w14:textId="77777777" w:rsidR="00811EFD" w:rsidRPr="00511968" w:rsidRDefault="00811EFD" w:rsidP="00811EFD">
            <w:pPr>
              <w:jc w:val="center"/>
              <w:rPr>
                <w:color w:val="000000"/>
              </w:rPr>
            </w:pPr>
            <w:r w:rsidRPr="00511968">
              <w:rPr>
                <w:color w:val="000000"/>
              </w:rPr>
              <w:t>23-Dec-20</w:t>
            </w:r>
          </w:p>
        </w:tc>
        <w:tc>
          <w:tcPr>
            <w:tcW w:w="722" w:type="pct"/>
            <w:tcBorders>
              <w:top w:val="nil"/>
              <w:left w:val="nil"/>
              <w:bottom w:val="single" w:sz="4" w:space="0" w:color="auto"/>
              <w:right w:val="single" w:sz="4" w:space="0" w:color="auto"/>
            </w:tcBorders>
            <w:shd w:val="clear" w:color="auto" w:fill="auto"/>
            <w:noWrap/>
            <w:vAlign w:val="bottom"/>
            <w:hideMark/>
          </w:tcPr>
          <w:p w14:paraId="49BE1E35" w14:textId="77777777" w:rsidR="00811EFD" w:rsidRPr="00511968" w:rsidRDefault="00811EFD" w:rsidP="00811EFD">
            <w:pPr>
              <w:jc w:val="center"/>
              <w:rPr>
                <w:color w:val="000000"/>
              </w:rPr>
            </w:pPr>
            <w:r w:rsidRPr="00511968">
              <w:rPr>
                <w:color w:val="000000"/>
              </w:rPr>
              <w:t>471.4</w:t>
            </w:r>
          </w:p>
        </w:tc>
        <w:tc>
          <w:tcPr>
            <w:tcW w:w="771" w:type="pct"/>
            <w:tcBorders>
              <w:top w:val="nil"/>
              <w:left w:val="nil"/>
              <w:bottom w:val="single" w:sz="4" w:space="0" w:color="auto"/>
              <w:right w:val="single" w:sz="4" w:space="0" w:color="auto"/>
            </w:tcBorders>
            <w:shd w:val="clear" w:color="auto" w:fill="auto"/>
            <w:noWrap/>
            <w:vAlign w:val="bottom"/>
            <w:hideMark/>
          </w:tcPr>
          <w:p w14:paraId="1D99B4B1" w14:textId="77777777" w:rsidR="00811EFD" w:rsidRPr="00511968" w:rsidRDefault="00811EFD" w:rsidP="00811EFD">
            <w:pPr>
              <w:jc w:val="center"/>
              <w:rPr>
                <w:color w:val="000000"/>
              </w:rPr>
            </w:pPr>
            <w:r w:rsidRPr="00511968">
              <w:rPr>
                <w:color w:val="000000"/>
              </w:rPr>
              <w:t>0.67%</w:t>
            </w:r>
          </w:p>
        </w:tc>
        <w:tc>
          <w:tcPr>
            <w:tcW w:w="914" w:type="pct"/>
            <w:tcBorders>
              <w:top w:val="nil"/>
              <w:left w:val="nil"/>
              <w:bottom w:val="single" w:sz="4" w:space="0" w:color="auto"/>
              <w:right w:val="single" w:sz="4" w:space="0" w:color="auto"/>
            </w:tcBorders>
            <w:shd w:val="clear" w:color="auto" w:fill="auto"/>
            <w:noWrap/>
            <w:vAlign w:val="bottom"/>
            <w:hideMark/>
          </w:tcPr>
          <w:p w14:paraId="2CB5B12F" w14:textId="77777777" w:rsidR="00811EFD" w:rsidRPr="00511968" w:rsidRDefault="00811EFD" w:rsidP="00811EFD">
            <w:pPr>
              <w:jc w:val="center"/>
              <w:rPr>
                <w:color w:val="000000"/>
              </w:rPr>
            </w:pPr>
            <w:r w:rsidRPr="00511968">
              <w:rPr>
                <w:color w:val="000000"/>
              </w:rPr>
              <w:t>25-Jan-21</w:t>
            </w:r>
          </w:p>
        </w:tc>
        <w:tc>
          <w:tcPr>
            <w:tcW w:w="818" w:type="pct"/>
            <w:tcBorders>
              <w:top w:val="nil"/>
              <w:left w:val="nil"/>
              <w:bottom w:val="single" w:sz="4" w:space="0" w:color="auto"/>
              <w:right w:val="single" w:sz="4" w:space="0" w:color="auto"/>
            </w:tcBorders>
            <w:shd w:val="clear" w:color="auto" w:fill="auto"/>
            <w:noWrap/>
            <w:vAlign w:val="bottom"/>
            <w:hideMark/>
          </w:tcPr>
          <w:p w14:paraId="515B2B78" w14:textId="77777777" w:rsidR="00811EFD" w:rsidRPr="00511968" w:rsidRDefault="00811EFD" w:rsidP="00811EFD">
            <w:pPr>
              <w:jc w:val="center"/>
              <w:rPr>
                <w:color w:val="000000"/>
              </w:rPr>
            </w:pPr>
            <w:r w:rsidRPr="00511968">
              <w:rPr>
                <w:color w:val="000000"/>
              </w:rPr>
              <w:t>523.45</w:t>
            </w:r>
          </w:p>
        </w:tc>
        <w:tc>
          <w:tcPr>
            <w:tcW w:w="719" w:type="pct"/>
            <w:tcBorders>
              <w:top w:val="nil"/>
              <w:left w:val="nil"/>
              <w:bottom w:val="single" w:sz="4" w:space="0" w:color="auto"/>
              <w:right w:val="single" w:sz="4" w:space="0" w:color="auto"/>
            </w:tcBorders>
            <w:shd w:val="clear" w:color="auto" w:fill="auto"/>
            <w:noWrap/>
            <w:vAlign w:val="bottom"/>
            <w:hideMark/>
          </w:tcPr>
          <w:p w14:paraId="319F7ACE" w14:textId="77777777" w:rsidR="00811EFD" w:rsidRPr="00511968" w:rsidRDefault="00811EFD" w:rsidP="00811EFD">
            <w:pPr>
              <w:jc w:val="center"/>
              <w:rPr>
                <w:color w:val="000000"/>
              </w:rPr>
            </w:pPr>
            <w:r w:rsidRPr="00511968">
              <w:rPr>
                <w:color w:val="000000"/>
              </w:rPr>
              <w:t>-2.34%</w:t>
            </w:r>
          </w:p>
        </w:tc>
      </w:tr>
      <w:tr w:rsidR="00811EFD" w:rsidRPr="00511968" w14:paraId="2FFFF30D"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2C2F13BC" w14:textId="77777777" w:rsidR="00811EFD" w:rsidRPr="00511968" w:rsidRDefault="00811EFD" w:rsidP="00811EFD">
            <w:pPr>
              <w:jc w:val="center"/>
              <w:rPr>
                <w:color w:val="000000"/>
              </w:rPr>
            </w:pPr>
            <w:r w:rsidRPr="00511968">
              <w:rPr>
                <w:color w:val="000000"/>
              </w:rPr>
              <w:t>24-Dec-20</w:t>
            </w:r>
          </w:p>
        </w:tc>
        <w:tc>
          <w:tcPr>
            <w:tcW w:w="722" w:type="pct"/>
            <w:tcBorders>
              <w:top w:val="nil"/>
              <w:left w:val="nil"/>
              <w:bottom w:val="single" w:sz="4" w:space="0" w:color="auto"/>
              <w:right w:val="single" w:sz="4" w:space="0" w:color="auto"/>
            </w:tcBorders>
            <w:shd w:val="clear" w:color="auto" w:fill="auto"/>
            <w:noWrap/>
            <w:vAlign w:val="bottom"/>
            <w:hideMark/>
          </w:tcPr>
          <w:p w14:paraId="2514DB01" w14:textId="77777777" w:rsidR="00811EFD" w:rsidRPr="00511968" w:rsidRDefault="00811EFD" w:rsidP="00811EFD">
            <w:pPr>
              <w:jc w:val="center"/>
              <w:rPr>
                <w:color w:val="000000"/>
              </w:rPr>
            </w:pPr>
            <w:r w:rsidRPr="00511968">
              <w:rPr>
                <w:color w:val="000000"/>
              </w:rPr>
              <w:t>478.3</w:t>
            </w:r>
          </w:p>
        </w:tc>
        <w:tc>
          <w:tcPr>
            <w:tcW w:w="771" w:type="pct"/>
            <w:tcBorders>
              <w:top w:val="nil"/>
              <w:left w:val="nil"/>
              <w:bottom w:val="single" w:sz="4" w:space="0" w:color="auto"/>
              <w:right w:val="single" w:sz="4" w:space="0" w:color="auto"/>
            </w:tcBorders>
            <w:shd w:val="clear" w:color="auto" w:fill="auto"/>
            <w:noWrap/>
            <w:vAlign w:val="bottom"/>
            <w:hideMark/>
          </w:tcPr>
          <w:p w14:paraId="2C2288AF" w14:textId="77777777" w:rsidR="00811EFD" w:rsidRPr="00511968" w:rsidRDefault="00811EFD" w:rsidP="00811EFD">
            <w:pPr>
              <w:jc w:val="center"/>
              <w:rPr>
                <w:color w:val="000000"/>
              </w:rPr>
            </w:pPr>
            <w:r w:rsidRPr="00511968">
              <w:rPr>
                <w:color w:val="000000"/>
              </w:rPr>
              <w:t>1.46%</w:t>
            </w:r>
          </w:p>
        </w:tc>
        <w:tc>
          <w:tcPr>
            <w:tcW w:w="914" w:type="pct"/>
            <w:tcBorders>
              <w:top w:val="nil"/>
              <w:left w:val="nil"/>
              <w:bottom w:val="single" w:sz="4" w:space="0" w:color="auto"/>
              <w:right w:val="single" w:sz="4" w:space="0" w:color="auto"/>
            </w:tcBorders>
            <w:shd w:val="clear" w:color="auto" w:fill="auto"/>
            <w:noWrap/>
            <w:vAlign w:val="bottom"/>
            <w:hideMark/>
          </w:tcPr>
          <w:p w14:paraId="43E27AD0" w14:textId="77777777" w:rsidR="00811EFD" w:rsidRPr="00511968" w:rsidRDefault="00811EFD" w:rsidP="00811EFD">
            <w:pPr>
              <w:jc w:val="center"/>
              <w:rPr>
                <w:color w:val="000000"/>
              </w:rPr>
            </w:pPr>
            <w:r w:rsidRPr="00511968">
              <w:rPr>
                <w:color w:val="000000"/>
              </w:rPr>
              <w:t>27-Jan-21</w:t>
            </w:r>
          </w:p>
        </w:tc>
        <w:tc>
          <w:tcPr>
            <w:tcW w:w="818" w:type="pct"/>
            <w:tcBorders>
              <w:top w:val="nil"/>
              <w:left w:val="nil"/>
              <w:bottom w:val="single" w:sz="4" w:space="0" w:color="auto"/>
              <w:right w:val="single" w:sz="4" w:space="0" w:color="auto"/>
            </w:tcBorders>
            <w:shd w:val="clear" w:color="auto" w:fill="auto"/>
            <w:noWrap/>
            <w:vAlign w:val="bottom"/>
            <w:hideMark/>
          </w:tcPr>
          <w:p w14:paraId="628E6436" w14:textId="77777777" w:rsidR="00811EFD" w:rsidRPr="00511968" w:rsidRDefault="00811EFD" w:rsidP="00811EFD">
            <w:pPr>
              <w:jc w:val="center"/>
              <w:rPr>
                <w:color w:val="000000"/>
              </w:rPr>
            </w:pPr>
            <w:r w:rsidRPr="00511968">
              <w:rPr>
                <w:color w:val="000000"/>
              </w:rPr>
              <w:t>518.65</w:t>
            </w:r>
          </w:p>
        </w:tc>
        <w:tc>
          <w:tcPr>
            <w:tcW w:w="719" w:type="pct"/>
            <w:tcBorders>
              <w:top w:val="nil"/>
              <w:left w:val="nil"/>
              <w:bottom w:val="single" w:sz="4" w:space="0" w:color="auto"/>
              <w:right w:val="single" w:sz="4" w:space="0" w:color="auto"/>
            </w:tcBorders>
            <w:shd w:val="clear" w:color="auto" w:fill="auto"/>
            <w:noWrap/>
            <w:vAlign w:val="bottom"/>
            <w:hideMark/>
          </w:tcPr>
          <w:p w14:paraId="0BA765FB" w14:textId="77777777" w:rsidR="00811EFD" w:rsidRPr="00511968" w:rsidRDefault="00811EFD" w:rsidP="00811EFD">
            <w:pPr>
              <w:jc w:val="center"/>
              <w:rPr>
                <w:color w:val="000000"/>
              </w:rPr>
            </w:pPr>
            <w:r w:rsidRPr="00511968">
              <w:rPr>
                <w:color w:val="000000"/>
              </w:rPr>
              <w:t>-0.92%</w:t>
            </w:r>
          </w:p>
        </w:tc>
      </w:tr>
      <w:tr w:rsidR="00811EFD" w:rsidRPr="00511968" w14:paraId="0302BF45"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091BFB4A" w14:textId="77777777" w:rsidR="00811EFD" w:rsidRPr="00511968" w:rsidRDefault="00811EFD" w:rsidP="00811EFD">
            <w:pPr>
              <w:jc w:val="center"/>
              <w:rPr>
                <w:color w:val="000000"/>
              </w:rPr>
            </w:pPr>
            <w:r w:rsidRPr="00511968">
              <w:rPr>
                <w:color w:val="000000"/>
              </w:rPr>
              <w:t>28-Dec-20</w:t>
            </w:r>
          </w:p>
        </w:tc>
        <w:tc>
          <w:tcPr>
            <w:tcW w:w="722" w:type="pct"/>
            <w:tcBorders>
              <w:top w:val="nil"/>
              <w:left w:val="nil"/>
              <w:bottom w:val="single" w:sz="4" w:space="0" w:color="auto"/>
              <w:right w:val="single" w:sz="4" w:space="0" w:color="auto"/>
            </w:tcBorders>
            <w:shd w:val="clear" w:color="auto" w:fill="auto"/>
            <w:noWrap/>
            <w:vAlign w:val="bottom"/>
            <w:hideMark/>
          </w:tcPr>
          <w:p w14:paraId="1183F6E4" w14:textId="77777777" w:rsidR="00811EFD" w:rsidRPr="00511968" w:rsidRDefault="00811EFD" w:rsidP="00811EFD">
            <w:pPr>
              <w:jc w:val="center"/>
              <w:rPr>
                <w:color w:val="000000"/>
              </w:rPr>
            </w:pPr>
            <w:r w:rsidRPr="00511968">
              <w:rPr>
                <w:color w:val="000000"/>
              </w:rPr>
              <w:t>483.75</w:t>
            </w:r>
          </w:p>
        </w:tc>
        <w:tc>
          <w:tcPr>
            <w:tcW w:w="771" w:type="pct"/>
            <w:tcBorders>
              <w:top w:val="nil"/>
              <w:left w:val="nil"/>
              <w:bottom w:val="single" w:sz="4" w:space="0" w:color="auto"/>
              <w:right w:val="single" w:sz="4" w:space="0" w:color="auto"/>
            </w:tcBorders>
            <w:shd w:val="clear" w:color="auto" w:fill="auto"/>
            <w:noWrap/>
            <w:vAlign w:val="bottom"/>
            <w:hideMark/>
          </w:tcPr>
          <w:p w14:paraId="0EA3345D" w14:textId="77777777" w:rsidR="00811EFD" w:rsidRPr="00511968" w:rsidRDefault="00811EFD" w:rsidP="00811EFD">
            <w:pPr>
              <w:jc w:val="center"/>
              <w:rPr>
                <w:color w:val="000000"/>
              </w:rPr>
            </w:pPr>
            <w:r w:rsidRPr="00511968">
              <w:rPr>
                <w:color w:val="000000"/>
              </w:rPr>
              <w:t>1.14%</w:t>
            </w:r>
          </w:p>
        </w:tc>
        <w:tc>
          <w:tcPr>
            <w:tcW w:w="914" w:type="pct"/>
            <w:tcBorders>
              <w:top w:val="nil"/>
              <w:left w:val="nil"/>
              <w:bottom w:val="single" w:sz="4" w:space="0" w:color="auto"/>
              <w:right w:val="single" w:sz="4" w:space="0" w:color="auto"/>
            </w:tcBorders>
            <w:shd w:val="clear" w:color="auto" w:fill="auto"/>
            <w:noWrap/>
            <w:vAlign w:val="bottom"/>
            <w:hideMark/>
          </w:tcPr>
          <w:p w14:paraId="261C9BB8" w14:textId="77777777" w:rsidR="00811EFD" w:rsidRPr="00511968" w:rsidRDefault="00811EFD" w:rsidP="00811EFD">
            <w:pPr>
              <w:jc w:val="center"/>
              <w:rPr>
                <w:color w:val="000000"/>
              </w:rPr>
            </w:pPr>
            <w:r w:rsidRPr="00511968">
              <w:rPr>
                <w:color w:val="000000"/>
              </w:rPr>
              <w:t>28-Jan-21</w:t>
            </w:r>
          </w:p>
        </w:tc>
        <w:tc>
          <w:tcPr>
            <w:tcW w:w="818" w:type="pct"/>
            <w:tcBorders>
              <w:top w:val="nil"/>
              <w:left w:val="nil"/>
              <w:bottom w:val="single" w:sz="4" w:space="0" w:color="auto"/>
              <w:right w:val="single" w:sz="4" w:space="0" w:color="auto"/>
            </w:tcBorders>
            <w:shd w:val="clear" w:color="auto" w:fill="auto"/>
            <w:noWrap/>
            <w:vAlign w:val="bottom"/>
            <w:hideMark/>
          </w:tcPr>
          <w:p w14:paraId="328EA3B5" w14:textId="77777777" w:rsidR="00811EFD" w:rsidRPr="00511968" w:rsidRDefault="00811EFD" w:rsidP="00811EFD">
            <w:pPr>
              <w:jc w:val="center"/>
              <w:rPr>
                <w:color w:val="000000"/>
              </w:rPr>
            </w:pPr>
            <w:r w:rsidRPr="00511968">
              <w:rPr>
                <w:color w:val="000000"/>
              </w:rPr>
              <w:t>519.5</w:t>
            </w:r>
          </w:p>
        </w:tc>
        <w:tc>
          <w:tcPr>
            <w:tcW w:w="719" w:type="pct"/>
            <w:tcBorders>
              <w:top w:val="nil"/>
              <w:left w:val="nil"/>
              <w:bottom w:val="single" w:sz="4" w:space="0" w:color="auto"/>
              <w:right w:val="single" w:sz="4" w:space="0" w:color="auto"/>
            </w:tcBorders>
            <w:shd w:val="clear" w:color="auto" w:fill="auto"/>
            <w:noWrap/>
            <w:vAlign w:val="bottom"/>
            <w:hideMark/>
          </w:tcPr>
          <w:p w14:paraId="252B23A2" w14:textId="77777777" w:rsidR="00811EFD" w:rsidRPr="00511968" w:rsidRDefault="00811EFD" w:rsidP="00811EFD">
            <w:pPr>
              <w:jc w:val="center"/>
              <w:rPr>
                <w:color w:val="000000"/>
              </w:rPr>
            </w:pPr>
            <w:r w:rsidRPr="00511968">
              <w:rPr>
                <w:color w:val="000000"/>
              </w:rPr>
              <w:t>0.16%</w:t>
            </w:r>
          </w:p>
        </w:tc>
      </w:tr>
      <w:tr w:rsidR="00811EFD" w:rsidRPr="00511968" w14:paraId="08278F47"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1B705D23" w14:textId="77777777" w:rsidR="00811EFD" w:rsidRPr="00511968" w:rsidRDefault="00811EFD" w:rsidP="00811EFD">
            <w:pPr>
              <w:jc w:val="center"/>
              <w:rPr>
                <w:color w:val="000000"/>
              </w:rPr>
            </w:pPr>
            <w:r w:rsidRPr="00511968">
              <w:rPr>
                <w:color w:val="000000"/>
              </w:rPr>
              <w:t>29-Dec-20</w:t>
            </w:r>
          </w:p>
        </w:tc>
        <w:tc>
          <w:tcPr>
            <w:tcW w:w="722" w:type="pct"/>
            <w:tcBorders>
              <w:top w:val="nil"/>
              <w:left w:val="nil"/>
              <w:bottom w:val="single" w:sz="4" w:space="0" w:color="auto"/>
              <w:right w:val="single" w:sz="4" w:space="0" w:color="auto"/>
            </w:tcBorders>
            <w:shd w:val="clear" w:color="auto" w:fill="auto"/>
            <w:noWrap/>
            <w:vAlign w:val="bottom"/>
            <w:hideMark/>
          </w:tcPr>
          <w:p w14:paraId="40B1BB7E" w14:textId="77777777" w:rsidR="00811EFD" w:rsidRPr="00511968" w:rsidRDefault="00811EFD" w:rsidP="00811EFD">
            <w:pPr>
              <w:jc w:val="center"/>
              <w:rPr>
                <w:color w:val="000000"/>
              </w:rPr>
            </w:pPr>
            <w:r w:rsidRPr="00511968">
              <w:rPr>
                <w:color w:val="000000"/>
              </w:rPr>
              <w:t>483</w:t>
            </w:r>
          </w:p>
        </w:tc>
        <w:tc>
          <w:tcPr>
            <w:tcW w:w="771" w:type="pct"/>
            <w:tcBorders>
              <w:top w:val="nil"/>
              <w:left w:val="nil"/>
              <w:bottom w:val="single" w:sz="4" w:space="0" w:color="auto"/>
              <w:right w:val="single" w:sz="4" w:space="0" w:color="auto"/>
            </w:tcBorders>
            <w:shd w:val="clear" w:color="auto" w:fill="auto"/>
            <w:noWrap/>
            <w:vAlign w:val="bottom"/>
            <w:hideMark/>
          </w:tcPr>
          <w:p w14:paraId="7D72AEF4" w14:textId="77777777" w:rsidR="00811EFD" w:rsidRPr="00511968" w:rsidRDefault="00811EFD" w:rsidP="00811EFD">
            <w:pPr>
              <w:jc w:val="center"/>
              <w:rPr>
                <w:color w:val="000000"/>
              </w:rPr>
            </w:pPr>
            <w:r w:rsidRPr="00511968">
              <w:rPr>
                <w:color w:val="000000"/>
              </w:rPr>
              <w:t>-0.16%</w:t>
            </w:r>
          </w:p>
        </w:tc>
        <w:tc>
          <w:tcPr>
            <w:tcW w:w="914" w:type="pct"/>
            <w:tcBorders>
              <w:top w:val="nil"/>
              <w:left w:val="nil"/>
              <w:bottom w:val="single" w:sz="4" w:space="0" w:color="auto"/>
              <w:right w:val="single" w:sz="4" w:space="0" w:color="auto"/>
            </w:tcBorders>
            <w:shd w:val="clear" w:color="auto" w:fill="auto"/>
            <w:noWrap/>
            <w:vAlign w:val="bottom"/>
            <w:hideMark/>
          </w:tcPr>
          <w:p w14:paraId="33AED335" w14:textId="77777777" w:rsidR="00811EFD" w:rsidRPr="00511968" w:rsidRDefault="00811EFD" w:rsidP="00811EFD">
            <w:pPr>
              <w:jc w:val="center"/>
              <w:rPr>
                <w:color w:val="000000"/>
              </w:rPr>
            </w:pPr>
            <w:r w:rsidRPr="00511968">
              <w:rPr>
                <w:color w:val="000000"/>
              </w:rPr>
              <w:t>29-Jan-21</w:t>
            </w:r>
          </w:p>
        </w:tc>
        <w:tc>
          <w:tcPr>
            <w:tcW w:w="818" w:type="pct"/>
            <w:tcBorders>
              <w:top w:val="nil"/>
              <w:left w:val="nil"/>
              <w:bottom w:val="single" w:sz="4" w:space="0" w:color="auto"/>
              <w:right w:val="single" w:sz="4" w:space="0" w:color="auto"/>
            </w:tcBorders>
            <w:shd w:val="clear" w:color="auto" w:fill="auto"/>
            <w:noWrap/>
            <w:vAlign w:val="bottom"/>
            <w:hideMark/>
          </w:tcPr>
          <w:p w14:paraId="54E968CD" w14:textId="77777777" w:rsidR="00811EFD" w:rsidRPr="00511968" w:rsidRDefault="00811EFD" w:rsidP="00811EFD">
            <w:pPr>
              <w:jc w:val="center"/>
              <w:rPr>
                <w:color w:val="000000"/>
              </w:rPr>
            </w:pPr>
            <w:r w:rsidRPr="00511968">
              <w:rPr>
                <w:color w:val="000000"/>
              </w:rPr>
              <w:t>509.5</w:t>
            </w:r>
          </w:p>
        </w:tc>
        <w:tc>
          <w:tcPr>
            <w:tcW w:w="719" w:type="pct"/>
            <w:tcBorders>
              <w:top w:val="nil"/>
              <w:left w:val="nil"/>
              <w:bottom w:val="single" w:sz="4" w:space="0" w:color="auto"/>
              <w:right w:val="single" w:sz="4" w:space="0" w:color="auto"/>
            </w:tcBorders>
            <w:shd w:val="clear" w:color="auto" w:fill="auto"/>
            <w:noWrap/>
            <w:vAlign w:val="bottom"/>
            <w:hideMark/>
          </w:tcPr>
          <w:p w14:paraId="1966646E" w14:textId="77777777" w:rsidR="00811EFD" w:rsidRPr="00511968" w:rsidRDefault="00811EFD" w:rsidP="00811EFD">
            <w:pPr>
              <w:jc w:val="center"/>
              <w:rPr>
                <w:color w:val="000000"/>
              </w:rPr>
            </w:pPr>
            <w:r w:rsidRPr="00511968">
              <w:rPr>
                <w:color w:val="000000"/>
              </w:rPr>
              <w:t>-1.92%</w:t>
            </w:r>
          </w:p>
        </w:tc>
      </w:tr>
      <w:tr w:rsidR="00811EFD" w:rsidRPr="00511968" w14:paraId="159ACA78"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70B05CEC" w14:textId="77777777" w:rsidR="00811EFD" w:rsidRPr="00511968" w:rsidRDefault="00811EFD" w:rsidP="00811EFD">
            <w:pPr>
              <w:jc w:val="center"/>
              <w:rPr>
                <w:color w:val="000000"/>
              </w:rPr>
            </w:pPr>
            <w:r w:rsidRPr="00511968">
              <w:rPr>
                <w:color w:val="000000"/>
              </w:rPr>
              <w:t>30-Dec-20</w:t>
            </w:r>
          </w:p>
        </w:tc>
        <w:tc>
          <w:tcPr>
            <w:tcW w:w="722" w:type="pct"/>
            <w:tcBorders>
              <w:top w:val="nil"/>
              <w:left w:val="nil"/>
              <w:bottom w:val="single" w:sz="4" w:space="0" w:color="auto"/>
              <w:right w:val="single" w:sz="4" w:space="0" w:color="auto"/>
            </w:tcBorders>
            <w:shd w:val="clear" w:color="auto" w:fill="auto"/>
            <w:noWrap/>
            <w:vAlign w:val="bottom"/>
            <w:hideMark/>
          </w:tcPr>
          <w:p w14:paraId="38E9CA89" w14:textId="77777777" w:rsidR="00811EFD" w:rsidRPr="00511968" w:rsidRDefault="00811EFD" w:rsidP="00811EFD">
            <w:pPr>
              <w:jc w:val="center"/>
              <w:rPr>
                <w:color w:val="000000"/>
              </w:rPr>
            </w:pPr>
            <w:r w:rsidRPr="00511968">
              <w:rPr>
                <w:color w:val="000000"/>
              </w:rPr>
              <w:t>485.45</w:t>
            </w:r>
          </w:p>
        </w:tc>
        <w:tc>
          <w:tcPr>
            <w:tcW w:w="771" w:type="pct"/>
            <w:tcBorders>
              <w:top w:val="nil"/>
              <w:left w:val="nil"/>
              <w:bottom w:val="single" w:sz="4" w:space="0" w:color="auto"/>
              <w:right w:val="single" w:sz="4" w:space="0" w:color="auto"/>
            </w:tcBorders>
            <w:shd w:val="clear" w:color="auto" w:fill="auto"/>
            <w:noWrap/>
            <w:vAlign w:val="bottom"/>
            <w:hideMark/>
          </w:tcPr>
          <w:p w14:paraId="7C0BCCE5" w14:textId="77777777" w:rsidR="00811EFD" w:rsidRPr="00511968" w:rsidRDefault="00811EFD" w:rsidP="00811EFD">
            <w:pPr>
              <w:jc w:val="center"/>
              <w:rPr>
                <w:color w:val="000000"/>
              </w:rPr>
            </w:pPr>
            <w:r w:rsidRPr="00511968">
              <w:rPr>
                <w:color w:val="000000"/>
              </w:rPr>
              <w:t>0.51%</w:t>
            </w:r>
          </w:p>
        </w:tc>
        <w:tc>
          <w:tcPr>
            <w:tcW w:w="914" w:type="pct"/>
            <w:tcBorders>
              <w:top w:val="nil"/>
              <w:left w:val="nil"/>
              <w:bottom w:val="single" w:sz="4" w:space="0" w:color="auto"/>
              <w:right w:val="single" w:sz="4" w:space="0" w:color="auto"/>
            </w:tcBorders>
            <w:shd w:val="clear" w:color="auto" w:fill="auto"/>
            <w:noWrap/>
            <w:vAlign w:val="bottom"/>
            <w:hideMark/>
          </w:tcPr>
          <w:p w14:paraId="6BC0794E" w14:textId="77777777" w:rsidR="00811EFD" w:rsidRPr="00511968" w:rsidRDefault="00811EFD" w:rsidP="00811EFD">
            <w:pPr>
              <w:jc w:val="center"/>
              <w:rPr>
                <w:color w:val="000000"/>
              </w:rPr>
            </w:pPr>
            <w:r w:rsidRPr="00511968">
              <w:rPr>
                <w:color w:val="000000"/>
              </w:rPr>
              <w:t>1-Feb-21</w:t>
            </w:r>
          </w:p>
        </w:tc>
        <w:tc>
          <w:tcPr>
            <w:tcW w:w="818" w:type="pct"/>
            <w:tcBorders>
              <w:top w:val="nil"/>
              <w:left w:val="nil"/>
              <w:bottom w:val="single" w:sz="4" w:space="0" w:color="auto"/>
              <w:right w:val="single" w:sz="4" w:space="0" w:color="auto"/>
            </w:tcBorders>
            <w:shd w:val="clear" w:color="auto" w:fill="auto"/>
            <w:noWrap/>
            <w:vAlign w:val="bottom"/>
            <w:hideMark/>
          </w:tcPr>
          <w:p w14:paraId="51FA98F3" w14:textId="77777777" w:rsidR="00811EFD" w:rsidRPr="00511968" w:rsidRDefault="00811EFD" w:rsidP="00811EFD">
            <w:pPr>
              <w:jc w:val="center"/>
              <w:rPr>
                <w:color w:val="000000"/>
              </w:rPr>
            </w:pPr>
            <w:r w:rsidRPr="00511968">
              <w:rPr>
                <w:color w:val="000000"/>
              </w:rPr>
              <w:t>542.85</w:t>
            </w:r>
          </w:p>
        </w:tc>
        <w:tc>
          <w:tcPr>
            <w:tcW w:w="719" w:type="pct"/>
            <w:tcBorders>
              <w:top w:val="nil"/>
              <w:left w:val="nil"/>
              <w:bottom w:val="single" w:sz="4" w:space="0" w:color="auto"/>
              <w:right w:val="single" w:sz="4" w:space="0" w:color="auto"/>
            </w:tcBorders>
            <w:shd w:val="clear" w:color="auto" w:fill="auto"/>
            <w:noWrap/>
            <w:vAlign w:val="bottom"/>
            <w:hideMark/>
          </w:tcPr>
          <w:p w14:paraId="15CA869C" w14:textId="77777777" w:rsidR="00811EFD" w:rsidRPr="00511968" w:rsidRDefault="00811EFD" w:rsidP="00811EFD">
            <w:pPr>
              <w:jc w:val="center"/>
              <w:rPr>
                <w:color w:val="000000"/>
              </w:rPr>
            </w:pPr>
            <w:r w:rsidRPr="00511968">
              <w:rPr>
                <w:color w:val="000000"/>
              </w:rPr>
              <w:t>6.55%</w:t>
            </w:r>
          </w:p>
        </w:tc>
      </w:tr>
      <w:tr w:rsidR="00811EFD" w:rsidRPr="00511968" w14:paraId="19A41F31"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6E560F1E" w14:textId="77777777" w:rsidR="00811EFD" w:rsidRPr="00511968" w:rsidRDefault="00811EFD" w:rsidP="00811EFD">
            <w:pPr>
              <w:jc w:val="center"/>
              <w:rPr>
                <w:color w:val="000000"/>
              </w:rPr>
            </w:pPr>
            <w:r w:rsidRPr="00511968">
              <w:rPr>
                <w:color w:val="000000"/>
              </w:rPr>
              <w:t>31-Dec-20</w:t>
            </w:r>
          </w:p>
        </w:tc>
        <w:tc>
          <w:tcPr>
            <w:tcW w:w="722" w:type="pct"/>
            <w:tcBorders>
              <w:top w:val="nil"/>
              <w:left w:val="nil"/>
              <w:bottom w:val="single" w:sz="4" w:space="0" w:color="auto"/>
              <w:right w:val="single" w:sz="4" w:space="0" w:color="auto"/>
            </w:tcBorders>
            <w:shd w:val="clear" w:color="auto" w:fill="auto"/>
            <w:noWrap/>
            <w:vAlign w:val="bottom"/>
            <w:hideMark/>
          </w:tcPr>
          <w:p w14:paraId="768EF492" w14:textId="77777777" w:rsidR="00811EFD" w:rsidRPr="00511968" w:rsidRDefault="00811EFD" w:rsidP="00811EFD">
            <w:pPr>
              <w:jc w:val="center"/>
              <w:rPr>
                <w:color w:val="000000"/>
              </w:rPr>
            </w:pPr>
            <w:r w:rsidRPr="00511968">
              <w:rPr>
                <w:color w:val="000000"/>
              </w:rPr>
              <w:t>483.55</w:t>
            </w:r>
          </w:p>
        </w:tc>
        <w:tc>
          <w:tcPr>
            <w:tcW w:w="771" w:type="pct"/>
            <w:tcBorders>
              <w:top w:val="nil"/>
              <w:left w:val="nil"/>
              <w:bottom w:val="single" w:sz="4" w:space="0" w:color="auto"/>
              <w:right w:val="single" w:sz="4" w:space="0" w:color="auto"/>
            </w:tcBorders>
            <w:shd w:val="clear" w:color="auto" w:fill="auto"/>
            <w:noWrap/>
            <w:vAlign w:val="bottom"/>
            <w:hideMark/>
          </w:tcPr>
          <w:p w14:paraId="65497CD9" w14:textId="77777777" w:rsidR="00811EFD" w:rsidRPr="00511968" w:rsidRDefault="00811EFD" w:rsidP="00811EFD">
            <w:pPr>
              <w:jc w:val="center"/>
              <w:rPr>
                <w:color w:val="000000"/>
              </w:rPr>
            </w:pPr>
            <w:r w:rsidRPr="00511968">
              <w:rPr>
                <w:color w:val="000000"/>
              </w:rPr>
              <w:t>-0.39%</w:t>
            </w:r>
          </w:p>
        </w:tc>
        <w:tc>
          <w:tcPr>
            <w:tcW w:w="914" w:type="pct"/>
            <w:tcBorders>
              <w:top w:val="nil"/>
              <w:left w:val="nil"/>
              <w:bottom w:val="single" w:sz="4" w:space="0" w:color="auto"/>
              <w:right w:val="single" w:sz="4" w:space="0" w:color="auto"/>
            </w:tcBorders>
            <w:shd w:val="clear" w:color="auto" w:fill="auto"/>
            <w:noWrap/>
            <w:vAlign w:val="bottom"/>
            <w:hideMark/>
          </w:tcPr>
          <w:p w14:paraId="4F477BC1" w14:textId="77777777" w:rsidR="00811EFD" w:rsidRPr="00511968" w:rsidRDefault="00811EFD" w:rsidP="00811EFD">
            <w:pPr>
              <w:jc w:val="center"/>
              <w:rPr>
                <w:color w:val="000000"/>
              </w:rPr>
            </w:pPr>
            <w:r w:rsidRPr="00511968">
              <w:rPr>
                <w:color w:val="000000"/>
              </w:rPr>
              <w:t>2-Feb-21</w:t>
            </w:r>
          </w:p>
        </w:tc>
        <w:tc>
          <w:tcPr>
            <w:tcW w:w="818" w:type="pct"/>
            <w:tcBorders>
              <w:top w:val="nil"/>
              <w:left w:val="nil"/>
              <w:bottom w:val="single" w:sz="4" w:space="0" w:color="auto"/>
              <w:right w:val="single" w:sz="4" w:space="0" w:color="auto"/>
            </w:tcBorders>
            <w:shd w:val="clear" w:color="auto" w:fill="auto"/>
            <w:noWrap/>
            <w:vAlign w:val="bottom"/>
            <w:hideMark/>
          </w:tcPr>
          <w:p w14:paraId="04637CAD" w14:textId="77777777" w:rsidR="00811EFD" w:rsidRPr="00511968" w:rsidRDefault="00811EFD" w:rsidP="00811EFD">
            <w:pPr>
              <w:jc w:val="center"/>
              <w:rPr>
                <w:color w:val="000000"/>
              </w:rPr>
            </w:pPr>
            <w:r w:rsidRPr="00511968">
              <w:rPr>
                <w:color w:val="000000"/>
              </w:rPr>
              <w:t>551.1</w:t>
            </w:r>
          </w:p>
        </w:tc>
        <w:tc>
          <w:tcPr>
            <w:tcW w:w="719" w:type="pct"/>
            <w:tcBorders>
              <w:top w:val="nil"/>
              <w:left w:val="nil"/>
              <w:bottom w:val="single" w:sz="4" w:space="0" w:color="auto"/>
              <w:right w:val="single" w:sz="4" w:space="0" w:color="auto"/>
            </w:tcBorders>
            <w:shd w:val="clear" w:color="auto" w:fill="auto"/>
            <w:noWrap/>
            <w:vAlign w:val="bottom"/>
            <w:hideMark/>
          </w:tcPr>
          <w:p w14:paraId="77B298FD" w14:textId="77777777" w:rsidR="00811EFD" w:rsidRPr="00511968" w:rsidRDefault="00811EFD" w:rsidP="00811EFD">
            <w:pPr>
              <w:jc w:val="center"/>
              <w:rPr>
                <w:color w:val="000000"/>
              </w:rPr>
            </w:pPr>
            <w:r w:rsidRPr="00511968">
              <w:rPr>
                <w:color w:val="000000"/>
              </w:rPr>
              <w:t>1.52%</w:t>
            </w:r>
          </w:p>
        </w:tc>
      </w:tr>
      <w:tr w:rsidR="00811EFD" w:rsidRPr="00511968" w14:paraId="5F0A94C8" w14:textId="77777777" w:rsidTr="00811EFD">
        <w:trPr>
          <w:trHeight w:val="300"/>
        </w:trPr>
        <w:tc>
          <w:tcPr>
            <w:tcW w:w="1056" w:type="pct"/>
            <w:tcBorders>
              <w:top w:val="nil"/>
              <w:left w:val="single" w:sz="4" w:space="0" w:color="auto"/>
              <w:bottom w:val="single" w:sz="4" w:space="0" w:color="auto"/>
              <w:right w:val="single" w:sz="4" w:space="0" w:color="auto"/>
            </w:tcBorders>
            <w:shd w:val="clear" w:color="auto" w:fill="auto"/>
            <w:noWrap/>
            <w:vAlign w:val="bottom"/>
            <w:hideMark/>
          </w:tcPr>
          <w:p w14:paraId="484D6940" w14:textId="77777777" w:rsidR="00811EFD" w:rsidRPr="00511968" w:rsidRDefault="00811EFD" w:rsidP="00811EFD">
            <w:pPr>
              <w:jc w:val="center"/>
              <w:rPr>
                <w:color w:val="000000"/>
              </w:rPr>
            </w:pPr>
            <w:r w:rsidRPr="00511968">
              <w:rPr>
                <w:color w:val="000000"/>
              </w:rPr>
              <w:t>1-Jan-21</w:t>
            </w:r>
          </w:p>
        </w:tc>
        <w:tc>
          <w:tcPr>
            <w:tcW w:w="722" w:type="pct"/>
            <w:tcBorders>
              <w:top w:val="nil"/>
              <w:left w:val="nil"/>
              <w:bottom w:val="single" w:sz="4" w:space="0" w:color="auto"/>
              <w:right w:val="single" w:sz="4" w:space="0" w:color="auto"/>
            </w:tcBorders>
            <w:shd w:val="clear" w:color="auto" w:fill="auto"/>
            <w:noWrap/>
            <w:vAlign w:val="bottom"/>
            <w:hideMark/>
          </w:tcPr>
          <w:p w14:paraId="5CCB9CE8" w14:textId="77777777" w:rsidR="00811EFD" w:rsidRPr="00511968" w:rsidRDefault="00811EFD" w:rsidP="00811EFD">
            <w:pPr>
              <w:jc w:val="center"/>
              <w:rPr>
                <w:color w:val="000000"/>
              </w:rPr>
            </w:pPr>
            <w:r w:rsidRPr="00511968">
              <w:rPr>
                <w:color w:val="000000"/>
              </w:rPr>
              <w:t>503.5</w:t>
            </w:r>
          </w:p>
        </w:tc>
        <w:tc>
          <w:tcPr>
            <w:tcW w:w="771" w:type="pct"/>
            <w:tcBorders>
              <w:top w:val="nil"/>
              <w:left w:val="nil"/>
              <w:bottom w:val="single" w:sz="4" w:space="0" w:color="auto"/>
              <w:right w:val="single" w:sz="4" w:space="0" w:color="auto"/>
            </w:tcBorders>
            <w:shd w:val="clear" w:color="auto" w:fill="auto"/>
            <w:noWrap/>
            <w:vAlign w:val="bottom"/>
            <w:hideMark/>
          </w:tcPr>
          <w:p w14:paraId="0A4F5643" w14:textId="77777777" w:rsidR="00811EFD" w:rsidRPr="00511968" w:rsidRDefault="00811EFD" w:rsidP="00811EFD">
            <w:pPr>
              <w:jc w:val="center"/>
              <w:rPr>
                <w:color w:val="000000"/>
              </w:rPr>
            </w:pPr>
            <w:r w:rsidRPr="00511968">
              <w:rPr>
                <w:color w:val="000000"/>
              </w:rPr>
              <w:t>4.13%</w:t>
            </w:r>
          </w:p>
        </w:tc>
        <w:tc>
          <w:tcPr>
            <w:tcW w:w="914" w:type="pct"/>
            <w:tcBorders>
              <w:top w:val="nil"/>
              <w:left w:val="nil"/>
              <w:bottom w:val="single" w:sz="4" w:space="0" w:color="auto"/>
              <w:right w:val="single" w:sz="4" w:space="0" w:color="auto"/>
            </w:tcBorders>
            <w:shd w:val="clear" w:color="auto" w:fill="auto"/>
            <w:noWrap/>
            <w:vAlign w:val="bottom"/>
            <w:hideMark/>
          </w:tcPr>
          <w:p w14:paraId="20AD03FC" w14:textId="77777777" w:rsidR="00811EFD" w:rsidRPr="00511968" w:rsidRDefault="00811EFD" w:rsidP="00811EFD">
            <w:pPr>
              <w:jc w:val="center"/>
              <w:rPr>
                <w:color w:val="000000"/>
              </w:rPr>
            </w:pPr>
            <w:r w:rsidRPr="00511968">
              <w:rPr>
                <w:color w:val="000000"/>
              </w:rPr>
              <w:t>3-Feb-21</w:t>
            </w:r>
          </w:p>
        </w:tc>
        <w:tc>
          <w:tcPr>
            <w:tcW w:w="818" w:type="pct"/>
            <w:tcBorders>
              <w:top w:val="nil"/>
              <w:left w:val="nil"/>
              <w:bottom w:val="single" w:sz="4" w:space="0" w:color="auto"/>
              <w:right w:val="single" w:sz="4" w:space="0" w:color="auto"/>
            </w:tcBorders>
            <w:shd w:val="clear" w:color="auto" w:fill="auto"/>
            <w:noWrap/>
            <w:vAlign w:val="bottom"/>
            <w:hideMark/>
          </w:tcPr>
          <w:p w14:paraId="287EA481" w14:textId="77777777" w:rsidR="00811EFD" w:rsidRPr="00511968" w:rsidRDefault="00811EFD" w:rsidP="00811EFD">
            <w:pPr>
              <w:jc w:val="center"/>
              <w:rPr>
                <w:color w:val="000000"/>
              </w:rPr>
            </w:pPr>
            <w:r w:rsidRPr="00511968">
              <w:rPr>
                <w:color w:val="000000"/>
              </w:rPr>
              <w:t>560.1</w:t>
            </w:r>
          </w:p>
        </w:tc>
        <w:tc>
          <w:tcPr>
            <w:tcW w:w="719" w:type="pct"/>
            <w:tcBorders>
              <w:top w:val="nil"/>
              <w:left w:val="nil"/>
              <w:bottom w:val="single" w:sz="4" w:space="0" w:color="auto"/>
              <w:right w:val="single" w:sz="4" w:space="0" w:color="auto"/>
            </w:tcBorders>
            <w:shd w:val="clear" w:color="auto" w:fill="auto"/>
            <w:noWrap/>
            <w:vAlign w:val="bottom"/>
            <w:hideMark/>
          </w:tcPr>
          <w:p w14:paraId="1D79A70E" w14:textId="77777777" w:rsidR="00811EFD" w:rsidRPr="00511968" w:rsidRDefault="00811EFD" w:rsidP="00811EFD">
            <w:pPr>
              <w:jc w:val="center"/>
              <w:rPr>
                <w:color w:val="000000"/>
              </w:rPr>
            </w:pPr>
            <w:r w:rsidRPr="00511968">
              <w:rPr>
                <w:color w:val="000000"/>
              </w:rPr>
              <w:t>1.63%</w:t>
            </w:r>
          </w:p>
        </w:tc>
      </w:tr>
      <w:tr w:rsidR="00811EFD" w:rsidRPr="00511968" w14:paraId="298452D5" w14:textId="77777777" w:rsidTr="00811EFD">
        <w:trPr>
          <w:trHeight w:val="300"/>
        </w:trPr>
        <w:tc>
          <w:tcPr>
            <w:tcW w:w="17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AAE8C" w14:textId="77777777" w:rsidR="00811EFD" w:rsidRPr="00511968" w:rsidRDefault="00811EFD" w:rsidP="00811EFD">
            <w:pPr>
              <w:jc w:val="center"/>
              <w:rPr>
                <w:color w:val="000000"/>
              </w:rPr>
            </w:pPr>
            <w:r w:rsidRPr="00511968">
              <w:rPr>
                <w:color w:val="000000"/>
              </w:rPr>
              <w:t>Mean</w:t>
            </w:r>
          </w:p>
        </w:tc>
        <w:tc>
          <w:tcPr>
            <w:tcW w:w="771" w:type="pct"/>
            <w:tcBorders>
              <w:top w:val="nil"/>
              <w:left w:val="nil"/>
              <w:bottom w:val="single" w:sz="4" w:space="0" w:color="auto"/>
              <w:right w:val="single" w:sz="4" w:space="0" w:color="auto"/>
            </w:tcBorders>
            <w:shd w:val="clear" w:color="auto" w:fill="auto"/>
            <w:noWrap/>
            <w:vAlign w:val="bottom"/>
            <w:hideMark/>
          </w:tcPr>
          <w:p w14:paraId="33070E4C" w14:textId="77777777" w:rsidR="00811EFD" w:rsidRPr="00511968" w:rsidRDefault="00811EFD" w:rsidP="00811EFD">
            <w:pPr>
              <w:jc w:val="center"/>
              <w:rPr>
                <w:color w:val="000000"/>
              </w:rPr>
            </w:pPr>
            <w:r w:rsidRPr="00511968">
              <w:rPr>
                <w:color w:val="000000"/>
              </w:rPr>
              <w:t>0.68%</w:t>
            </w:r>
          </w:p>
        </w:tc>
        <w:tc>
          <w:tcPr>
            <w:tcW w:w="17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30BC407E" w14:textId="77777777" w:rsidR="00811EFD" w:rsidRPr="00511968" w:rsidRDefault="00811EFD" w:rsidP="00811EFD">
            <w:pPr>
              <w:jc w:val="center"/>
              <w:rPr>
                <w:color w:val="000000"/>
              </w:rPr>
            </w:pPr>
            <w:r w:rsidRPr="00511968">
              <w:rPr>
                <w:color w:val="000000"/>
              </w:rPr>
              <w:t>Mean</w:t>
            </w:r>
          </w:p>
        </w:tc>
        <w:tc>
          <w:tcPr>
            <w:tcW w:w="719" w:type="pct"/>
            <w:tcBorders>
              <w:top w:val="nil"/>
              <w:left w:val="nil"/>
              <w:bottom w:val="single" w:sz="4" w:space="0" w:color="auto"/>
              <w:right w:val="single" w:sz="4" w:space="0" w:color="auto"/>
            </w:tcBorders>
            <w:shd w:val="clear" w:color="auto" w:fill="auto"/>
            <w:noWrap/>
            <w:vAlign w:val="bottom"/>
            <w:hideMark/>
          </w:tcPr>
          <w:p w14:paraId="4102F52B" w14:textId="77777777" w:rsidR="00811EFD" w:rsidRPr="00511968" w:rsidRDefault="00811EFD" w:rsidP="00811EFD">
            <w:pPr>
              <w:jc w:val="center"/>
              <w:rPr>
                <w:color w:val="000000"/>
              </w:rPr>
            </w:pPr>
            <w:r w:rsidRPr="00511968">
              <w:rPr>
                <w:color w:val="000000"/>
              </w:rPr>
              <w:t>0.59%</w:t>
            </w:r>
          </w:p>
        </w:tc>
      </w:tr>
      <w:tr w:rsidR="00811EFD" w:rsidRPr="00511968" w14:paraId="6D259D4B" w14:textId="77777777" w:rsidTr="00811EFD">
        <w:trPr>
          <w:trHeight w:val="300"/>
        </w:trPr>
        <w:tc>
          <w:tcPr>
            <w:tcW w:w="17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A718C" w14:textId="77777777" w:rsidR="00811EFD" w:rsidRPr="00511968" w:rsidRDefault="00811EFD" w:rsidP="00811EFD">
            <w:pPr>
              <w:jc w:val="center"/>
              <w:rPr>
                <w:color w:val="000000"/>
              </w:rPr>
            </w:pPr>
            <w:proofErr w:type="spellStart"/>
            <w:r w:rsidRPr="00511968">
              <w:rPr>
                <w:color w:val="000000"/>
              </w:rPr>
              <w:t>Std.Dev</w:t>
            </w:r>
            <w:proofErr w:type="spellEnd"/>
          </w:p>
        </w:tc>
        <w:tc>
          <w:tcPr>
            <w:tcW w:w="771" w:type="pct"/>
            <w:tcBorders>
              <w:top w:val="nil"/>
              <w:left w:val="nil"/>
              <w:bottom w:val="single" w:sz="4" w:space="0" w:color="auto"/>
              <w:right w:val="single" w:sz="4" w:space="0" w:color="auto"/>
            </w:tcBorders>
            <w:shd w:val="clear" w:color="auto" w:fill="auto"/>
            <w:noWrap/>
            <w:vAlign w:val="bottom"/>
            <w:hideMark/>
          </w:tcPr>
          <w:p w14:paraId="1292DC3B" w14:textId="77777777" w:rsidR="00811EFD" w:rsidRPr="00511968" w:rsidRDefault="00811EFD" w:rsidP="00811EFD">
            <w:pPr>
              <w:jc w:val="center"/>
              <w:rPr>
                <w:color w:val="000000"/>
              </w:rPr>
            </w:pPr>
            <w:r w:rsidRPr="00511968">
              <w:rPr>
                <w:color w:val="000000"/>
              </w:rPr>
              <w:t>2.28%</w:t>
            </w:r>
          </w:p>
        </w:tc>
        <w:tc>
          <w:tcPr>
            <w:tcW w:w="17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7178B24" w14:textId="77777777" w:rsidR="00811EFD" w:rsidRPr="00511968" w:rsidRDefault="00811EFD" w:rsidP="00811EFD">
            <w:pPr>
              <w:jc w:val="center"/>
              <w:rPr>
                <w:color w:val="000000"/>
              </w:rPr>
            </w:pPr>
            <w:proofErr w:type="spellStart"/>
            <w:r w:rsidRPr="00511968">
              <w:rPr>
                <w:color w:val="000000"/>
              </w:rPr>
              <w:t>Std.Dev</w:t>
            </w:r>
            <w:proofErr w:type="spellEnd"/>
          </w:p>
        </w:tc>
        <w:tc>
          <w:tcPr>
            <w:tcW w:w="719" w:type="pct"/>
            <w:tcBorders>
              <w:top w:val="nil"/>
              <w:left w:val="nil"/>
              <w:bottom w:val="single" w:sz="4" w:space="0" w:color="auto"/>
              <w:right w:val="single" w:sz="4" w:space="0" w:color="auto"/>
            </w:tcBorders>
            <w:shd w:val="clear" w:color="auto" w:fill="auto"/>
            <w:noWrap/>
            <w:vAlign w:val="bottom"/>
            <w:hideMark/>
          </w:tcPr>
          <w:p w14:paraId="4D41B766" w14:textId="77777777" w:rsidR="00811EFD" w:rsidRPr="00511968" w:rsidRDefault="00811EFD" w:rsidP="00811EFD">
            <w:pPr>
              <w:jc w:val="center"/>
              <w:rPr>
                <w:color w:val="000000"/>
              </w:rPr>
            </w:pPr>
            <w:r w:rsidRPr="00511968">
              <w:rPr>
                <w:color w:val="000000"/>
              </w:rPr>
              <w:t>2.68%</w:t>
            </w:r>
          </w:p>
        </w:tc>
      </w:tr>
      <w:tr w:rsidR="00811EFD" w:rsidRPr="00511968" w14:paraId="432FD72A" w14:textId="77777777" w:rsidTr="00811EFD">
        <w:trPr>
          <w:trHeight w:val="300"/>
        </w:trPr>
        <w:tc>
          <w:tcPr>
            <w:tcW w:w="177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02CE6" w14:textId="77777777" w:rsidR="00811EFD" w:rsidRPr="00511968" w:rsidRDefault="00811EFD" w:rsidP="00811EFD">
            <w:pPr>
              <w:jc w:val="center"/>
              <w:rPr>
                <w:color w:val="000000"/>
              </w:rPr>
            </w:pPr>
            <w:r w:rsidRPr="00511968">
              <w:rPr>
                <w:color w:val="000000"/>
              </w:rPr>
              <w:t>CAGR</w:t>
            </w:r>
          </w:p>
        </w:tc>
        <w:tc>
          <w:tcPr>
            <w:tcW w:w="771" w:type="pct"/>
            <w:tcBorders>
              <w:top w:val="nil"/>
              <w:left w:val="nil"/>
              <w:bottom w:val="single" w:sz="4" w:space="0" w:color="auto"/>
              <w:right w:val="single" w:sz="4" w:space="0" w:color="auto"/>
            </w:tcBorders>
            <w:shd w:val="clear" w:color="auto" w:fill="auto"/>
            <w:noWrap/>
            <w:vAlign w:val="bottom"/>
            <w:hideMark/>
          </w:tcPr>
          <w:p w14:paraId="229747B4" w14:textId="77777777" w:rsidR="00811EFD" w:rsidRPr="00511968" w:rsidRDefault="00811EFD" w:rsidP="00811EFD">
            <w:pPr>
              <w:jc w:val="center"/>
              <w:rPr>
                <w:color w:val="000000"/>
              </w:rPr>
            </w:pPr>
            <w:r w:rsidRPr="00511968">
              <w:rPr>
                <w:color w:val="000000"/>
              </w:rPr>
              <w:t>0.63%</w:t>
            </w:r>
          </w:p>
        </w:tc>
        <w:tc>
          <w:tcPr>
            <w:tcW w:w="173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0A67732" w14:textId="77777777" w:rsidR="00811EFD" w:rsidRPr="00511968" w:rsidRDefault="00811EFD" w:rsidP="00811EFD">
            <w:pPr>
              <w:jc w:val="center"/>
              <w:rPr>
                <w:color w:val="000000"/>
              </w:rPr>
            </w:pPr>
            <w:r w:rsidRPr="00511968">
              <w:rPr>
                <w:color w:val="000000"/>
              </w:rPr>
              <w:t>CAGR</w:t>
            </w:r>
          </w:p>
        </w:tc>
        <w:tc>
          <w:tcPr>
            <w:tcW w:w="719" w:type="pct"/>
            <w:tcBorders>
              <w:top w:val="nil"/>
              <w:left w:val="nil"/>
              <w:bottom w:val="single" w:sz="4" w:space="0" w:color="auto"/>
              <w:right w:val="single" w:sz="4" w:space="0" w:color="auto"/>
            </w:tcBorders>
            <w:shd w:val="clear" w:color="auto" w:fill="auto"/>
            <w:noWrap/>
            <w:vAlign w:val="bottom"/>
            <w:hideMark/>
          </w:tcPr>
          <w:p w14:paraId="2D37727C" w14:textId="77777777" w:rsidR="00811EFD" w:rsidRPr="00511968" w:rsidRDefault="00811EFD" w:rsidP="00811EFD">
            <w:pPr>
              <w:jc w:val="center"/>
              <w:rPr>
                <w:color w:val="000000"/>
              </w:rPr>
            </w:pPr>
            <w:r w:rsidRPr="00511968">
              <w:rPr>
                <w:color w:val="000000"/>
              </w:rPr>
              <w:t>0.53%</w:t>
            </w:r>
          </w:p>
        </w:tc>
      </w:tr>
    </w:tbl>
    <w:p w14:paraId="1D5E311D" w14:textId="77777777" w:rsidR="00570A86" w:rsidRDefault="00570A86" w:rsidP="00BF3DD0"/>
    <w:tbl>
      <w:tblPr>
        <w:tblW w:w="5035" w:type="pct"/>
        <w:tblInd w:w="-5" w:type="dxa"/>
        <w:tblLook w:val="04A0" w:firstRow="1" w:lastRow="0" w:firstColumn="1" w:lastColumn="0" w:noHBand="0" w:noVBand="1"/>
      </w:tblPr>
      <w:tblGrid>
        <w:gridCol w:w="1263"/>
        <w:gridCol w:w="899"/>
        <w:gridCol w:w="217"/>
        <w:gridCol w:w="1322"/>
        <w:gridCol w:w="709"/>
        <w:gridCol w:w="552"/>
        <w:gridCol w:w="1454"/>
        <w:gridCol w:w="1130"/>
        <w:gridCol w:w="102"/>
        <w:gridCol w:w="1767"/>
      </w:tblGrid>
      <w:tr w:rsidR="00811EFD" w:rsidRPr="00511968" w14:paraId="22CB9B5F" w14:textId="77777777" w:rsidTr="00811EFD">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EEA9F" w14:textId="77777777" w:rsidR="00811EFD" w:rsidRPr="00511968" w:rsidRDefault="00811EFD" w:rsidP="00811EFD">
            <w:pPr>
              <w:jc w:val="center"/>
              <w:rPr>
                <w:i/>
                <w:iCs/>
                <w:color w:val="000000"/>
              </w:rPr>
            </w:pPr>
            <w:r w:rsidRPr="00511968">
              <w:rPr>
                <w:i/>
                <w:iCs/>
                <w:color w:val="000000"/>
              </w:rPr>
              <w:t>Regression Statistics</w:t>
            </w:r>
          </w:p>
        </w:tc>
      </w:tr>
      <w:tr w:rsidR="00811EFD" w:rsidRPr="00511968" w14:paraId="36CFF4C9" w14:textId="77777777" w:rsidTr="00811EFD">
        <w:trPr>
          <w:trHeight w:val="300"/>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8145B88" w14:textId="77777777" w:rsidR="00811EFD" w:rsidRPr="00511968" w:rsidRDefault="00811EFD" w:rsidP="00811EFD">
            <w:pPr>
              <w:jc w:val="center"/>
              <w:rPr>
                <w:color w:val="000000"/>
              </w:rPr>
            </w:pPr>
            <w:r w:rsidRPr="00511968">
              <w:rPr>
                <w:color w:val="000000"/>
              </w:rPr>
              <w:t>Multiple R</w:t>
            </w:r>
          </w:p>
        </w:tc>
        <w:tc>
          <w:tcPr>
            <w:tcW w:w="559" w:type="pct"/>
            <w:gridSpan w:val="2"/>
            <w:tcBorders>
              <w:top w:val="nil"/>
              <w:left w:val="nil"/>
              <w:bottom w:val="single" w:sz="4" w:space="0" w:color="auto"/>
              <w:right w:val="single" w:sz="4" w:space="0" w:color="auto"/>
            </w:tcBorders>
            <w:shd w:val="clear" w:color="auto" w:fill="auto"/>
            <w:noWrap/>
            <w:vAlign w:val="bottom"/>
            <w:hideMark/>
          </w:tcPr>
          <w:p w14:paraId="4008704F" w14:textId="77777777" w:rsidR="00811EFD" w:rsidRPr="00511968" w:rsidRDefault="00811EFD" w:rsidP="00811EFD">
            <w:pPr>
              <w:jc w:val="center"/>
              <w:rPr>
                <w:color w:val="000000"/>
              </w:rPr>
            </w:pPr>
            <w:r w:rsidRPr="00511968">
              <w:rPr>
                <w:color w:val="000000"/>
              </w:rPr>
              <w:t>R Square</w:t>
            </w:r>
          </w:p>
        </w:tc>
        <w:tc>
          <w:tcPr>
            <w:tcW w:w="1075" w:type="pct"/>
            <w:gridSpan w:val="2"/>
            <w:tcBorders>
              <w:top w:val="nil"/>
              <w:left w:val="nil"/>
              <w:bottom w:val="single" w:sz="4" w:space="0" w:color="auto"/>
              <w:right w:val="single" w:sz="4" w:space="0" w:color="auto"/>
            </w:tcBorders>
            <w:shd w:val="clear" w:color="auto" w:fill="auto"/>
            <w:noWrap/>
            <w:vAlign w:val="bottom"/>
            <w:hideMark/>
          </w:tcPr>
          <w:p w14:paraId="1EC962F0" w14:textId="77777777" w:rsidR="00811EFD" w:rsidRPr="00511968" w:rsidRDefault="00811EFD" w:rsidP="00811EFD">
            <w:pPr>
              <w:jc w:val="center"/>
              <w:rPr>
                <w:color w:val="000000"/>
              </w:rPr>
            </w:pPr>
            <w:r w:rsidRPr="00511968">
              <w:rPr>
                <w:color w:val="000000"/>
              </w:rPr>
              <w:t>Adjusted R Square</w:t>
            </w:r>
          </w:p>
        </w:tc>
        <w:tc>
          <w:tcPr>
            <w:tcW w:w="1793" w:type="pct"/>
            <w:gridSpan w:val="4"/>
            <w:tcBorders>
              <w:top w:val="nil"/>
              <w:left w:val="nil"/>
              <w:bottom w:val="single" w:sz="4" w:space="0" w:color="auto"/>
              <w:right w:val="single" w:sz="4" w:space="0" w:color="auto"/>
            </w:tcBorders>
            <w:shd w:val="clear" w:color="auto" w:fill="auto"/>
            <w:noWrap/>
            <w:vAlign w:val="bottom"/>
            <w:hideMark/>
          </w:tcPr>
          <w:p w14:paraId="2EE55BAB" w14:textId="77777777" w:rsidR="00811EFD" w:rsidRPr="00511968" w:rsidRDefault="00811EFD" w:rsidP="00811EFD">
            <w:pPr>
              <w:jc w:val="center"/>
              <w:rPr>
                <w:color w:val="000000"/>
              </w:rPr>
            </w:pPr>
            <w:r w:rsidRPr="00511968">
              <w:rPr>
                <w:color w:val="000000"/>
              </w:rPr>
              <w:t>Standard Error</w:t>
            </w:r>
          </w:p>
        </w:tc>
        <w:tc>
          <w:tcPr>
            <w:tcW w:w="967" w:type="pct"/>
            <w:tcBorders>
              <w:top w:val="nil"/>
              <w:left w:val="nil"/>
              <w:bottom w:val="single" w:sz="4" w:space="0" w:color="auto"/>
              <w:right w:val="single" w:sz="4" w:space="0" w:color="auto"/>
            </w:tcBorders>
            <w:shd w:val="clear" w:color="auto" w:fill="auto"/>
            <w:noWrap/>
            <w:vAlign w:val="bottom"/>
            <w:hideMark/>
          </w:tcPr>
          <w:p w14:paraId="2FFA77BA" w14:textId="77777777" w:rsidR="00811EFD" w:rsidRPr="00511968" w:rsidRDefault="00811EFD" w:rsidP="00811EFD">
            <w:pPr>
              <w:jc w:val="center"/>
              <w:rPr>
                <w:color w:val="000000"/>
              </w:rPr>
            </w:pPr>
            <w:r w:rsidRPr="00511968">
              <w:rPr>
                <w:color w:val="000000"/>
              </w:rPr>
              <w:t>Observations</w:t>
            </w:r>
          </w:p>
        </w:tc>
      </w:tr>
      <w:tr w:rsidR="00811EFD" w:rsidRPr="00511968" w14:paraId="78F26129" w14:textId="77777777" w:rsidTr="00811EFD">
        <w:trPr>
          <w:trHeight w:val="300"/>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62EE912B" w14:textId="77777777" w:rsidR="00811EFD" w:rsidRPr="00511968" w:rsidRDefault="00811EFD" w:rsidP="00811EFD">
            <w:pPr>
              <w:jc w:val="center"/>
              <w:rPr>
                <w:color w:val="000000"/>
              </w:rPr>
            </w:pPr>
            <w:r w:rsidRPr="00511968">
              <w:rPr>
                <w:color w:val="000000"/>
              </w:rPr>
              <w:t>0.446517</w:t>
            </w:r>
          </w:p>
        </w:tc>
        <w:tc>
          <w:tcPr>
            <w:tcW w:w="559" w:type="pct"/>
            <w:gridSpan w:val="2"/>
            <w:tcBorders>
              <w:top w:val="nil"/>
              <w:left w:val="nil"/>
              <w:bottom w:val="single" w:sz="4" w:space="0" w:color="auto"/>
              <w:right w:val="single" w:sz="4" w:space="0" w:color="auto"/>
            </w:tcBorders>
            <w:shd w:val="clear" w:color="auto" w:fill="auto"/>
            <w:noWrap/>
            <w:vAlign w:val="bottom"/>
            <w:hideMark/>
          </w:tcPr>
          <w:p w14:paraId="754409C4" w14:textId="77777777" w:rsidR="00811EFD" w:rsidRPr="00511968" w:rsidRDefault="00811EFD" w:rsidP="00811EFD">
            <w:pPr>
              <w:jc w:val="center"/>
              <w:rPr>
                <w:color w:val="000000"/>
              </w:rPr>
            </w:pPr>
            <w:r w:rsidRPr="00511968">
              <w:rPr>
                <w:color w:val="000000"/>
              </w:rPr>
              <w:t>0.199378</w:t>
            </w:r>
          </w:p>
        </w:tc>
        <w:tc>
          <w:tcPr>
            <w:tcW w:w="1075" w:type="pct"/>
            <w:gridSpan w:val="2"/>
            <w:tcBorders>
              <w:top w:val="nil"/>
              <w:left w:val="nil"/>
              <w:bottom w:val="single" w:sz="4" w:space="0" w:color="auto"/>
              <w:right w:val="single" w:sz="4" w:space="0" w:color="auto"/>
            </w:tcBorders>
            <w:shd w:val="clear" w:color="auto" w:fill="auto"/>
            <w:noWrap/>
            <w:vAlign w:val="bottom"/>
            <w:hideMark/>
          </w:tcPr>
          <w:p w14:paraId="4E379AAA" w14:textId="77777777" w:rsidR="00811EFD" w:rsidRPr="00511968" w:rsidRDefault="00811EFD" w:rsidP="00811EFD">
            <w:pPr>
              <w:jc w:val="center"/>
              <w:rPr>
                <w:color w:val="000000"/>
              </w:rPr>
            </w:pPr>
            <w:r w:rsidRPr="00511968">
              <w:rPr>
                <w:color w:val="000000"/>
              </w:rPr>
              <w:t>0.159346</w:t>
            </w:r>
          </w:p>
        </w:tc>
        <w:tc>
          <w:tcPr>
            <w:tcW w:w="1793" w:type="pct"/>
            <w:gridSpan w:val="4"/>
            <w:tcBorders>
              <w:top w:val="nil"/>
              <w:left w:val="nil"/>
              <w:bottom w:val="single" w:sz="4" w:space="0" w:color="auto"/>
              <w:right w:val="single" w:sz="4" w:space="0" w:color="auto"/>
            </w:tcBorders>
            <w:shd w:val="clear" w:color="auto" w:fill="auto"/>
            <w:noWrap/>
            <w:vAlign w:val="bottom"/>
            <w:hideMark/>
          </w:tcPr>
          <w:p w14:paraId="46354C57" w14:textId="77777777" w:rsidR="00811EFD" w:rsidRPr="00511968" w:rsidRDefault="00811EFD" w:rsidP="00811EFD">
            <w:pPr>
              <w:jc w:val="center"/>
              <w:rPr>
                <w:color w:val="000000"/>
              </w:rPr>
            </w:pPr>
            <w:r w:rsidRPr="00511968">
              <w:rPr>
                <w:color w:val="000000"/>
              </w:rPr>
              <w:t>14.51513</w:t>
            </w:r>
          </w:p>
        </w:tc>
        <w:tc>
          <w:tcPr>
            <w:tcW w:w="967" w:type="pct"/>
            <w:tcBorders>
              <w:top w:val="nil"/>
              <w:left w:val="nil"/>
              <w:bottom w:val="single" w:sz="4" w:space="0" w:color="auto"/>
              <w:right w:val="single" w:sz="4" w:space="0" w:color="auto"/>
            </w:tcBorders>
            <w:shd w:val="clear" w:color="auto" w:fill="auto"/>
            <w:noWrap/>
            <w:vAlign w:val="bottom"/>
            <w:hideMark/>
          </w:tcPr>
          <w:p w14:paraId="05BE849E" w14:textId="77777777" w:rsidR="00811EFD" w:rsidRPr="00511968" w:rsidRDefault="00811EFD" w:rsidP="00811EFD">
            <w:pPr>
              <w:jc w:val="center"/>
              <w:rPr>
                <w:color w:val="000000"/>
              </w:rPr>
            </w:pPr>
            <w:r w:rsidRPr="00511968">
              <w:rPr>
                <w:color w:val="000000"/>
              </w:rPr>
              <w:t>22</w:t>
            </w:r>
          </w:p>
        </w:tc>
      </w:tr>
      <w:tr w:rsidR="00811EFD" w:rsidRPr="00511968" w14:paraId="0CFE66F9" w14:textId="77777777" w:rsidTr="00811EFD">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651D7" w14:textId="77777777" w:rsidR="00811EFD" w:rsidRPr="00511968" w:rsidRDefault="00811EFD" w:rsidP="00811EFD">
            <w:pPr>
              <w:jc w:val="center"/>
              <w:rPr>
                <w:color w:val="000000"/>
              </w:rPr>
            </w:pPr>
            <w:r w:rsidRPr="00511968">
              <w:rPr>
                <w:color w:val="000000"/>
              </w:rPr>
              <w:t>ANOVA</w:t>
            </w:r>
          </w:p>
        </w:tc>
      </w:tr>
      <w:tr w:rsidR="00811EFD" w:rsidRPr="00511968" w14:paraId="5B651DDD" w14:textId="77777777" w:rsidTr="00811EFD">
        <w:trPr>
          <w:trHeight w:val="300"/>
        </w:trPr>
        <w:tc>
          <w:tcPr>
            <w:tcW w:w="1055" w:type="pct"/>
            <w:gridSpan w:val="2"/>
            <w:tcBorders>
              <w:top w:val="nil"/>
              <w:left w:val="single" w:sz="4" w:space="0" w:color="auto"/>
              <w:bottom w:val="single" w:sz="4" w:space="0" w:color="auto"/>
              <w:right w:val="single" w:sz="4" w:space="0" w:color="auto"/>
            </w:tcBorders>
            <w:shd w:val="clear" w:color="auto" w:fill="auto"/>
            <w:noWrap/>
            <w:vAlign w:val="bottom"/>
            <w:hideMark/>
          </w:tcPr>
          <w:p w14:paraId="16C104F9" w14:textId="77777777" w:rsidR="00811EFD" w:rsidRPr="00511968" w:rsidRDefault="00811EFD" w:rsidP="00811EFD">
            <w:pPr>
              <w:jc w:val="center"/>
              <w:rPr>
                <w:i/>
                <w:iCs/>
                <w:color w:val="000000"/>
              </w:rPr>
            </w:pPr>
          </w:p>
        </w:tc>
        <w:tc>
          <w:tcPr>
            <w:tcW w:w="809" w:type="pct"/>
            <w:gridSpan w:val="2"/>
            <w:tcBorders>
              <w:top w:val="nil"/>
              <w:left w:val="nil"/>
              <w:bottom w:val="single" w:sz="4" w:space="0" w:color="auto"/>
              <w:right w:val="single" w:sz="4" w:space="0" w:color="auto"/>
            </w:tcBorders>
            <w:shd w:val="clear" w:color="auto" w:fill="auto"/>
            <w:noWrap/>
            <w:vAlign w:val="bottom"/>
            <w:hideMark/>
          </w:tcPr>
          <w:p w14:paraId="05E885E0" w14:textId="77777777" w:rsidR="00811EFD" w:rsidRPr="00511968" w:rsidRDefault="00811EFD" w:rsidP="00811EFD">
            <w:pPr>
              <w:jc w:val="center"/>
              <w:rPr>
                <w:i/>
                <w:iCs/>
                <w:color w:val="000000"/>
              </w:rPr>
            </w:pPr>
            <w:proofErr w:type="spellStart"/>
            <w:r w:rsidRPr="00511968">
              <w:rPr>
                <w:i/>
                <w:iCs/>
                <w:color w:val="000000"/>
              </w:rPr>
              <w:t>df</w:t>
            </w:r>
            <w:proofErr w:type="spellEnd"/>
          </w:p>
        </w:tc>
        <w:tc>
          <w:tcPr>
            <w:tcW w:w="689" w:type="pct"/>
            <w:gridSpan w:val="2"/>
            <w:tcBorders>
              <w:top w:val="nil"/>
              <w:left w:val="nil"/>
              <w:bottom w:val="single" w:sz="4" w:space="0" w:color="auto"/>
              <w:right w:val="single" w:sz="4" w:space="0" w:color="auto"/>
            </w:tcBorders>
            <w:shd w:val="clear" w:color="auto" w:fill="auto"/>
            <w:noWrap/>
            <w:vAlign w:val="bottom"/>
            <w:hideMark/>
          </w:tcPr>
          <w:p w14:paraId="44648571" w14:textId="77777777" w:rsidR="00811EFD" w:rsidRPr="00511968" w:rsidRDefault="00811EFD" w:rsidP="00811EFD">
            <w:pPr>
              <w:jc w:val="center"/>
              <w:rPr>
                <w:i/>
                <w:iCs/>
                <w:color w:val="000000"/>
              </w:rPr>
            </w:pPr>
            <w:r w:rsidRPr="00511968">
              <w:rPr>
                <w:i/>
                <w:iCs/>
                <w:color w:val="000000"/>
              </w:rPr>
              <w:t>SS</w:t>
            </w:r>
          </w:p>
        </w:tc>
        <w:tc>
          <w:tcPr>
            <w:tcW w:w="793" w:type="pct"/>
            <w:tcBorders>
              <w:top w:val="nil"/>
              <w:left w:val="nil"/>
              <w:bottom w:val="single" w:sz="4" w:space="0" w:color="auto"/>
              <w:right w:val="single" w:sz="4" w:space="0" w:color="auto"/>
            </w:tcBorders>
            <w:shd w:val="clear" w:color="auto" w:fill="auto"/>
            <w:noWrap/>
            <w:vAlign w:val="bottom"/>
            <w:hideMark/>
          </w:tcPr>
          <w:p w14:paraId="5F601A30" w14:textId="77777777" w:rsidR="00811EFD" w:rsidRPr="00511968" w:rsidRDefault="00811EFD" w:rsidP="00811EFD">
            <w:pPr>
              <w:jc w:val="center"/>
              <w:rPr>
                <w:i/>
                <w:iCs/>
                <w:color w:val="000000"/>
              </w:rPr>
            </w:pPr>
            <w:r w:rsidRPr="00511968">
              <w:rPr>
                <w:i/>
                <w:iCs/>
                <w:color w:val="000000"/>
              </w:rPr>
              <w:t>MS</w:t>
            </w:r>
          </w:p>
        </w:tc>
        <w:tc>
          <w:tcPr>
            <w:tcW w:w="621" w:type="pct"/>
            <w:tcBorders>
              <w:top w:val="nil"/>
              <w:left w:val="nil"/>
              <w:bottom w:val="single" w:sz="4" w:space="0" w:color="auto"/>
              <w:right w:val="single" w:sz="4" w:space="0" w:color="auto"/>
            </w:tcBorders>
            <w:shd w:val="clear" w:color="auto" w:fill="auto"/>
            <w:noWrap/>
            <w:vAlign w:val="bottom"/>
            <w:hideMark/>
          </w:tcPr>
          <w:p w14:paraId="04D990FD" w14:textId="77777777" w:rsidR="00811EFD" w:rsidRPr="00511968" w:rsidRDefault="00811EFD" w:rsidP="00811EFD">
            <w:pPr>
              <w:jc w:val="center"/>
              <w:rPr>
                <w:i/>
                <w:iCs/>
                <w:color w:val="000000"/>
              </w:rPr>
            </w:pPr>
            <w:r w:rsidRPr="00511968">
              <w:rPr>
                <w:i/>
                <w:iCs/>
                <w:color w:val="000000"/>
              </w:rPr>
              <w:t>F</w:t>
            </w:r>
          </w:p>
        </w:tc>
        <w:tc>
          <w:tcPr>
            <w:tcW w:w="1033" w:type="pct"/>
            <w:gridSpan w:val="2"/>
            <w:tcBorders>
              <w:top w:val="nil"/>
              <w:left w:val="nil"/>
              <w:bottom w:val="single" w:sz="4" w:space="0" w:color="auto"/>
              <w:right w:val="single" w:sz="4" w:space="0" w:color="auto"/>
            </w:tcBorders>
            <w:shd w:val="clear" w:color="auto" w:fill="auto"/>
            <w:noWrap/>
            <w:vAlign w:val="bottom"/>
            <w:hideMark/>
          </w:tcPr>
          <w:p w14:paraId="299BDC74" w14:textId="77777777" w:rsidR="00811EFD" w:rsidRPr="00511968" w:rsidRDefault="00811EFD" w:rsidP="00811EFD">
            <w:pPr>
              <w:jc w:val="center"/>
              <w:rPr>
                <w:i/>
                <w:iCs/>
                <w:color w:val="000000"/>
              </w:rPr>
            </w:pPr>
            <w:r w:rsidRPr="00511968">
              <w:rPr>
                <w:i/>
                <w:iCs/>
                <w:color w:val="000000"/>
              </w:rPr>
              <w:t>Significance F</w:t>
            </w:r>
          </w:p>
        </w:tc>
      </w:tr>
      <w:tr w:rsidR="00811EFD" w:rsidRPr="00511968" w14:paraId="2BD19953" w14:textId="77777777" w:rsidTr="00811EFD">
        <w:trPr>
          <w:trHeight w:val="300"/>
        </w:trPr>
        <w:tc>
          <w:tcPr>
            <w:tcW w:w="1055" w:type="pct"/>
            <w:gridSpan w:val="2"/>
            <w:tcBorders>
              <w:top w:val="nil"/>
              <w:left w:val="single" w:sz="4" w:space="0" w:color="auto"/>
              <w:bottom w:val="single" w:sz="4" w:space="0" w:color="auto"/>
              <w:right w:val="single" w:sz="4" w:space="0" w:color="auto"/>
            </w:tcBorders>
            <w:shd w:val="clear" w:color="auto" w:fill="auto"/>
            <w:noWrap/>
            <w:vAlign w:val="bottom"/>
            <w:hideMark/>
          </w:tcPr>
          <w:p w14:paraId="51378B50" w14:textId="77777777" w:rsidR="00811EFD" w:rsidRPr="00511968" w:rsidRDefault="00811EFD" w:rsidP="00811EFD">
            <w:pPr>
              <w:jc w:val="center"/>
              <w:rPr>
                <w:color w:val="000000"/>
              </w:rPr>
            </w:pPr>
            <w:r w:rsidRPr="00511968">
              <w:rPr>
                <w:color w:val="000000"/>
              </w:rPr>
              <w:t>Regression</w:t>
            </w:r>
          </w:p>
        </w:tc>
        <w:tc>
          <w:tcPr>
            <w:tcW w:w="809" w:type="pct"/>
            <w:gridSpan w:val="2"/>
            <w:tcBorders>
              <w:top w:val="nil"/>
              <w:left w:val="nil"/>
              <w:bottom w:val="single" w:sz="4" w:space="0" w:color="auto"/>
              <w:right w:val="single" w:sz="4" w:space="0" w:color="auto"/>
            </w:tcBorders>
            <w:shd w:val="clear" w:color="auto" w:fill="auto"/>
            <w:noWrap/>
            <w:vAlign w:val="bottom"/>
            <w:hideMark/>
          </w:tcPr>
          <w:p w14:paraId="5AE868B5" w14:textId="77777777" w:rsidR="00811EFD" w:rsidRPr="00511968" w:rsidRDefault="00811EFD" w:rsidP="00811EFD">
            <w:pPr>
              <w:jc w:val="center"/>
              <w:rPr>
                <w:color w:val="000000"/>
              </w:rPr>
            </w:pPr>
            <w:r w:rsidRPr="00511968">
              <w:rPr>
                <w:color w:val="000000"/>
              </w:rPr>
              <w:t>1</w:t>
            </w:r>
          </w:p>
        </w:tc>
        <w:tc>
          <w:tcPr>
            <w:tcW w:w="689" w:type="pct"/>
            <w:gridSpan w:val="2"/>
            <w:tcBorders>
              <w:top w:val="nil"/>
              <w:left w:val="nil"/>
              <w:bottom w:val="single" w:sz="4" w:space="0" w:color="auto"/>
              <w:right w:val="single" w:sz="4" w:space="0" w:color="auto"/>
            </w:tcBorders>
            <w:shd w:val="clear" w:color="auto" w:fill="auto"/>
            <w:noWrap/>
            <w:vAlign w:val="bottom"/>
            <w:hideMark/>
          </w:tcPr>
          <w:p w14:paraId="2105D022" w14:textId="77777777" w:rsidR="00811EFD" w:rsidRPr="00511968" w:rsidRDefault="00811EFD" w:rsidP="00811EFD">
            <w:pPr>
              <w:jc w:val="center"/>
              <w:rPr>
                <w:color w:val="000000"/>
              </w:rPr>
            </w:pPr>
            <w:r w:rsidRPr="00511968">
              <w:rPr>
                <w:color w:val="000000"/>
              </w:rPr>
              <w:t>1049.35</w:t>
            </w:r>
          </w:p>
        </w:tc>
        <w:tc>
          <w:tcPr>
            <w:tcW w:w="793" w:type="pct"/>
            <w:tcBorders>
              <w:top w:val="nil"/>
              <w:left w:val="nil"/>
              <w:bottom w:val="single" w:sz="4" w:space="0" w:color="auto"/>
              <w:right w:val="single" w:sz="4" w:space="0" w:color="auto"/>
            </w:tcBorders>
            <w:shd w:val="clear" w:color="auto" w:fill="auto"/>
            <w:noWrap/>
            <w:vAlign w:val="bottom"/>
            <w:hideMark/>
          </w:tcPr>
          <w:p w14:paraId="770E5CCC" w14:textId="77777777" w:rsidR="00811EFD" w:rsidRPr="00511968" w:rsidRDefault="00811EFD" w:rsidP="00811EFD">
            <w:pPr>
              <w:jc w:val="center"/>
              <w:rPr>
                <w:color w:val="000000"/>
              </w:rPr>
            </w:pPr>
            <w:r w:rsidRPr="00511968">
              <w:rPr>
                <w:color w:val="000000"/>
              </w:rPr>
              <w:t>1049.35</w:t>
            </w:r>
          </w:p>
        </w:tc>
        <w:tc>
          <w:tcPr>
            <w:tcW w:w="621" w:type="pct"/>
            <w:tcBorders>
              <w:top w:val="nil"/>
              <w:left w:val="nil"/>
              <w:bottom w:val="single" w:sz="4" w:space="0" w:color="auto"/>
              <w:right w:val="single" w:sz="4" w:space="0" w:color="auto"/>
            </w:tcBorders>
            <w:shd w:val="clear" w:color="auto" w:fill="auto"/>
            <w:noWrap/>
            <w:vAlign w:val="bottom"/>
            <w:hideMark/>
          </w:tcPr>
          <w:p w14:paraId="7D0B0401" w14:textId="77777777" w:rsidR="00811EFD" w:rsidRPr="00511968" w:rsidRDefault="00811EFD" w:rsidP="00811EFD">
            <w:pPr>
              <w:jc w:val="center"/>
              <w:rPr>
                <w:color w:val="000000"/>
              </w:rPr>
            </w:pPr>
            <w:r w:rsidRPr="00511968">
              <w:rPr>
                <w:color w:val="000000"/>
              </w:rPr>
              <w:t>4.980563</w:t>
            </w:r>
          </w:p>
        </w:tc>
        <w:tc>
          <w:tcPr>
            <w:tcW w:w="1033" w:type="pct"/>
            <w:gridSpan w:val="2"/>
            <w:tcBorders>
              <w:top w:val="nil"/>
              <w:left w:val="nil"/>
              <w:bottom w:val="single" w:sz="4" w:space="0" w:color="auto"/>
              <w:right w:val="single" w:sz="4" w:space="0" w:color="auto"/>
            </w:tcBorders>
            <w:shd w:val="clear" w:color="auto" w:fill="auto"/>
            <w:noWrap/>
            <w:vAlign w:val="bottom"/>
            <w:hideMark/>
          </w:tcPr>
          <w:p w14:paraId="2AA58AFB" w14:textId="77777777" w:rsidR="00811EFD" w:rsidRPr="00511968" w:rsidRDefault="00811EFD" w:rsidP="00811EFD">
            <w:pPr>
              <w:jc w:val="center"/>
              <w:rPr>
                <w:color w:val="000000"/>
              </w:rPr>
            </w:pPr>
            <w:r w:rsidRPr="00511968">
              <w:rPr>
                <w:color w:val="000000"/>
              </w:rPr>
              <w:t>0.037235</w:t>
            </w:r>
          </w:p>
        </w:tc>
      </w:tr>
      <w:tr w:rsidR="00811EFD" w:rsidRPr="00511968" w14:paraId="45994897" w14:textId="77777777" w:rsidTr="00811EFD">
        <w:trPr>
          <w:trHeight w:val="300"/>
        </w:trPr>
        <w:tc>
          <w:tcPr>
            <w:tcW w:w="1055" w:type="pct"/>
            <w:gridSpan w:val="2"/>
            <w:tcBorders>
              <w:top w:val="nil"/>
              <w:left w:val="single" w:sz="4" w:space="0" w:color="auto"/>
              <w:bottom w:val="single" w:sz="4" w:space="0" w:color="auto"/>
              <w:right w:val="single" w:sz="4" w:space="0" w:color="auto"/>
            </w:tcBorders>
            <w:shd w:val="clear" w:color="auto" w:fill="auto"/>
            <w:noWrap/>
            <w:vAlign w:val="bottom"/>
            <w:hideMark/>
          </w:tcPr>
          <w:p w14:paraId="22F3CC56" w14:textId="77777777" w:rsidR="00811EFD" w:rsidRPr="00511968" w:rsidRDefault="00811EFD" w:rsidP="00811EFD">
            <w:pPr>
              <w:jc w:val="center"/>
              <w:rPr>
                <w:color w:val="000000"/>
              </w:rPr>
            </w:pPr>
            <w:r w:rsidRPr="00511968">
              <w:rPr>
                <w:color w:val="000000"/>
              </w:rPr>
              <w:t>Residual</w:t>
            </w:r>
          </w:p>
        </w:tc>
        <w:tc>
          <w:tcPr>
            <w:tcW w:w="809" w:type="pct"/>
            <w:gridSpan w:val="2"/>
            <w:tcBorders>
              <w:top w:val="nil"/>
              <w:left w:val="nil"/>
              <w:bottom w:val="single" w:sz="4" w:space="0" w:color="auto"/>
              <w:right w:val="single" w:sz="4" w:space="0" w:color="auto"/>
            </w:tcBorders>
            <w:shd w:val="clear" w:color="auto" w:fill="auto"/>
            <w:noWrap/>
            <w:vAlign w:val="bottom"/>
            <w:hideMark/>
          </w:tcPr>
          <w:p w14:paraId="7DF2C825" w14:textId="77777777" w:rsidR="00811EFD" w:rsidRPr="00511968" w:rsidRDefault="00811EFD" w:rsidP="00811EFD">
            <w:pPr>
              <w:jc w:val="center"/>
              <w:rPr>
                <w:color w:val="000000"/>
              </w:rPr>
            </w:pPr>
            <w:r w:rsidRPr="00511968">
              <w:rPr>
                <w:color w:val="000000"/>
              </w:rPr>
              <w:t>20</w:t>
            </w:r>
          </w:p>
        </w:tc>
        <w:tc>
          <w:tcPr>
            <w:tcW w:w="689" w:type="pct"/>
            <w:gridSpan w:val="2"/>
            <w:tcBorders>
              <w:top w:val="nil"/>
              <w:left w:val="nil"/>
              <w:bottom w:val="single" w:sz="4" w:space="0" w:color="auto"/>
              <w:right w:val="single" w:sz="4" w:space="0" w:color="auto"/>
            </w:tcBorders>
            <w:shd w:val="clear" w:color="auto" w:fill="auto"/>
            <w:noWrap/>
            <w:vAlign w:val="bottom"/>
            <w:hideMark/>
          </w:tcPr>
          <w:p w14:paraId="65F52987" w14:textId="77777777" w:rsidR="00811EFD" w:rsidRPr="00511968" w:rsidRDefault="00811EFD" w:rsidP="00811EFD">
            <w:pPr>
              <w:jc w:val="center"/>
              <w:rPr>
                <w:color w:val="000000"/>
              </w:rPr>
            </w:pPr>
            <w:r w:rsidRPr="00511968">
              <w:rPr>
                <w:color w:val="000000"/>
              </w:rPr>
              <w:t>4213.78</w:t>
            </w:r>
          </w:p>
        </w:tc>
        <w:tc>
          <w:tcPr>
            <w:tcW w:w="793" w:type="pct"/>
            <w:tcBorders>
              <w:top w:val="nil"/>
              <w:left w:val="nil"/>
              <w:bottom w:val="single" w:sz="4" w:space="0" w:color="auto"/>
              <w:right w:val="single" w:sz="4" w:space="0" w:color="auto"/>
            </w:tcBorders>
            <w:shd w:val="clear" w:color="auto" w:fill="auto"/>
            <w:noWrap/>
            <w:vAlign w:val="bottom"/>
            <w:hideMark/>
          </w:tcPr>
          <w:p w14:paraId="09470413" w14:textId="77777777" w:rsidR="00811EFD" w:rsidRPr="00511968" w:rsidRDefault="00811EFD" w:rsidP="00811EFD">
            <w:pPr>
              <w:jc w:val="center"/>
              <w:rPr>
                <w:color w:val="000000"/>
              </w:rPr>
            </w:pPr>
            <w:r w:rsidRPr="00511968">
              <w:rPr>
                <w:color w:val="000000"/>
              </w:rPr>
              <w:t>210.689</w:t>
            </w:r>
          </w:p>
        </w:tc>
        <w:tc>
          <w:tcPr>
            <w:tcW w:w="621" w:type="pct"/>
            <w:tcBorders>
              <w:top w:val="nil"/>
              <w:left w:val="nil"/>
              <w:bottom w:val="single" w:sz="4" w:space="0" w:color="auto"/>
              <w:right w:val="single" w:sz="4" w:space="0" w:color="auto"/>
            </w:tcBorders>
            <w:shd w:val="clear" w:color="auto" w:fill="auto"/>
            <w:noWrap/>
            <w:vAlign w:val="bottom"/>
            <w:hideMark/>
          </w:tcPr>
          <w:p w14:paraId="04741330" w14:textId="77777777" w:rsidR="00811EFD" w:rsidRPr="00511968" w:rsidRDefault="00811EFD" w:rsidP="00811EFD">
            <w:pPr>
              <w:jc w:val="center"/>
              <w:rPr>
                <w:color w:val="000000"/>
              </w:rPr>
            </w:pPr>
          </w:p>
        </w:tc>
        <w:tc>
          <w:tcPr>
            <w:tcW w:w="1033" w:type="pct"/>
            <w:gridSpan w:val="2"/>
            <w:tcBorders>
              <w:top w:val="nil"/>
              <w:left w:val="nil"/>
              <w:bottom w:val="single" w:sz="4" w:space="0" w:color="auto"/>
              <w:right w:val="single" w:sz="4" w:space="0" w:color="auto"/>
            </w:tcBorders>
            <w:shd w:val="clear" w:color="auto" w:fill="auto"/>
            <w:noWrap/>
            <w:vAlign w:val="bottom"/>
            <w:hideMark/>
          </w:tcPr>
          <w:p w14:paraId="7410DA72" w14:textId="77777777" w:rsidR="00811EFD" w:rsidRPr="00511968" w:rsidRDefault="00811EFD" w:rsidP="00811EFD">
            <w:pPr>
              <w:jc w:val="center"/>
              <w:rPr>
                <w:color w:val="000000"/>
              </w:rPr>
            </w:pPr>
          </w:p>
        </w:tc>
      </w:tr>
      <w:tr w:rsidR="00811EFD" w:rsidRPr="00511968" w14:paraId="4968975E" w14:textId="77777777" w:rsidTr="00811EFD">
        <w:trPr>
          <w:trHeight w:val="300"/>
        </w:trPr>
        <w:tc>
          <w:tcPr>
            <w:tcW w:w="1055" w:type="pct"/>
            <w:gridSpan w:val="2"/>
            <w:tcBorders>
              <w:top w:val="nil"/>
              <w:left w:val="single" w:sz="4" w:space="0" w:color="auto"/>
              <w:bottom w:val="single" w:sz="4" w:space="0" w:color="auto"/>
              <w:right w:val="single" w:sz="4" w:space="0" w:color="auto"/>
            </w:tcBorders>
            <w:shd w:val="clear" w:color="auto" w:fill="auto"/>
            <w:noWrap/>
            <w:vAlign w:val="bottom"/>
            <w:hideMark/>
          </w:tcPr>
          <w:p w14:paraId="2482A864" w14:textId="77777777" w:rsidR="00811EFD" w:rsidRPr="00511968" w:rsidRDefault="00811EFD" w:rsidP="00811EFD">
            <w:pPr>
              <w:jc w:val="center"/>
              <w:rPr>
                <w:color w:val="000000"/>
              </w:rPr>
            </w:pPr>
            <w:r w:rsidRPr="00511968">
              <w:rPr>
                <w:color w:val="000000"/>
              </w:rPr>
              <w:t>Total</w:t>
            </w:r>
          </w:p>
        </w:tc>
        <w:tc>
          <w:tcPr>
            <w:tcW w:w="809" w:type="pct"/>
            <w:gridSpan w:val="2"/>
            <w:tcBorders>
              <w:top w:val="nil"/>
              <w:left w:val="nil"/>
              <w:bottom w:val="single" w:sz="4" w:space="0" w:color="auto"/>
              <w:right w:val="single" w:sz="4" w:space="0" w:color="auto"/>
            </w:tcBorders>
            <w:shd w:val="clear" w:color="auto" w:fill="auto"/>
            <w:noWrap/>
            <w:vAlign w:val="bottom"/>
            <w:hideMark/>
          </w:tcPr>
          <w:p w14:paraId="4382CE82" w14:textId="77777777" w:rsidR="00811EFD" w:rsidRPr="00511968" w:rsidRDefault="00811EFD" w:rsidP="00811EFD">
            <w:pPr>
              <w:jc w:val="center"/>
              <w:rPr>
                <w:color w:val="000000"/>
              </w:rPr>
            </w:pPr>
            <w:r w:rsidRPr="00511968">
              <w:rPr>
                <w:color w:val="000000"/>
              </w:rPr>
              <w:t>21</w:t>
            </w:r>
          </w:p>
        </w:tc>
        <w:tc>
          <w:tcPr>
            <w:tcW w:w="689" w:type="pct"/>
            <w:gridSpan w:val="2"/>
            <w:tcBorders>
              <w:top w:val="nil"/>
              <w:left w:val="nil"/>
              <w:bottom w:val="single" w:sz="4" w:space="0" w:color="auto"/>
              <w:right w:val="single" w:sz="4" w:space="0" w:color="auto"/>
            </w:tcBorders>
            <w:shd w:val="clear" w:color="auto" w:fill="auto"/>
            <w:noWrap/>
            <w:vAlign w:val="bottom"/>
            <w:hideMark/>
          </w:tcPr>
          <w:p w14:paraId="0C392453" w14:textId="77777777" w:rsidR="00811EFD" w:rsidRPr="00511968" w:rsidRDefault="00811EFD" w:rsidP="00811EFD">
            <w:pPr>
              <w:jc w:val="center"/>
              <w:rPr>
                <w:color w:val="000000"/>
              </w:rPr>
            </w:pPr>
            <w:r w:rsidRPr="00511968">
              <w:rPr>
                <w:color w:val="000000"/>
              </w:rPr>
              <w:t>5263.13</w:t>
            </w:r>
          </w:p>
        </w:tc>
        <w:tc>
          <w:tcPr>
            <w:tcW w:w="793" w:type="pct"/>
            <w:tcBorders>
              <w:top w:val="nil"/>
              <w:left w:val="nil"/>
              <w:bottom w:val="single" w:sz="4" w:space="0" w:color="auto"/>
              <w:right w:val="single" w:sz="4" w:space="0" w:color="auto"/>
            </w:tcBorders>
            <w:shd w:val="clear" w:color="auto" w:fill="auto"/>
            <w:noWrap/>
            <w:vAlign w:val="bottom"/>
            <w:hideMark/>
          </w:tcPr>
          <w:p w14:paraId="0733487E" w14:textId="77777777" w:rsidR="00811EFD" w:rsidRPr="00511968" w:rsidRDefault="00811EFD" w:rsidP="00811EFD">
            <w:pPr>
              <w:jc w:val="center"/>
              <w:rPr>
                <w:color w:val="000000"/>
              </w:rPr>
            </w:pPr>
          </w:p>
        </w:tc>
        <w:tc>
          <w:tcPr>
            <w:tcW w:w="621" w:type="pct"/>
            <w:tcBorders>
              <w:top w:val="nil"/>
              <w:left w:val="nil"/>
              <w:bottom w:val="single" w:sz="4" w:space="0" w:color="auto"/>
              <w:right w:val="single" w:sz="4" w:space="0" w:color="auto"/>
            </w:tcBorders>
            <w:shd w:val="clear" w:color="auto" w:fill="auto"/>
            <w:noWrap/>
            <w:vAlign w:val="bottom"/>
            <w:hideMark/>
          </w:tcPr>
          <w:p w14:paraId="5570B010" w14:textId="77777777" w:rsidR="00811EFD" w:rsidRPr="00511968" w:rsidRDefault="00811EFD" w:rsidP="00811EFD">
            <w:pPr>
              <w:jc w:val="center"/>
              <w:rPr>
                <w:color w:val="000000"/>
              </w:rPr>
            </w:pPr>
          </w:p>
        </w:tc>
        <w:tc>
          <w:tcPr>
            <w:tcW w:w="1033" w:type="pct"/>
            <w:gridSpan w:val="2"/>
            <w:tcBorders>
              <w:top w:val="nil"/>
              <w:left w:val="nil"/>
              <w:bottom w:val="single" w:sz="4" w:space="0" w:color="auto"/>
              <w:right w:val="single" w:sz="4" w:space="0" w:color="auto"/>
            </w:tcBorders>
            <w:shd w:val="clear" w:color="auto" w:fill="auto"/>
            <w:noWrap/>
            <w:vAlign w:val="bottom"/>
            <w:hideMark/>
          </w:tcPr>
          <w:p w14:paraId="5F1F28AE" w14:textId="77777777" w:rsidR="00811EFD" w:rsidRPr="00511968" w:rsidRDefault="00811EFD" w:rsidP="00811EFD">
            <w:pPr>
              <w:jc w:val="center"/>
              <w:rPr>
                <w:color w:val="000000"/>
              </w:rPr>
            </w:pPr>
          </w:p>
        </w:tc>
      </w:tr>
    </w:tbl>
    <w:p w14:paraId="4C83CA2A" w14:textId="77777777" w:rsidR="00811EFD" w:rsidRDefault="00811EFD" w:rsidP="00BF3DD0"/>
    <w:tbl>
      <w:tblPr>
        <w:tblW w:w="0" w:type="auto"/>
        <w:tblLayout w:type="fixed"/>
        <w:tblLook w:val="04A0" w:firstRow="1" w:lastRow="0" w:firstColumn="1" w:lastColumn="0" w:noHBand="0" w:noVBand="1"/>
      </w:tblPr>
      <w:tblGrid>
        <w:gridCol w:w="1066"/>
        <w:gridCol w:w="1080"/>
        <w:gridCol w:w="1179"/>
        <w:gridCol w:w="752"/>
        <w:gridCol w:w="779"/>
        <w:gridCol w:w="1056"/>
        <w:gridCol w:w="1056"/>
        <w:gridCol w:w="1191"/>
        <w:gridCol w:w="1191"/>
      </w:tblGrid>
      <w:tr w:rsidR="00811EFD" w:rsidRPr="00511968" w14:paraId="2A6F61F5" w14:textId="77777777" w:rsidTr="00511968">
        <w:trPr>
          <w:trHeight w:val="300"/>
        </w:trPr>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F7F00" w14:textId="77777777" w:rsidR="00811EFD" w:rsidRPr="00511968" w:rsidRDefault="00811EFD" w:rsidP="00811EFD">
            <w:pPr>
              <w:jc w:val="center"/>
              <w:rPr>
                <w:i/>
                <w:iCs/>
                <w:color w:val="000000"/>
              </w:rPr>
            </w:pPr>
            <w:r w:rsidRPr="00511968">
              <w:rPr>
                <w:i/>
                <w:iCs/>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CE829B8" w14:textId="77777777" w:rsidR="00811EFD" w:rsidRPr="00511968" w:rsidRDefault="00811EFD" w:rsidP="00811EFD">
            <w:pPr>
              <w:jc w:val="center"/>
              <w:rPr>
                <w:i/>
                <w:iCs/>
                <w:color w:val="000000"/>
              </w:rPr>
            </w:pPr>
            <w:r w:rsidRPr="00511968">
              <w:rPr>
                <w:i/>
                <w:iCs/>
                <w:color w:val="000000"/>
              </w:rPr>
              <w:t>Coefficients</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14:paraId="51956876" w14:textId="77777777" w:rsidR="00811EFD" w:rsidRPr="00511968" w:rsidRDefault="00811EFD" w:rsidP="00811EFD">
            <w:pPr>
              <w:jc w:val="center"/>
              <w:rPr>
                <w:i/>
                <w:iCs/>
                <w:color w:val="000000"/>
              </w:rPr>
            </w:pPr>
            <w:r w:rsidRPr="00511968">
              <w:rPr>
                <w:i/>
                <w:iCs/>
                <w:color w:val="000000"/>
              </w:rPr>
              <w:t>Standard Error</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14:paraId="6BD550EE" w14:textId="77777777" w:rsidR="00811EFD" w:rsidRPr="00511968" w:rsidRDefault="00811EFD" w:rsidP="00811EFD">
            <w:pPr>
              <w:jc w:val="center"/>
              <w:rPr>
                <w:i/>
                <w:iCs/>
                <w:color w:val="000000"/>
              </w:rPr>
            </w:pPr>
            <w:r w:rsidRPr="00511968">
              <w:rPr>
                <w:i/>
                <w:iCs/>
                <w:color w:val="000000"/>
              </w:rPr>
              <w:t>t Stat</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718EA109" w14:textId="77777777" w:rsidR="00811EFD" w:rsidRPr="00511968" w:rsidRDefault="00811EFD" w:rsidP="00811EFD">
            <w:pPr>
              <w:jc w:val="center"/>
              <w:rPr>
                <w:i/>
                <w:iCs/>
                <w:color w:val="000000"/>
              </w:rPr>
            </w:pPr>
            <w:r w:rsidRPr="00511968">
              <w:rPr>
                <w:i/>
                <w:iCs/>
                <w:color w:val="000000"/>
              </w:rPr>
              <w:t>P-value</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07C4C9BD" w14:textId="77777777" w:rsidR="00811EFD" w:rsidRPr="00511968" w:rsidRDefault="00811EFD" w:rsidP="00811EFD">
            <w:pPr>
              <w:jc w:val="center"/>
              <w:rPr>
                <w:i/>
                <w:iCs/>
                <w:color w:val="000000"/>
              </w:rPr>
            </w:pPr>
            <w:r w:rsidRPr="00511968">
              <w:rPr>
                <w:i/>
                <w:iCs/>
                <w:color w:val="000000"/>
              </w:rPr>
              <w:t>Lower 95%</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237C07B1" w14:textId="77777777" w:rsidR="00811EFD" w:rsidRPr="00511968" w:rsidRDefault="00811EFD" w:rsidP="00811EFD">
            <w:pPr>
              <w:jc w:val="center"/>
              <w:rPr>
                <w:i/>
                <w:iCs/>
                <w:color w:val="000000"/>
              </w:rPr>
            </w:pPr>
            <w:r w:rsidRPr="00511968">
              <w:rPr>
                <w:i/>
                <w:iCs/>
                <w:color w:val="000000"/>
              </w:rPr>
              <w:t>Upper 95%</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683FD555" w14:textId="77777777" w:rsidR="00811EFD" w:rsidRPr="00511968" w:rsidRDefault="00811EFD" w:rsidP="00811EFD">
            <w:pPr>
              <w:jc w:val="center"/>
              <w:rPr>
                <w:i/>
                <w:iCs/>
                <w:color w:val="000000"/>
              </w:rPr>
            </w:pPr>
            <w:r w:rsidRPr="00511968">
              <w:rPr>
                <w:i/>
                <w:iCs/>
                <w:color w:val="000000"/>
              </w:rPr>
              <w:t>Lower 95.0%</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73E81B62" w14:textId="77777777" w:rsidR="00811EFD" w:rsidRPr="00511968" w:rsidRDefault="00811EFD" w:rsidP="00811EFD">
            <w:pPr>
              <w:jc w:val="center"/>
              <w:rPr>
                <w:i/>
                <w:iCs/>
                <w:color w:val="000000"/>
              </w:rPr>
            </w:pPr>
            <w:r w:rsidRPr="00511968">
              <w:rPr>
                <w:i/>
                <w:iCs/>
                <w:color w:val="000000"/>
              </w:rPr>
              <w:t>Upper 95.0%</w:t>
            </w:r>
          </w:p>
        </w:tc>
      </w:tr>
      <w:tr w:rsidR="00811EFD" w:rsidRPr="00511968" w14:paraId="798A94E9" w14:textId="77777777" w:rsidTr="00511968">
        <w:trPr>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hideMark/>
          </w:tcPr>
          <w:p w14:paraId="0E0DC874" w14:textId="77777777" w:rsidR="00811EFD" w:rsidRPr="00511968" w:rsidRDefault="00811EFD" w:rsidP="00811EFD">
            <w:pPr>
              <w:rPr>
                <w:color w:val="000000"/>
              </w:rPr>
            </w:pPr>
            <w:r w:rsidRPr="00511968">
              <w:rPr>
                <w:color w:val="000000"/>
              </w:rPr>
              <w:t>Intercept</w:t>
            </w:r>
          </w:p>
        </w:tc>
        <w:tc>
          <w:tcPr>
            <w:tcW w:w="1080" w:type="dxa"/>
            <w:tcBorders>
              <w:top w:val="nil"/>
              <w:left w:val="nil"/>
              <w:bottom w:val="single" w:sz="4" w:space="0" w:color="auto"/>
              <w:right w:val="single" w:sz="4" w:space="0" w:color="auto"/>
            </w:tcBorders>
            <w:shd w:val="clear" w:color="auto" w:fill="auto"/>
            <w:noWrap/>
            <w:vAlign w:val="bottom"/>
            <w:hideMark/>
          </w:tcPr>
          <w:p w14:paraId="41CFB274" w14:textId="77777777" w:rsidR="00811EFD" w:rsidRPr="00511968" w:rsidRDefault="00811EFD" w:rsidP="00811EFD">
            <w:pPr>
              <w:jc w:val="right"/>
              <w:rPr>
                <w:color w:val="000000"/>
              </w:rPr>
            </w:pPr>
            <w:r w:rsidRPr="00511968">
              <w:rPr>
                <w:color w:val="000000"/>
              </w:rPr>
              <w:t>272.33</w:t>
            </w:r>
          </w:p>
        </w:tc>
        <w:tc>
          <w:tcPr>
            <w:tcW w:w="1179" w:type="dxa"/>
            <w:tcBorders>
              <w:top w:val="nil"/>
              <w:left w:val="nil"/>
              <w:bottom w:val="single" w:sz="4" w:space="0" w:color="auto"/>
              <w:right w:val="single" w:sz="4" w:space="0" w:color="auto"/>
            </w:tcBorders>
            <w:shd w:val="clear" w:color="auto" w:fill="auto"/>
            <w:noWrap/>
            <w:vAlign w:val="bottom"/>
            <w:hideMark/>
          </w:tcPr>
          <w:p w14:paraId="57FDDB57" w14:textId="77777777" w:rsidR="00811EFD" w:rsidRPr="00511968" w:rsidRDefault="00811EFD" w:rsidP="00811EFD">
            <w:pPr>
              <w:jc w:val="right"/>
              <w:rPr>
                <w:color w:val="000000"/>
              </w:rPr>
            </w:pPr>
            <w:r w:rsidRPr="00511968">
              <w:rPr>
                <w:color w:val="000000"/>
              </w:rPr>
              <w:t>88.08</w:t>
            </w:r>
          </w:p>
        </w:tc>
        <w:tc>
          <w:tcPr>
            <w:tcW w:w="752" w:type="dxa"/>
            <w:tcBorders>
              <w:top w:val="nil"/>
              <w:left w:val="nil"/>
              <w:bottom w:val="single" w:sz="4" w:space="0" w:color="auto"/>
              <w:right w:val="single" w:sz="4" w:space="0" w:color="auto"/>
            </w:tcBorders>
            <w:shd w:val="clear" w:color="auto" w:fill="auto"/>
            <w:noWrap/>
            <w:vAlign w:val="bottom"/>
            <w:hideMark/>
          </w:tcPr>
          <w:p w14:paraId="40D47238" w14:textId="77777777" w:rsidR="00811EFD" w:rsidRPr="00511968" w:rsidRDefault="00811EFD" w:rsidP="00811EFD">
            <w:pPr>
              <w:jc w:val="right"/>
              <w:rPr>
                <w:color w:val="000000"/>
              </w:rPr>
            </w:pPr>
            <w:r w:rsidRPr="00511968">
              <w:rPr>
                <w:color w:val="000000"/>
              </w:rPr>
              <w:t>3.09</w:t>
            </w:r>
          </w:p>
        </w:tc>
        <w:tc>
          <w:tcPr>
            <w:tcW w:w="779" w:type="dxa"/>
            <w:tcBorders>
              <w:top w:val="nil"/>
              <w:left w:val="nil"/>
              <w:bottom w:val="single" w:sz="4" w:space="0" w:color="auto"/>
              <w:right w:val="single" w:sz="4" w:space="0" w:color="auto"/>
            </w:tcBorders>
            <w:shd w:val="clear" w:color="auto" w:fill="auto"/>
            <w:noWrap/>
            <w:vAlign w:val="bottom"/>
            <w:hideMark/>
          </w:tcPr>
          <w:p w14:paraId="312EB17A" w14:textId="77777777" w:rsidR="00811EFD" w:rsidRPr="00511968" w:rsidRDefault="00811EFD" w:rsidP="00811EFD">
            <w:pPr>
              <w:jc w:val="right"/>
              <w:rPr>
                <w:color w:val="000000"/>
              </w:rPr>
            </w:pPr>
            <w:r w:rsidRPr="00511968">
              <w:rPr>
                <w:color w:val="000000"/>
              </w:rPr>
              <w:t>0.005</w:t>
            </w:r>
          </w:p>
        </w:tc>
        <w:tc>
          <w:tcPr>
            <w:tcW w:w="1056" w:type="dxa"/>
            <w:tcBorders>
              <w:top w:val="nil"/>
              <w:left w:val="nil"/>
              <w:bottom w:val="single" w:sz="4" w:space="0" w:color="auto"/>
              <w:right w:val="single" w:sz="4" w:space="0" w:color="auto"/>
            </w:tcBorders>
            <w:shd w:val="clear" w:color="auto" w:fill="auto"/>
            <w:noWrap/>
            <w:vAlign w:val="bottom"/>
            <w:hideMark/>
          </w:tcPr>
          <w:p w14:paraId="675B54B5" w14:textId="77777777" w:rsidR="00811EFD" w:rsidRPr="00511968" w:rsidRDefault="00811EFD" w:rsidP="00811EFD">
            <w:pPr>
              <w:jc w:val="right"/>
              <w:rPr>
                <w:color w:val="000000"/>
              </w:rPr>
            </w:pPr>
            <w:r w:rsidRPr="00511968">
              <w:rPr>
                <w:color w:val="000000"/>
              </w:rPr>
              <w:t>88.60</w:t>
            </w:r>
          </w:p>
        </w:tc>
        <w:tc>
          <w:tcPr>
            <w:tcW w:w="1056" w:type="dxa"/>
            <w:tcBorders>
              <w:top w:val="nil"/>
              <w:left w:val="nil"/>
              <w:bottom w:val="single" w:sz="4" w:space="0" w:color="auto"/>
              <w:right w:val="single" w:sz="4" w:space="0" w:color="auto"/>
            </w:tcBorders>
            <w:shd w:val="clear" w:color="auto" w:fill="auto"/>
            <w:noWrap/>
            <w:vAlign w:val="bottom"/>
            <w:hideMark/>
          </w:tcPr>
          <w:p w14:paraId="35CD9738" w14:textId="77777777" w:rsidR="00811EFD" w:rsidRPr="00511968" w:rsidRDefault="00811EFD" w:rsidP="00811EFD">
            <w:pPr>
              <w:jc w:val="right"/>
              <w:rPr>
                <w:color w:val="000000"/>
              </w:rPr>
            </w:pPr>
            <w:r w:rsidRPr="00511968">
              <w:rPr>
                <w:color w:val="000000"/>
              </w:rPr>
              <w:t>456.07</w:t>
            </w:r>
          </w:p>
        </w:tc>
        <w:tc>
          <w:tcPr>
            <w:tcW w:w="1191" w:type="dxa"/>
            <w:tcBorders>
              <w:top w:val="nil"/>
              <w:left w:val="nil"/>
              <w:bottom w:val="single" w:sz="4" w:space="0" w:color="auto"/>
              <w:right w:val="single" w:sz="4" w:space="0" w:color="auto"/>
            </w:tcBorders>
            <w:shd w:val="clear" w:color="auto" w:fill="auto"/>
            <w:noWrap/>
            <w:vAlign w:val="bottom"/>
            <w:hideMark/>
          </w:tcPr>
          <w:p w14:paraId="2B2F15AA" w14:textId="77777777" w:rsidR="00811EFD" w:rsidRPr="00511968" w:rsidRDefault="00811EFD" w:rsidP="00811EFD">
            <w:pPr>
              <w:jc w:val="right"/>
              <w:rPr>
                <w:color w:val="000000"/>
              </w:rPr>
            </w:pPr>
            <w:r w:rsidRPr="00511968">
              <w:rPr>
                <w:color w:val="000000"/>
              </w:rPr>
              <w:t>88.60</w:t>
            </w:r>
          </w:p>
        </w:tc>
        <w:tc>
          <w:tcPr>
            <w:tcW w:w="1191" w:type="dxa"/>
            <w:tcBorders>
              <w:top w:val="nil"/>
              <w:left w:val="nil"/>
              <w:bottom w:val="single" w:sz="4" w:space="0" w:color="auto"/>
              <w:right w:val="single" w:sz="4" w:space="0" w:color="auto"/>
            </w:tcBorders>
            <w:shd w:val="clear" w:color="auto" w:fill="auto"/>
            <w:noWrap/>
            <w:vAlign w:val="bottom"/>
            <w:hideMark/>
          </w:tcPr>
          <w:p w14:paraId="485ED7D3" w14:textId="77777777" w:rsidR="00811EFD" w:rsidRPr="00511968" w:rsidRDefault="00811EFD" w:rsidP="00811EFD">
            <w:pPr>
              <w:jc w:val="right"/>
              <w:rPr>
                <w:color w:val="000000"/>
              </w:rPr>
            </w:pPr>
            <w:r w:rsidRPr="00511968">
              <w:rPr>
                <w:color w:val="000000"/>
              </w:rPr>
              <w:t>456.07</w:t>
            </w:r>
          </w:p>
        </w:tc>
      </w:tr>
      <w:tr w:rsidR="00811EFD" w:rsidRPr="00511968" w14:paraId="6676E46E" w14:textId="77777777" w:rsidTr="00511968">
        <w:trPr>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hideMark/>
          </w:tcPr>
          <w:p w14:paraId="547FB7FD" w14:textId="77777777" w:rsidR="00811EFD" w:rsidRPr="00511968" w:rsidRDefault="00811EFD" w:rsidP="00811EFD">
            <w:pPr>
              <w:rPr>
                <w:color w:val="000000"/>
              </w:rPr>
            </w:pPr>
            <w:r w:rsidRPr="00511968">
              <w:rPr>
                <w:color w:val="000000"/>
              </w:rPr>
              <w:t xml:space="preserve">X Variable </w:t>
            </w:r>
          </w:p>
        </w:tc>
        <w:tc>
          <w:tcPr>
            <w:tcW w:w="1080" w:type="dxa"/>
            <w:tcBorders>
              <w:top w:val="nil"/>
              <w:left w:val="nil"/>
              <w:bottom w:val="single" w:sz="4" w:space="0" w:color="auto"/>
              <w:right w:val="single" w:sz="4" w:space="0" w:color="auto"/>
            </w:tcBorders>
            <w:shd w:val="clear" w:color="auto" w:fill="auto"/>
            <w:noWrap/>
            <w:vAlign w:val="bottom"/>
            <w:hideMark/>
          </w:tcPr>
          <w:p w14:paraId="42C23CCD" w14:textId="77777777" w:rsidR="00811EFD" w:rsidRPr="00511968" w:rsidRDefault="00811EFD" w:rsidP="00811EFD">
            <w:pPr>
              <w:jc w:val="right"/>
              <w:rPr>
                <w:color w:val="000000"/>
              </w:rPr>
            </w:pPr>
            <w:r w:rsidRPr="00511968">
              <w:rPr>
                <w:color w:val="000000"/>
              </w:rPr>
              <w:t>0.37</w:t>
            </w:r>
          </w:p>
        </w:tc>
        <w:tc>
          <w:tcPr>
            <w:tcW w:w="1179" w:type="dxa"/>
            <w:tcBorders>
              <w:top w:val="nil"/>
              <w:left w:val="nil"/>
              <w:bottom w:val="single" w:sz="4" w:space="0" w:color="auto"/>
              <w:right w:val="single" w:sz="4" w:space="0" w:color="auto"/>
            </w:tcBorders>
            <w:shd w:val="clear" w:color="auto" w:fill="auto"/>
            <w:noWrap/>
            <w:vAlign w:val="bottom"/>
            <w:hideMark/>
          </w:tcPr>
          <w:p w14:paraId="30A360C9" w14:textId="77777777" w:rsidR="00811EFD" w:rsidRPr="00511968" w:rsidRDefault="00811EFD" w:rsidP="00811EFD">
            <w:pPr>
              <w:jc w:val="right"/>
              <w:rPr>
                <w:color w:val="000000"/>
              </w:rPr>
            </w:pPr>
            <w:r w:rsidRPr="00511968">
              <w:rPr>
                <w:color w:val="000000"/>
              </w:rPr>
              <w:t>0.16</w:t>
            </w:r>
          </w:p>
        </w:tc>
        <w:tc>
          <w:tcPr>
            <w:tcW w:w="752" w:type="dxa"/>
            <w:tcBorders>
              <w:top w:val="nil"/>
              <w:left w:val="nil"/>
              <w:bottom w:val="single" w:sz="4" w:space="0" w:color="auto"/>
              <w:right w:val="single" w:sz="4" w:space="0" w:color="auto"/>
            </w:tcBorders>
            <w:shd w:val="clear" w:color="auto" w:fill="auto"/>
            <w:noWrap/>
            <w:vAlign w:val="bottom"/>
            <w:hideMark/>
          </w:tcPr>
          <w:p w14:paraId="06C4D078" w14:textId="77777777" w:rsidR="00811EFD" w:rsidRPr="00511968" w:rsidRDefault="00811EFD" w:rsidP="00811EFD">
            <w:pPr>
              <w:jc w:val="right"/>
              <w:rPr>
                <w:color w:val="000000"/>
              </w:rPr>
            </w:pPr>
            <w:r w:rsidRPr="00511968">
              <w:rPr>
                <w:color w:val="000000"/>
              </w:rPr>
              <w:t>2.23</w:t>
            </w:r>
          </w:p>
        </w:tc>
        <w:tc>
          <w:tcPr>
            <w:tcW w:w="779" w:type="dxa"/>
            <w:tcBorders>
              <w:top w:val="nil"/>
              <w:left w:val="nil"/>
              <w:bottom w:val="single" w:sz="4" w:space="0" w:color="auto"/>
              <w:right w:val="single" w:sz="4" w:space="0" w:color="auto"/>
            </w:tcBorders>
            <w:shd w:val="clear" w:color="auto" w:fill="auto"/>
            <w:noWrap/>
            <w:vAlign w:val="bottom"/>
            <w:hideMark/>
          </w:tcPr>
          <w:p w14:paraId="477E5014" w14:textId="77777777" w:rsidR="00811EFD" w:rsidRPr="00511968" w:rsidRDefault="00811EFD" w:rsidP="00811EFD">
            <w:pPr>
              <w:jc w:val="right"/>
              <w:rPr>
                <w:color w:val="000000"/>
              </w:rPr>
            </w:pPr>
            <w:r w:rsidRPr="00511968">
              <w:rPr>
                <w:color w:val="000000"/>
              </w:rPr>
              <w:t>0.037</w:t>
            </w:r>
          </w:p>
        </w:tc>
        <w:tc>
          <w:tcPr>
            <w:tcW w:w="1056" w:type="dxa"/>
            <w:tcBorders>
              <w:top w:val="nil"/>
              <w:left w:val="nil"/>
              <w:bottom w:val="single" w:sz="4" w:space="0" w:color="auto"/>
              <w:right w:val="single" w:sz="4" w:space="0" w:color="auto"/>
            </w:tcBorders>
            <w:shd w:val="clear" w:color="auto" w:fill="auto"/>
            <w:noWrap/>
            <w:vAlign w:val="bottom"/>
            <w:hideMark/>
          </w:tcPr>
          <w:p w14:paraId="53D2E9DA" w14:textId="77777777" w:rsidR="00811EFD" w:rsidRPr="00511968" w:rsidRDefault="00811EFD" w:rsidP="00811EFD">
            <w:pPr>
              <w:jc w:val="right"/>
              <w:rPr>
                <w:color w:val="000000"/>
              </w:rPr>
            </w:pPr>
            <w:r w:rsidRPr="00511968">
              <w:rPr>
                <w:color w:val="000000"/>
              </w:rPr>
              <w:t>0.02</w:t>
            </w:r>
          </w:p>
        </w:tc>
        <w:tc>
          <w:tcPr>
            <w:tcW w:w="1056" w:type="dxa"/>
            <w:tcBorders>
              <w:top w:val="nil"/>
              <w:left w:val="nil"/>
              <w:bottom w:val="single" w:sz="4" w:space="0" w:color="auto"/>
              <w:right w:val="single" w:sz="4" w:space="0" w:color="auto"/>
            </w:tcBorders>
            <w:shd w:val="clear" w:color="auto" w:fill="auto"/>
            <w:noWrap/>
            <w:vAlign w:val="bottom"/>
            <w:hideMark/>
          </w:tcPr>
          <w:p w14:paraId="5D624130" w14:textId="77777777" w:rsidR="00811EFD" w:rsidRPr="00511968" w:rsidRDefault="00811EFD" w:rsidP="00811EFD">
            <w:pPr>
              <w:jc w:val="right"/>
              <w:rPr>
                <w:color w:val="000000"/>
              </w:rPr>
            </w:pPr>
            <w:r w:rsidRPr="00511968">
              <w:rPr>
                <w:color w:val="000000"/>
              </w:rPr>
              <w:t>0.72</w:t>
            </w:r>
          </w:p>
        </w:tc>
        <w:tc>
          <w:tcPr>
            <w:tcW w:w="1191" w:type="dxa"/>
            <w:tcBorders>
              <w:top w:val="nil"/>
              <w:left w:val="nil"/>
              <w:bottom w:val="single" w:sz="4" w:space="0" w:color="auto"/>
              <w:right w:val="single" w:sz="4" w:space="0" w:color="auto"/>
            </w:tcBorders>
            <w:shd w:val="clear" w:color="auto" w:fill="auto"/>
            <w:noWrap/>
            <w:vAlign w:val="bottom"/>
            <w:hideMark/>
          </w:tcPr>
          <w:p w14:paraId="1D6BA4FB" w14:textId="77777777" w:rsidR="00811EFD" w:rsidRPr="00511968" w:rsidRDefault="00811EFD" w:rsidP="00811EFD">
            <w:pPr>
              <w:jc w:val="right"/>
              <w:rPr>
                <w:color w:val="000000"/>
              </w:rPr>
            </w:pPr>
            <w:r w:rsidRPr="00511968">
              <w:rPr>
                <w:color w:val="000000"/>
              </w:rPr>
              <w:t>0.02</w:t>
            </w:r>
          </w:p>
        </w:tc>
        <w:tc>
          <w:tcPr>
            <w:tcW w:w="1191" w:type="dxa"/>
            <w:tcBorders>
              <w:top w:val="nil"/>
              <w:left w:val="nil"/>
              <w:bottom w:val="single" w:sz="4" w:space="0" w:color="auto"/>
              <w:right w:val="single" w:sz="4" w:space="0" w:color="auto"/>
            </w:tcBorders>
            <w:shd w:val="clear" w:color="auto" w:fill="auto"/>
            <w:noWrap/>
            <w:vAlign w:val="bottom"/>
            <w:hideMark/>
          </w:tcPr>
          <w:p w14:paraId="45A50328" w14:textId="77777777" w:rsidR="00811EFD" w:rsidRPr="00511968" w:rsidRDefault="00811EFD" w:rsidP="00811EFD">
            <w:pPr>
              <w:jc w:val="right"/>
              <w:rPr>
                <w:color w:val="000000"/>
              </w:rPr>
            </w:pPr>
            <w:r w:rsidRPr="00511968">
              <w:rPr>
                <w:color w:val="000000"/>
              </w:rPr>
              <w:t>0.72</w:t>
            </w:r>
          </w:p>
        </w:tc>
      </w:tr>
    </w:tbl>
    <w:p w14:paraId="7A263410" w14:textId="77777777" w:rsidR="00811EFD" w:rsidRDefault="00811EFD" w:rsidP="00BF3DD0"/>
    <w:p w14:paraId="457E92EA" w14:textId="797FCA49" w:rsidR="00A26BFC" w:rsidRDefault="00A26BFC" w:rsidP="00A26BFC">
      <w:pPr>
        <w:spacing w:line="360" w:lineRule="auto"/>
        <w:jc w:val="both"/>
      </w:pPr>
      <w:r>
        <w:t xml:space="preserve">The Adani ports, investment decision was impacted in the average returns – it was decreased from 0.68% to 0.59%. The standard deviation was increased from 2.28% to 2.68% and the Compounded annual growth rate was increased from </w:t>
      </w:r>
      <w:r w:rsidR="009610F7">
        <w:t>0.63</w:t>
      </w:r>
      <w:r>
        <w:t>% to 0.</w:t>
      </w:r>
      <w:r w:rsidR="009610F7">
        <w:t>5</w:t>
      </w:r>
      <w:r>
        <w:t xml:space="preserve">3%. As per the regression result the P-Value was less than 0.05 i.e., 0.00. Which infer that, there will be great association between the stock performance and the investment decision of </w:t>
      </w:r>
      <w:r w:rsidR="009610F7">
        <w:t>Adani ports</w:t>
      </w:r>
      <w:r>
        <w:t>.</w:t>
      </w:r>
    </w:p>
    <w:p w14:paraId="32B3D976" w14:textId="77777777" w:rsidR="009C4712" w:rsidRDefault="009C4712" w:rsidP="00BF3DD0"/>
    <w:p w14:paraId="7BA8B11C" w14:textId="77777777" w:rsidR="009C4712" w:rsidRDefault="009C4712" w:rsidP="00BF3DD0"/>
    <w:tbl>
      <w:tblPr>
        <w:tblW w:w="0" w:type="auto"/>
        <w:tblLayout w:type="fixed"/>
        <w:tblLook w:val="04A0" w:firstRow="1" w:lastRow="0" w:firstColumn="1" w:lastColumn="0" w:noHBand="0" w:noVBand="1"/>
      </w:tblPr>
      <w:tblGrid>
        <w:gridCol w:w="1738"/>
        <w:gridCol w:w="1097"/>
        <w:gridCol w:w="778"/>
        <w:gridCol w:w="770"/>
        <w:gridCol w:w="1165"/>
        <w:gridCol w:w="852"/>
        <w:gridCol w:w="869"/>
        <w:gridCol w:w="858"/>
        <w:gridCol w:w="1233"/>
      </w:tblGrid>
      <w:tr w:rsidR="009C4712" w:rsidRPr="009C4712" w14:paraId="0880A12C" w14:textId="77777777" w:rsidTr="009C4712">
        <w:trPr>
          <w:trHeight w:val="320"/>
        </w:trPr>
        <w:tc>
          <w:tcPr>
            <w:tcW w:w="9360" w:type="dxa"/>
            <w:gridSpan w:val="9"/>
            <w:tcBorders>
              <w:top w:val="nil"/>
              <w:left w:val="nil"/>
              <w:bottom w:val="single" w:sz="4" w:space="0" w:color="auto"/>
              <w:right w:val="nil"/>
            </w:tcBorders>
            <w:shd w:val="clear" w:color="auto" w:fill="auto"/>
            <w:noWrap/>
            <w:vAlign w:val="center"/>
            <w:hideMark/>
          </w:tcPr>
          <w:p w14:paraId="2EE4543E" w14:textId="77777777" w:rsidR="009C4712" w:rsidRPr="00511968" w:rsidRDefault="009C4712" w:rsidP="009C4712">
            <w:pPr>
              <w:jc w:val="center"/>
              <w:rPr>
                <w:rFonts w:ascii="Calibri" w:hAnsi="Calibri" w:cs="Calibri"/>
                <w:b/>
                <w:color w:val="000000"/>
                <w:sz w:val="20"/>
                <w:szCs w:val="20"/>
              </w:rPr>
            </w:pPr>
            <w:r w:rsidRPr="00511968">
              <w:rPr>
                <w:rFonts w:ascii="Calibri" w:hAnsi="Calibri" w:cs="Calibri"/>
                <w:b/>
                <w:color w:val="000000"/>
                <w:szCs w:val="20"/>
              </w:rPr>
              <w:t>Summary</w:t>
            </w:r>
          </w:p>
        </w:tc>
      </w:tr>
      <w:tr w:rsidR="009C4712" w:rsidRPr="009C4712" w14:paraId="75B7FA7F" w14:textId="77777777" w:rsidTr="009C4712">
        <w:trPr>
          <w:trHeight w:val="320"/>
        </w:trPr>
        <w:tc>
          <w:tcPr>
            <w:tcW w:w="17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B3D5DF" w14:textId="77777777" w:rsidR="009C4712" w:rsidRPr="00511968" w:rsidRDefault="009C4712" w:rsidP="009C4712">
            <w:pPr>
              <w:jc w:val="center"/>
              <w:rPr>
                <w:rFonts w:ascii="Calibri" w:hAnsi="Calibri" w:cs="Calibri"/>
                <w:b/>
                <w:color w:val="000000"/>
                <w:sz w:val="22"/>
                <w:szCs w:val="20"/>
              </w:rPr>
            </w:pPr>
            <w:r w:rsidRPr="00511968">
              <w:rPr>
                <w:rFonts w:ascii="Calibri" w:hAnsi="Calibri" w:cs="Calibri"/>
                <w:b/>
                <w:color w:val="000000"/>
                <w:sz w:val="22"/>
                <w:szCs w:val="20"/>
              </w:rPr>
              <w:t>Company Name</w:t>
            </w:r>
          </w:p>
        </w:tc>
        <w:tc>
          <w:tcPr>
            <w:tcW w:w="264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20B165" w14:textId="77777777" w:rsidR="009C4712" w:rsidRPr="00511968" w:rsidRDefault="009C4712" w:rsidP="009C4712">
            <w:pPr>
              <w:jc w:val="center"/>
              <w:rPr>
                <w:rFonts w:ascii="Calibri" w:hAnsi="Calibri" w:cs="Calibri"/>
                <w:b/>
                <w:color w:val="000000"/>
                <w:sz w:val="22"/>
                <w:szCs w:val="20"/>
              </w:rPr>
            </w:pPr>
            <w:r w:rsidRPr="00511968">
              <w:rPr>
                <w:rFonts w:ascii="Calibri" w:hAnsi="Calibri" w:cs="Calibri"/>
                <w:b/>
                <w:color w:val="000000"/>
                <w:sz w:val="22"/>
                <w:szCs w:val="20"/>
              </w:rPr>
              <w:t>Before Investment Decision</w:t>
            </w:r>
          </w:p>
        </w:tc>
        <w:tc>
          <w:tcPr>
            <w:tcW w:w="288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4219F3" w14:textId="77777777" w:rsidR="009C4712" w:rsidRPr="00511968" w:rsidRDefault="009C4712" w:rsidP="009C4712">
            <w:pPr>
              <w:jc w:val="center"/>
              <w:rPr>
                <w:rFonts w:ascii="Calibri" w:hAnsi="Calibri" w:cs="Calibri"/>
                <w:b/>
                <w:color w:val="000000"/>
                <w:sz w:val="22"/>
                <w:szCs w:val="20"/>
              </w:rPr>
            </w:pPr>
            <w:r w:rsidRPr="00511968">
              <w:rPr>
                <w:rFonts w:ascii="Calibri" w:hAnsi="Calibri" w:cs="Calibri"/>
                <w:b/>
                <w:color w:val="000000"/>
                <w:sz w:val="22"/>
                <w:szCs w:val="20"/>
              </w:rPr>
              <w:t>After Investment Decision</w:t>
            </w:r>
          </w:p>
        </w:tc>
        <w:tc>
          <w:tcPr>
            <w:tcW w:w="8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EA6A33" w14:textId="77777777" w:rsidR="009C4712" w:rsidRPr="00511968" w:rsidRDefault="009C4712" w:rsidP="009C4712">
            <w:pPr>
              <w:jc w:val="center"/>
              <w:rPr>
                <w:rFonts w:ascii="Calibri" w:hAnsi="Calibri" w:cs="Calibri"/>
                <w:b/>
                <w:color w:val="000000"/>
                <w:sz w:val="22"/>
                <w:szCs w:val="20"/>
              </w:rPr>
            </w:pPr>
            <w:r w:rsidRPr="00511968">
              <w:rPr>
                <w:rFonts w:ascii="Calibri" w:hAnsi="Calibri" w:cs="Calibri"/>
                <w:b/>
                <w:color w:val="000000"/>
                <w:sz w:val="22"/>
                <w:szCs w:val="20"/>
              </w:rPr>
              <w:t>P-Value</w:t>
            </w:r>
          </w:p>
        </w:tc>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F90816" w14:textId="77777777" w:rsidR="009C4712" w:rsidRPr="00511968" w:rsidRDefault="009C4712" w:rsidP="009C4712">
            <w:pPr>
              <w:jc w:val="center"/>
              <w:rPr>
                <w:rFonts w:ascii="Calibri" w:hAnsi="Calibri" w:cs="Calibri"/>
                <w:b/>
                <w:color w:val="000000"/>
                <w:sz w:val="22"/>
                <w:szCs w:val="20"/>
              </w:rPr>
            </w:pPr>
            <w:r w:rsidRPr="00511968">
              <w:rPr>
                <w:rFonts w:ascii="Calibri" w:hAnsi="Calibri" w:cs="Calibri"/>
                <w:b/>
                <w:color w:val="000000"/>
                <w:sz w:val="22"/>
                <w:szCs w:val="20"/>
              </w:rPr>
              <w:t>Hypothesis Result</w:t>
            </w:r>
          </w:p>
        </w:tc>
      </w:tr>
      <w:tr w:rsidR="009C4712" w:rsidRPr="009C4712" w14:paraId="7ED09FB8" w14:textId="77777777" w:rsidTr="00511968">
        <w:trPr>
          <w:trHeight w:val="638"/>
        </w:trPr>
        <w:tc>
          <w:tcPr>
            <w:tcW w:w="1738" w:type="dxa"/>
            <w:vMerge/>
            <w:tcBorders>
              <w:top w:val="nil"/>
              <w:left w:val="single" w:sz="4" w:space="0" w:color="auto"/>
              <w:bottom w:val="single" w:sz="4" w:space="0" w:color="auto"/>
              <w:right w:val="single" w:sz="4" w:space="0" w:color="auto"/>
            </w:tcBorders>
            <w:vAlign w:val="center"/>
            <w:hideMark/>
          </w:tcPr>
          <w:p w14:paraId="2E11D76B" w14:textId="77777777" w:rsidR="009C4712" w:rsidRPr="009C4712" w:rsidRDefault="009C4712" w:rsidP="009C4712">
            <w:pPr>
              <w:jc w:val="center"/>
              <w:rPr>
                <w:rFonts w:ascii="Calibri" w:hAnsi="Calibri" w:cs="Calibr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center"/>
            <w:hideMark/>
          </w:tcPr>
          <w:p w14:paraId="7D81F251" w14:textId="77777777" w:rsidR="009C4712" w:rsidRPr="00511968" w:rsidRDefault="009C4712" w:rsidP="009C4712">
            <w:pPr>
              <w:jc w:val="center"/>
              <w:rPr>
                <w:rFonts w:ascii="Calibri" w:hAnsi="Calibri" w:cs="Calibri"/>
                <w:b/>
                <w:color w:val="000000"/>
                <w:sz w:val="20"/>
                <w:szCs w:val="20"/>
              </w:rPr>
            </w:pPr>
            <w:r w:rsidRPr="00511968">
              <w:rPr>
                <w:rFonts w:ascii="Calibri" w:hAnsi="Calibri" w:cs="Calibri"/>
                <w:b/>
                <w:color w:val="000000"/>
                <w:sz w:val="20"/>
                <w:szCs w:val="20"/>
                <w:lang w:val="en-US"/>
              </w:rPr>
              <w:t>Ave. Return</w:t>
            </w:r>
          </w:p>
        </w:tc>
        <w:tc>
          <w:tcPr>
            <w:tcW w:w="778" w:type="dxa"/>
            <w:tcBorders>
              <w:top w:val="nil"/>
              <w:left w:val="nil"/>
              <w:bottom w:val="single" w:sz="4" w:space="0" w:color="auto"/>
              <w:right w:val="single" w:sz="4" w:space="0" w:color="auto"/>
            </w:tcBorders>
            <w:shd w:val="clear" w:color="auto" w:fill="auto"/>
            <w:noWrap/>
            <w:vAlign w:val="center"/>
            <w:hideMark/>
          </w:tcPr>
          <w:p w14:paraId="7D3A1471" w14:textId="77777777" w:rsidR="009C4712" w:rsidRPr="00511968" w:rsidRDefault="009C4712" w:rsidP="009C4712">
            <w:pPr>
              <w:jc w:val="center"/>
              <w:rPr>
                <w:rFonts w:ascii="Calibri" w:hAnsi="Calibri" w:cs="Calibri"/>
                <w:b/>
                <w:color w:val="000000"/>
                <w:sz w:val="20"/>
                <w:szCs w:val="20"/>
              </w:rPr>
            </w:pPr>
            <w:r w:rsidRPr="00511968">
              <w:rPr>
                <w:rFonts w:ascii="Calibri" w:hAnsi="Calibri" w:cs="Calibri"/>
                <w:b/>
                <w:color w:val="000000"/>
                <w:sz w:val="20"/>
                <w:szCs w:val="20"/>
                <w:lang w:val="en-US"/>
              </w:rPr>
              <w:t>SD</w:t>
            </w:r>
          </w:p>
        </w:tc>
        <w:tc>
          <w:tcPr>
            <w:tcW w:w="770" w:type="dxa"/>
            <w:tcBorders>
              <w:top w:val="nil"/>
              <w:left w:val="nil"/>
              <w:bottom w:val="single" w:sz="4" w:space="0" w:color="auto"/>
              <w:right w:val="single" w:sz="4" w:space="0" w:color="auto"/>
            </w:tcBorders>
            <w:shd w:val="clear" w:color="auto" w:fill="auto"/>
            <w:noWrap/>
            <w:vAlign w:val="center"/>
            <w:hideMark/>
          </w:tcPr>
          <w:p w14:paraId="382F3F8B" w14:textId="77777777" w:rsidR="009C4712" w:rsidRPr="00511968" w:rsidRDefault="009C4712" w:rsidP="009C4712">
            <w:pPr>
              <w:jc w:val="center"/>
              <w:rPr>
                <w:rFonts w:ascii="Calibri" w:hAnsi="Calibri" w:cs="Calibri"/>
                <w:b/>
                <w:color w:val="000000"/>
                <w:sz w:val="20"/>
                <w:szCs w:val="20"/>
              </w:rPr>
            </w:pPr>
            <w:r w:rsidRPr="00511968">
              <w:rPr>
                <w:rFonts w:ascii="Calibri" w:hAnsi="Calibri" w:cs="Calibri"/>
                <w:b/>
                <w:color w:val="000000"/>
                <w:sz w:val="20"/>
                <w:szCs w:val="20"/>
                <w:lang w:val="en-US"/>
              </w:rPr>
              <w:t>CAGR</w:t>
            </w:r>
          </w:p>
        </w:tc>
        <w:tc>
          <w:tcPr>
            <w:tcW w:w="1165" w:type="dxa"/>
            <w:tcBorders>
              <w:top w:val="nil"/>
              <w:left w:val="nil"/>
              <w:bottom w:val="single" w:sz="4" w:space="0" w:color="auto"/>
              <w:right w:val="single" w:sz="4" w:space="0" w:color="auto"/>
            </w:tcBorders>
            <w:shd w:val="clear" w:color="auto" w:fill="auto"/>
            <w:noWrap/>
            <w:vAlign w:val="center"/>
            <w:hideMark/>
          </w:tcPr>
          <w:p w14:paraId="07A58128" w14:textId="77777777" w:rsidR="009C4712" w:rsidRPr="00511968" w:rsidRDefault="009C4712" w:rsidP="009C4712">
            <w:pPr>
              <w:jc w:val="center"/>
              <w:rPr>
                <w:rFonts w:ascii="Calibri" w:hAnsi="Calibri" w:cs="Calibri"/>
                <w:b/>
                <w:color w:val="000000"/>
                <w:sz w:val="20"/>
                <w:szCs w:val="20"/>
              </w:rPr>
            </w:pPr>
            <w:r w:rsidRPr="00511968">
              <w:rPr>
                <w:rFonts w:ascii="Calibri" w:hAnsi="Calibri" w:cs="Calibri"/>
                <w:b/>
                <w:color w:val="000000"/>
                <w:sz w:val="20"/>
                <w:szCs w:val="20"/>
                <w:lang w:val="en-US"/>
              </w:rPr>
              <w:t>Ave. Return</w:t>
            </w:r>
          </w:p>
        </w:tc>
        <w:tc>
          <w:tcPr>
            <w:tcW w:w="852" w:type="dxa"/>
            <w:tcBorders>
              <w:top w:val="nil"/>
              <w:left w:val="nil"/>
              <w:bottom w:val="single" w:sz="4" w:space="0" w:color="auto"/>
              <w:right w:val="single" w:sz="4" w:space="0" w:color="auto"/>
            </w:tcBorders>
            <w:shd w:val="clear" w:color="auto" w:fill="auto"/>
            <w:noWrap/>
            <w:vAlign w:val="center"/>
            <w:hideMark/>
          </w:tcPr>
          <w:p w14:paraId="73587DD8" w14:textId="77777777" w:rsidR="009C4712" w:rsidRPr="00511968" w:rsidRDefault="009C4712" w:rsidP="009C4712">
            <w:pPr>
              <w:jc w:val="center"/>
              <w:rPr>
                <w:rFonts w:ascii="Calibri" w:hAnsi="Calibri" w:cs="Calibri"/>
                <w:b/>
                <w:color w:val="000000"/>
                <w:sz w:val="20"/>
                <w:szCs w:val="20"/>
              </w:rPr>
            </w:pPr>
            <w:r w:rsidRPr="00511968">
              <w:rPr>
                <w:rFonts w:ascii="Calibri" w:hAnsi="Calibri" w:cs="Calibri"/>
                <w:b/>
                <w:color w:val="000000"/>
                <w:sz w:val="20"/>
                <w:szCs w:val="20"/>
                <w:lang w:val="en-US"/>
              </w:rPr>
              <w:t>SD</w:t>
            </w:r>
          </w:p>
        </w:tc>
        <w:tc>
          <w:tcPr>
            <w:tcW w:w="869" w:type="dxa"/>
            <w:tcBorders>
              <w:top w:val="nil"/>
              <w:left w:val="nil"/>
              <w:bottom w:val="single" w:sz="4" w:space="0" w:color="auto"/>
              <w:right w:val="single" w:sz="4" w:space="0" w:color="auto"/>
            </w:tcBorders>
            <w:shd w:val="clear" w:color="auto" w:fill="auto"/>
            <w:noWrap/>
            <w:vAlign w:val="center"/>
            <w:hideMark/>
          </w:tcPr>
          <w:p w14:paraId="24E0CF04" w14:textId="77777777" w:rsidR="009C4712" w:rsidRPr="00511968" w:rsidRDefault="009C4712" w:rsidP="009C4712">
            <w:pPr>
              <w:jc w:val="center"/>
              <w:rPr>
                <w:rFonts w:ascii="Calibri" w:hAnsi="Calibri" w:cs="Calibri"/>
                <w:b/>
                <w:color w:val="000000"/>
                <w:sz w:val="20"/>
                <w:szCs w:val="20"/>
              </w:rPr>
            </w:pPr>
            <w:r w:rsidRPr="00511968">
              <w:rPr>
                <w:rFonts w:ascii="Calibri" w:hAnsi="Calibri" w:cs="Calibri"/>
                <w:b/>
                <w:color w:val="000000"/>
                <w:sz w:val="20"/>
                <w:szCs w:val="20"/>
                <w:lang w:val="en-US"/>
              </w:rPr>
              <w:t>CAGR</w:t>
            </w:r>
          </w:p>
        </w:tc>
        <w:tc>
          <w:tcPr>
            <w:tcW w:w="858" w:type="dxa"/>
            <w:vMerge/>
            <w:tcBorders>
              <w:top w:val="nil"/>
              <w:left w:val="single" w:sz="4" w:space="0" w:color="auto"/>
              <w:bottom w:val="single" w:sz="4" w:space="0" w:color="auto"/>
              <w:right w:val="single" w:sz="4" w:space="0" w:color="auto"/>
            </w:tcBorders>
            <w:vAlign w:val="center"/>
            <w:hideMark/>
          </w:tcPr>
          <w:p w14:paraId="5F72968E" w14:textId="77777777" w:rsidR="009C4712" w:rsidRPr="009C4712" w:rsidRDefault="009C4712" w:rsidP="009C4712">
            <w:pPr>
              <w:jc w:val="center"/>
              <w:rPr>
                <w:rFonts w:ascii="Calibri" w:hAnsi="Calibri" w:cs="Calibri"/>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14:paraId="4A06B813" w14:textId="77777777" w:rsidR="009C4712" w:rsidRPr="009C4712" w:rsidRDefault="009C4712" w:rsidP="009C4712">
            <w:pPr>
              <w:jc w:val="center"/>
              <w:rPr>
                <w:rFonts w:ascii="Calibri" w:hAnsi="Calibri" w:cs="Calibri"/>
                <w:color w:val="000000"/>
                <w:sz w:val="20"/>
                <w:szCs w:val="20"/>
              </w:rPr>
            </w:pPr>
          </w:p>
        </w:tc>
      </w:tr>
      <w:tr w:rsidR="009C4712" w:rsidRPr="009C4712" w14:paraId="1791B216" w14:textId="77777777" w:rsidTr="009C4712">
        <w:trPr>
          <w:trHeight w:val="320"/>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248C487C" w14:textId="77777777" w:rsidR="009C4712" w:rsidRPr="00511968" w:rsidRDefault="009C4712" w:rsidP="009C4712">
            <w:pPr>
              <w:jc w:val="center"/>
              <w:rPr>
                <w:rFonts w:ascii="Calibri" w:hAnsi="Calibri" w:cs="Calibri"/>
                <w:b/>
                <w:color w:val="000000"/>
                <w:sz w:val="22"/>
                <w:szCs w:val="20"/>
              </w:rPr>
            </w:pPr>
            <w:r w:rsidRPr="00511968">
              <w:rPr>
                <w:rFonts w:ascii="Calibri" w:hAnsi="Calibri" w:cs="Calibri"/>
                <w:b/>
                <w:color w:val="000000"/>
                <w:sz w:val="22"/>
                <w:szCs w:val="20"/>
              </w:rPr>
              <w:t>Reliance Industries</w:t>
            </w:r>
          </w:p>
        </w:tc>
        <w:tc>
          <w:tcPr>
            <w:tcW w:w="1097" w:type="dxa"/>
            <w:tcBorders>
              <w:top w:val="nil"/>
              <w:left w:val="nil"/>
              <w:bottom w:val="single" w:sz="4" w:space="0" w:color="auto"/>
              <w:right w:val="single" w:sz="4" w:space="0" w:color="auto"/>
            </w:tcBorders>
            <w:shd w:val="clear" w:color="auto" w:fill="auto"/>
            <w:noWrap/>
            <w:vAlign w:val="center"/>
            <w:hideMark/>
          </w:tcPr>
          <w:p w14:paraId="34C59397"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0.08%</w:t>
            </w:r>
          </w:p>
        </w:tc>
        <w:tc>
          <w:tcPr>
            <w:tcW w:w="778" w:type="dxa"/>
            <w:tcBorders>
              <w:top w:val="nil"/>
              <w:left w:val="nil"/>
              <w:bottom w:val="single" w:sz="4" w:space="0" w:color="auto"/>
              <w:right w:val="single" w:sz="4" w:space="0" w:color="auto"/>
            </w:tcBorders>
            <w:shd w:val="clear" w:color="auto" w:fill="auto"/>
            <w:noWrap/>
            <w:vAlign w:val="center"/>
            <w:hideMark/>
          </w:tcPr>
          <w:p w14:paraId="1ABBD9D4"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1.11%</w:t>
            </w:r>
          </w:p>
        </w:tc>
        <w:tc>
          <w:tcPr>
            <w:tcW w:w="770" w:type="dxa"/>
            <w:tcBorders>
              <w:top w:val="nil"/>
              <w:left w:val="nil"/>
              <w:bottom w:val="single" w:sz="4" w:space="0" w:color="auto"/>
              <w:right w:val="single" w:sz="4" w:space="0" w:color="auto"/>
            </w:tcBorders>
            <w:shd w:val="clear" w:color="auto" w:fill="auto"/>
            <w:noWrap/>
            <w:vAlign w:val="center"/>
            <w:hideMark/>
          </w:tcPr>
          <w:p w14:paraId="33A068EB"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0.07%</w:t>
            </w:r>
          </w:p>
        </w:tc>
        <w:tc>
          <w:tcPr>
            <w:tcW w:w="1165" w:type="dxa"/>
            <w:tcBorders>
              <w:top w:val="nil"/>
              <w:left w:val="nil"/>
              <w:bottom w:val="single" w:sz="4" w:space="0" w:color="auto"/>
              <w:right w:val="single" w:sz="4" w:space="0" w:color="auto"/>
            </w:tcBorders>
            <w:shd w:val="clear" w:color="auto" w:fill="auto"/>
            <w:noWrap/>
            <w:vAlign w:val="center"/>
            <w:hideMark/>
          </w:tcPr>
          <w:p w14:paraId="2BE5BD1D"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-0.37%</w:t>
            </w:r>
          </w:p>
        </w:tc>
        <w:tc>
          <w:tcPr>
            <w:tcW w:w="852" w:type="dxa"/>
            <w:tcBorders>
              <w:top w:val="nil"/>
              <w:left w:val="nil"/>
              <w:bottom w:val="single" w:sz="4" w:space="0" w:color="auto"/>
              <w:right w:val="single" w:sz="4" w:space="0" w:color="auto"/>
            </w:tcBorders>
            <w:shd w:val="clear" w:color="auto" w:fill="auto"/>
            <w:noWrap/>
            <w:vAlign w:val="center"/>
            <w:hideMark/>
          </w:tcPr>
          <w:p w14:paraId="2794CECA"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2.16%</w:t>
            </w:r>
          </w:p>
        </w:tc>
        <w:tc>
          <w:tcPr>
            <w:tcW w:w="869" w:type="dxa"/>
            <w:tcBorders>
              <w:top w:val="nil"/>
              <w:left w:val="nil"/>
              <w:bottom w:val="single" w:sz="4" w:space="0" w:color="auto"/>
              <w:right w:val="single" w:sz="4" w:space="0" w:color="auto"/>
            </w:tcBorders>
            <w:shd w:val="clear" w:color="auto" w:fill="auto"/>
            <w:noWrap/>
            <w:vAlign w:val="center"/>
            <w:hideMark/>
          </w:tcPr>
          <w:p w14:paraId="12CDD947"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-0.38%</w:t>
            </w:r>
          </w:p>
        </w:tc>
        <w:tc>
          <w:tcPr>
            <w:tcW w:w="858" w:type="dxa"/>
            <w:tcBorders>
              <w:top w:val="nil"/>
              <w:left w:val="nil"/>
              <w:bottom w:val="single" w:sz="4" w:space="0" w:color="auto"/>
              <w:right w:val="single" w:sz="4" w:space="0" w:color="auto"/>
            </w:tcBorders>
            <w:shd w:val="clear" w:color="auto" w:fill="auto"/>
            <w:noWrap/>
            <w:vAlign w:val="center"/>
            <w:hideMark/>
          </w:tcPr>
          <w:p w14:paraId="7E152D9D"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0.0287</w:t>
            </w:r>
          </w:p>
        </w:tc>
        <w:tc>
          <w:tcPr>
            <w:tcW w:w="1233" w:type="dxa"/>
            <w:tcBorders>
              <w:top w:val="nil"/>
              <w:left w:val="nil"/>
              <w:bottom w:val="single" w:sz="4" w:space="0" w:color="auto"/>
              <w:right w:val="single" w:sz="4" w:space="0" w:color="auto"/>
            </w:tcBorders>
            <w:shd w:val="clear" w:color="auto" w:fill="auto"/>
            <w:noWrap/>
            <w:vAlign w:val="center"/>
            <w:hideMark/>
          </w:tcPr>
          <w:p w14:paraId="0D83E26A" w14:textId="77777777" w:rsidR="009C4712" w:rsidRPr="00511968" w:rsidRDefault="009C4712" w:rsidP="009C4712">
            <w:pPr>
              <w:jc w:val="center"/>
              <w:rPr>
                <w:rFonts w:ascii="Calibri" w:hAnsi="Calibri" w:cs="Calibri"/>
                <w:b/>
                <w:color w:val="000000"/>
                <w:sz w:val="20"/>
                <w:szCs w:val="20"/>
              </w:rPr>
            </w:pPr>
            <w:r w:rsidRPr="00511968">
              <w:rPr>
                <w:rFonts w:ascii="Calibri" w:hAnsi="Calibri" w:cs="Calibri"/>
                <w:b/>
                <w:color w:val="000000"/>
                <w:sz w:val="20"/>
                <w:szCs w:val="20"/>
              </w:rPr>
              <w:t>Significant</w:t>
            </w:r>
          </w:p>
        </w:tc>
      </w:tr>
      <w:tr w:rsidR="009C4712" w:rsidRPr="009C4712" w14:paraId="3CAE695E" w14:textId="77777777" w:rsidTr="009C4712">
        <w:trPr>
          <w:trHeight w:val="320"/>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4B69A499" w14:textId="77777777" w:rsidR="009C4712" w:rsidRPr="00511968" w:rsidRDefault="009C4712" w:rsidP="009C4712">
            <w:pPr>
              <w:jc w:val="center"/>
              <w:rPr>
                <w:rFonts w:ascii="Calibri" w:hAnsi="Calibri" w:cs="Calibri"/>
                <w:b/>
                <w:color w:val="000000"/>
                <w:sz w:val="22"/>
                <w:szCs w:val="20"/>
              </w:rPr>
            </w:pPr>
            <w:r w:rsidRPr="00511968">
              <w:rPr>
                <w:rFonts w:ascii="Calibri" w:hAnsi="Calibri" w:cs="Calibri"/>
                <w:b/>
                <w:color w:val="000000"/>
                <w:sz w:val="22"/>
                <w:szCs w:val="20"/>
              </w:rPr>
              <w:t>Tata Group</w:t>
            </w:r>
          </w:p>
        </w:tc>
        <w:tc>
          <w:tcPr>
            <w:tcW w:w="1097" w:type="dxa"/>
            <w:tcBorders>
              <w:top w:val="nil"/>
              <w:left w:val="nil"/>
              <w:bottom w:val="single" w:sz="4" w:space="0" w:color="auto"/>
              <w:right w:val="single" w:sz="4" w:space="0" w:color="auto"/>
            </w:tcBorders>
            <w:shd w:val="clear" w:color="auto" w:fill="auto"/>
            <w:noWrap/>
            <w:vAlign w:val="center"/>
            <w:hideMark/>
          </w:tcPr>
          <w:p w14:paraId="2EDC5AAC"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-0.05%</w:t>
            </w:r>
          </w:p>
        </w:tc>
        <w:tc>
          <w:tcPr>
            <w:tcW w:w="778" w:type="dxa"/>
            <w:tcBorders>
              <w:top w:val="nil"/>
              <w:left w:val="nil"/>
              <w:bottom w:val="single" w:sz="4" w:space="0" w:color="auto"/>
              <w:right w:val="single" w:sz="4" w:space="0" w:color="auto"/>
            </w:tcBorders>
            <w:shd w:val="clear" w:color="auto" w:fill="auto"/>
            <w:noWrap/>
            <w:vAlign w:val="center"/>
            <w:hideMark/>
          </w:tcPr>
          <w:p w14:paraId="568F5133"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0.95%</w:t>
            </w:r>
          </w:p>
        </w:tc>
        <w:tc>
          <w:tcPr>
            <w:tcW w:w="770" w:type="dxa"/>
            <w:tcBorders>
              <w:top w:val="nil"/>
              <w:left w:val="nil"/>
              <w:bottom w:val="single" w:sz="4" w:space="0" w:color="auto"/>
              <w:right w:val="single" w:sz="4" w:space="0" w:color="auto"/>
            </w:tcBorders>
            <w:shd w:val="clear" w:color="auto" w:fill="auto"/>
            <w:noWrap/>
            <w:vAlign w:val="center"/>
            <w:hideMark/>
          </w:tcPr>
          <w:p w14:paraId="532AEDC3"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-0.05%</w:t>
            </w:r>
          </w:p>
        </w:tc>
        <w:tc>
          <w:tcPr>
            <w:tcW w:w="1165" w:type="dxa"/>
            <w:tcBorders>
              <w:top w:val="nil"/>
              <w:left w:val="nil"/>
              <w:bottom w:val="single" w:sz="4" w:space="0" w:color="auto"/>
              <w:right w:val="single" w:sz="4" w:space="0" w:color="auto"/>
            </w:tcBorders>
            <w:shd w:val="clear" w:color="auto" w:fill="auto"/>
            <w:noWrap/>
            <w:vAlign w:val="center"/>
            <w:hideMark/>
          </w:tcPr>
          <w:p w14:paraId="30F042AF"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0.14%</w:t>
            </w:r>
          </w:p>
        </w:tc>
        <w:tc>
          <w:tcPr>
            <w:tcW w:w="852" w:type="dxa"/>
            <w:tcBorders>
              <w:top w:val="nil"/>
              <w:left w:val="nil"/>
              <w:bottom w:val="single" w:sz="4" w:space="0" w:color="auto"/>
              <w:right w:val="single" w:sz="4" w:space="0" w:color="auto"/>
            </w:tcBorders>
            <w:shd w:val="clear" w:color="auto" w:fill="auto"/>
            <w:noWrap/>
            <w:vAlign w:val="center"/>
            <w:hideMark/>
          </w:tcPr>
          <w:p w14:paraId="0C3AFC2F"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1.09%</w:t>
            </w:r>
          </w:p>
        </w:tc>
        <w:tc>
          <w:tcPr>
            <w:tcW w:w="869" w:type="dxa"/>
            <w:tcBorders>
              <w:top w:val="nil"/>
              <w:left w:val="nil"/>
              <w:bottom w:val="single" w:sz="4" w:space="0" w:color="auto"/>
              <w:right w:val="single" w:sz="4" w:space="0" w:color="auto"/>
            </w:tcBorders>
            <w:shd w:val="clear" w:color="auto" w:fill="auto"/>
            <w:noWrap/>
            <w:vAlign w:val="center"/>
            <w:hideMark/>
          </w:tcPr>
          <w:p w14:paraId="4DE94AED"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0.13%</w:t>
            </w:r>
          </w:p>
        </w:tc>
        <w:tc>
          <w:tcPr>
            <w:tcW w:w="858" w:type="dxa"/>
            <w:tcBorders>
              <w:top w:val="nil"/>
              <w:left w:val="nil"/>
              <w:bottom w:val="single" w:sz="4" w:space="0" w:color="auto"/>
              <w:right w:val="single" w:sz="4" w:space="0" w:color="auto"/>
            </w:tcBorders>
            <w:shd w:val="clear" w:color="auto" w:fill="auto"/>
            <w:noWrap/>
            <w:vAlign w:val="center"/>
            <w:hideMark/>
          </w:tcPr>
          <w:p w14:paraId="09EC3440"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0.0051</w:t>
            </w:r>
          </w:p>
        </w:tc>
        <w:tc>
          <w:tcPr>
            <w:tcW w:w="1233" w:type="dxa"/>
            <w:tcBorders>
              <w:top w:val="nil"/>
              <w:left w:val="nil"/>
              <w:bottom w:val="single" w:sz="4" w:space="0" w:color="auto"/>
              <w:right w:val="single" w:sz="4" w:space="0" w:color="auto"/>
            </w:tcBorders>
            <w:shd w:val="clear" w:color="auto" w:fill="auto"/>
            <w:noWrap/>
            <w:vAlign w:val="center"/>
            <w:hideMark/>
          </w:tcPr>
          <w:p w14:paraId="459D4009" w14:textId="77777777" w:rsidR="009C4712" w:rsidRPr="00511968" w:rsidRDefault="009C4712" w:rsidP="009C4712">
            <w:pPr>
              <w:jc w:val="center"/>
              <w:rPr>
                <w:rFonts w:ascii="Calibri" w:hAnsi="Calibri" w:cs="Calibri"/>
                <w:b/>
                <w:color w:val="000000"/>
                <w:sz w:val="20"/>
                <w:szCs w:val="20"/>
              </w:rPr>
            </w:pPr>
            <w:r w:rsidRPr="00511968">
              <w:rPr>
                <w:rFonts w:ascii="Calibri" w:hAnsi="Calibri" w:cs="Calibri"/>
                <w:b/>
                <w:color w:val="000000"/>
                <w:sz w:val="20"/>
                <w:szCs w:val="20"/>
              </w:rPr>
              <w:t>Significant</w:t>
            </w:r>
          </w:p>
        </w:tc>
      </w:tr>
      <w:tr w:rsidR="009C4712" w:rsidRPr="009C4712" w14:paraId="288DB64E" w14:textId="77777777" w:rsidTr="00511968">
        <w:trPr>
          <w:trHeight w:val="557"/>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0A0D1BA9" w14:textId="77777777" w:rsidR="009C4712" w:rsidRPr="00511968" w:rsidRDefault="009C4712" w:rsidP="009C4712">
            <w:pPr>
              <w:jc w:val="center"/>
              <w:rPr>
                <w:rFonts w:ascii="Calibri" w:hAnsi="Calibri" w:cs="Calibri"/>
                <w:b/>
                <w:color w:val="000000"/>
                <w:sz w:val="22"/>
                <w:szCs w:val="20"/>
              </w:rPr>
            </w:pPr>
            <w:r w:rsidRPr="00511968">
              <w:rPr>
                <w:rFonts w:ascii="Calibri" w:hAnsi="Calibri" w:cs="Calibri"/>
                <w:b/>
                <w:color w:val="000000"/>
                <w:sz w:val="22"/>
                <w:szCs w:val="20"/>
              </w:rPr>
              <w:t>Wipro</w:t>
            </w:r>
          </w:p>
        </w:tc>
        <w:tc>
          <w:tcPr>
            <w:tcW w:w="1097" w:type="dxa"/>
            <w:tcBorders>
              <w:top w:val="nil"/>
              <w:left w:val="nil"/>
              <w:bottom w:val="single" w:sz="4" w:space="0" w:color="auto"/>
              <w:right w:val="single" w:sz="4" w:space="0" w:color="auto"/>
            </w:tcBorders>
            <w:shd w:val="clear" w:color="auto" w:fill="auto"/>
            <w:noWrap/>
            <w:vAlign w:val="center"/>
            <w:hideMark/>
          </w:tcPr>
          <w:p w14:paraId="33EAD413"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0.11%</w:t>
            </w:r>
          </w:p>
        </w:tc>
        <w:tc>
          <w:tcPr>
            <w:tcW w:w="778" w:type="dxa"/>
            <w:tcBorders>
              <w:top w:val="nil"/>
              <w:left w:val="nil"/>
              <w:bottom w:val="single" w:sz="4" w:space="0" w:color="auto"/>
              <w:right w:val="single" w:sz="4" w:space="0" w:color="auto"/>
            </w:tcBorders>
            <w:shd w:val="clear" w:color="auto" w:fill="auto"/>
            <w:noWrap/>
            <w:vAlign w:val="center"/>
            <w:hideMark/>
          </w:tcPr>
          <w:p w14:paraId="52D6A0C9"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1.57%</w:t>
            </w:r>
          </w:p>
        </w:tc>
        <w:tc>
          <w:tcPr>
            <w:tcW w:w="770" w:type="dxa"/>
            <w:tcBorders>
              <w:top w:val="nil"/>
              <w:left w:val="nil"/>
              <w:bottom w:val="single" w:sz="4" w:space="0" w:color="auto"/>
              <w:right w:val="single" w:sz="4" w:space="0" w:color="auto"/>
            </w:tcBorders>
            <w:shd w:val="clear" w:color="auto" w:fill="auto"/>
            <w:noWrap/>
            <w:vAlign w:val="center"/>
            <w:hideMark/>
          </w:tcPr>
          <w:p w14:paraId="0EE32E97"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0.09%</w:t>
            </w:r>
          </w:p>
        </w:tc>
        <w:tc>
          <w:tcPr>
            <w:tcW w:w="1165" w:type="dxa"/>
            <w:tcBorders>
              <w:top w:val="nil"/>
              <w:left w:val="nil"/>
              <w:bottom w:val="single" w:sz="4" w:space="0" w:color="auto"/>
              <w:right w:val="single" w:sz="4" w:space="0" w:color="auto"/>
            </w:tcBorders>
            <w:shd w:val="clear" w:color="auto" w:fill="auto"/>
            <w:noWrap/>
            <w:vAlign w:val="center"/>
            <w:hideMark/>
          </w:tcPr>
          <w:p w14:paraId="3C7F1C17"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0.37%</w:t>
            </w:r>
          </w:p>
        </w:tc>
        <w:tc>
          <w:tcPr>
            <w:tcW w:w="852" w:type="dxa"/>
            <w:tcBorders>
              <w:top w:val="nil"/>
              <w:left w:val="nil"/>
              <w:bottom w:val="single" w:sz="4" w:space="0" w:color="auto"/>
              <w:right w:val="single" w:sz="4" w:space="0" w:color="auto"/>
            </w:tcBorders>
            <w:shd w:val="clear" w:color="auto" w:fill="auto"/>
            <w:noWrap/>
            <w:vAlign w:val="center"/>
            <w:hideMark/>
          </w:tcPr>
          <w:p w14:paraId="736571E6"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2.69%</w:t>
            </w:r>
          </w:p>
        </w:tc>
        <w:tc>
          <w:tcPr>
            <w:tcW w:w="869" w:type="dxa"/>
            <w:tcBorders>
              <w:top w:val="nil"/>
              <w:left w:val="nil"/>
              <w:bottom w:val="single" w:sz="4" w:space="0" w:color="auto"/>
              <w:right w:val="single" w:sz="4" w:space="0" w:color="auto"/>
            </w:tcBorders>
            <w:shd w:val="clear" w:color="auto" w:fill="auto"/>
            <w:noWrap/>
            <w:vAlign w:val="center"/>
            <w:hideMark/>
          </w:tcPr>
          <w:p w14:paraId="15CF72B4"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0.30%</w:t>
            </w:r>
          </w:p>
        </w:tc>
        <w:tc>
          <w:tcPr>
            <w:tcW w:w="858" w:type="dxa"/>
            <w:tcBorders>
              <w:top w:val="nil"/>
              <w:left w:val="nil"/>
              <w:bottom w:val="single" w:sz="4" w:space="0" w:color="auto"/>
              <w:right w:val="single" w:sz="4" w:space="0" w:color="auto"/>
            </w:tcBorders>
            <w:shd w:val="clear" w:color="auto" w:fill="auto"/>
            <w:noWrap/>
            <w:vAlign w:val="center"/>
            <w:hideMark/>
          </w:tcPr>
          <w:p w14:paraId="52701777"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0.0239</w:t>
            </w:r>
          </w:p>
        </w:tc>
        <w:tc>
          <w:tcPr>
            <w:tcW w:w="1233" w:type="dxa"/>
            <w:tcBorders>
              <w:top w:val="nil"/>
              <w:left w:val="nil"/>
              <w:bottom w:val="single" w:sz="4" w:space="0" w:color="auto"/>
              <w:right w:val="single" w:sz="4" w:space="0" w:color="auto"/>
            </w:tcBorders>
            <w:shd w:val="clear" w:color="auto" w:fill="auto"/>
            <w:noWrap/>
            <w:vAlign w:val="center"/>
            <w:hideMark/>
          </w:tcPr>
          <w:p w14:paraId="31411349" w14:textId="77777777" w:rsidR="009C4712" w:rsidRPr="00511968" w:rsidRDefault="009C4712" w:rsidP="009C4712">
            <w:pPr>
              <w:jc w:val="center"/>
              <w:rPr>
                <w:rFonts w:ascii="Calibri" w:hAnsi="Calibri" w:cs="Calibri"/>
                <w:b/>
                <w:color w:val="000000"/>
                <w:sz w:val="20"/>
                <w:szCs w:val="20"/>
              </w:rPr>
            </w:pPr>
            <w:r w:rsidRPr="00511968">
              <w:rPr>
                <w:rFonts w:ascii="Calibri" w:hAnsi="Calibri" w:cs="Calibri"/>
                <w:b/>
                <w:color w:val="000000"/>
                <w:sz w:val="20"/>
                <w:szCs w:val="20"/>
              </w:rPr>
              <w:t>Significant</w:t>
            </w:r>
          </w:p>
        </w:tc>
      </w:tr>
      <w:tr w:rsidR="009C4712" w:rsidRPr="009C4712" w14:paraId="088523C3" w14:textId="77777777" w:rsidTr="00511968">
        <w:trPr>
          <w:trHeight w:val="530"/>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5F979F8E" w14:textId="440A2103" w:rsidR="009C4712" w:rsidRPr="00511968" w:rsidRDefault="009C4712" w:rsidP="009C4712">
            <w:pPr>
              <w:jc w:val="center"/>
              <w:rPr>
                <w:rFonts w:ascii="Calibri" w:hAnsi="Calibri" w:cs="Calibri"/>
                <w:b/>
                <w:color w:val="000000"/>
                <w:sz w:val="22"/>
                <w:szCs w:val="20"/>
              </w:rPr>
            </w:pPr>
            <w:r w:rsidRPr="00511968">
              <w:rPr>
                <w:rFonts w:ascii="Calibri" w:hAnsi="Calibri" w:cs="Calibri"/>
                <w:b/>
                <w:color w:val="000000"/>
                <w:sz w:val="22"/>
                <w:szCs w:val="20"/>
                <w:lang w:val="en-US"/>
              </w:rPr>
              <w:t>Adani Ports</w:t>
            </w:r>
          </w:p>
        </w:tc>
        <w:tc>
          <w:tcPr>
            <w:tcW w:w="1097" w:type="dxa"/>
            <w:tcBorders>
              <w:top w:val="nil"/>
              <w:left w:val="nil"/>
              <w:bottom w:val="single" w:sz="4" w:space="0" w:color="auto"/>
              <w:right w:val="single" w:sz="4" w:space="0" w:color="auto"/>
            </w:tcBorders>
            <w:shd w:val="clear" w:color="auto" w:fill="auto"/>
            <w:noWrap/>
            <w:vAlign w:val="center"/>
            <w:hideMark/>
          </w:tcPr>
          <w:p w14:paraId="56D106E4"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0.68%</w:t>
            </w:r>
          </w:p>
        </w:tc>
        <w:tc>
          <w:tcPr>
            <w:tcW w:w="778" w:type="dxa"/>
            <w:tcBorders>
              <w:top w:val="nil"/>
              <w:left w:val="nil"/>
              <w:bottom w:val="single" w:sz="4" w:space="0" w:color="auto"/>
              <w:right w:val="single" w:sz="4" w:space="0" w:color="auto"/>
            </w:tcBorders>
            <w:shd w:val="clear" w:color="auto" w:fill="auto"/>
            <w:noWrap/>
            <w:vAlign w:val="center"/>
            <w:hideMark/>
          </w:tcPr>
          <w:p w14:paraId="2C023FC8"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2.28%</w:t>
            </w:r>
          </w:p>
        </w:tc>
        <w:tc>
          <w:tcPr>
            <w:tcW w:w="770" w:type="dxa"/>
            <w:tcBorders>
              <w:top w:val="nil"/>
              <w:left w:val="nil"/>
              <w:bottom w:val="single" w:sz="4" w:space="0" w:color="auto"/>
              <w:right w:val="single" w:sz="4" w:space="0" w:color="auto"/>
            </w:tcBorders>
            <w:shd w:val="clear" w:color="auto" w:fill="auto"/>
            <w:noWrap/>
            <w:vAlign w:val="center"/>
            <w:hideMark/>
          </w:tcPr>
          <w:p w14:paraId="6D55A529"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0.63%</w:t>
            </w:r>
          </w:p>
        </w:tc>
        <w:tc>
          <w:tcPr>
            <w:tcW w:w="1165" w:type="dxa"/>
            <w:tcBorders>
              <w:top w:val="nil"/>
              <w:left w:val="nil"/>
              <w:bottom w:val="single" w:sz="4" w:space="0" w:color="auto"/>
              <w:right w:val="single" w:sz="4" w:space="0" w:color="auto"/>
            </w:tcBorders>
            <w:shd w:val="clear" w:color="auto" w:fill="auto"/>
            <w:noWrap/>
            <w:vAlign w:val="center"/>
            <w:hideMark/>
          </w:tcPr>
          <w:p w14:paraId="09ADF701"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0.59%</w:t>
            </w:r>
          </w:p>
        </w:tc>
        <w:tc>
          <w:tcPr>
            <w:tcW w:w="852" w:type="dxa"/>
            <w:tcBorders>
              <w:top w:val="nil"/>
              <w:left w:val="nil"/>
              <w:bottom w:val="single" w:sz="4" w:space="0" w:color="auto"/>
              <w:right w:val="single" w:sz="4" w:space="0" w:color="auto"/>
            </w:tcBorders>
            <w:shd w:val="clear" w:color="auto" w:fill="auto"/>
            <w:noWrap/>
            <w:vAlign w:val="center"/>
            <w:hideMark/>
          </w:tcPr>
          <w:p w14:paraId="71E9A46C"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2.68%</w:t>
            </w:r>
          </w:p>
        </w:tc>
        <w:tc>
          <w:tcPr>
            <w:tcW w:w="869" w:type="dxa"/>
            <w:tcBorders>
              <w:top w:val="nil"/>
              <w:left w:val="nil"/>
              <w:bottom w:val="single" w:sz="4" w:space="0" w:color="auto"/>
              <w:right w:val="single" w:sz="4" w:space="0" w:color="auto"/>
            </w:tcBorders>
            <w:shd w:val="clear" w:color="auto" w:fill="auto"/>
            <w:noWrap/>
            <w:vAlign w:val="center"/>
            <w:hideMark/>
          </w:tcPr>
          <w:p w14:paraId="2B55B2E1"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0.53%</w:t>
            </w:r>
          </w:p>
        </w:tc>
        <w:tc>
          <w:tcPr>
            <w:tcW w:w="858" w:type="dxa"/>
            <w:tcBorders>
              <w:top w:val="nil"/>
              <w:left w:val="nil"/>
              <w:bottom w:val="single" w:sz="4" w:space="0" w:color="auto"/>
              <w:right w:val="single" w:sz="4" w:space="0" w:color="auto"/>
            </w:tcBorders>
            <w:shd w:val="clear" w:color="auto" w:fill="auto"/>
            <w:noWrap/>
            <w:vAlign w:val="center"/>
            <w:hideMark/>
          </w:tcPr>
          <w:p w14:paraId="11BC2E18" w14:textId="77777777" w:rsidR="009C4712" w:rsidRPr="009C4712" w:rsidRDefault="009C4712" w:rsidP="009C4712">
            <w:pPr>
              <w:jc w:val="center"/>
              <w:rPr>
                <w:rFonts w:ascii="Calibri" w:hAnsi="Calibri" w:cs="Calibri"/>
                <w:color w:val="000000"/>
                <w:sz w:val="20"/>
                <w:szCs w:val="20"/>
              </w:rPr>
            </w:pPr>
            <w:r w:rsidRPr="009C4712">
              <w:rPr>
                <w:rFonts w:ascii="Calibri" w:hAnsi="Calibri" w:cs="Calibri"/>
                <w:color w:val="000000"/>
                <w:sz w:val="20"/>
                <w:szCs w:val="20"/>
                <w:lang w:val="en-US"/>
              </w:rPr>
              <w:t>0.0372</w:t>
            </w:r>
          </w:p>
        </w:tc>
        <w:tc>
          <w:tcPr>
            <w:tcW w:w="1233" w:type="dxa"/>
            <w:tcBorders>
              <w:top w:val="nil"/>
              <w:left w:val="nil"/>
              <w:bottom w:val="single" w:sz="4" w:space="0" w:color="auto"/>
              <w:right w:val="single" w:sz="4" w:space="0" w:color="auto"/>
            </w:tcBorders>
            <w:shd w:val="clear" w:color="auto" w:fill="auto"/>
            <w:noWrap/>
            <w:vAlign w:val="center"/>
            <w:hideMark/>
          </w:tcPr>
          <w:p w14:paraId="7B4105B6" w14:textId="77777777" w:rsidR="009C4712" w:rsidRPr="00511968" w:rsidRDefault="009C4712" w:rsidP="009C4712">
            <w:pPr>
              <w:jc w:val="center"/>
              <w:rPr>
                <w:rFonts w:ascii="Calibri" w:hAnsi="Calibri" w:cs="Calibri"/>
                <w:b/>
                <w:color w:val="000000"/>
                <w:sz w:val="20"/>
                <w:szCs w:val="20"/>
              </w:rPr>
            </w:pPr>
            <w:r w:rsidRPr="00511968">
              <w:rPr>
                <w:rFonts w:ascii="Calibri" w:hAnsi="Calibri" w:cs="Calibri"/>
                <w:b/>
                <w:color w:val="000000"/>
                <w:sz w:val="20"/>
                <w:szCs w:val="20"/>
              </w:rPr>
              <w:t>Significant</w:t>
            </w:r>
          </w:p>
        </w:tc>
      </w:tr>
    </w:tbl>
    <w:p w14:paraId="305C06D0" w14:textId="36803E7E" w:rsidR="009C4712" w:rsidRDefault="009C4712" w:rsidP="00BF3DD0"/>
    <w:p w14:paraId="694FCA2B" w14:textId="77777777" w:rsidR="001B6CC2" w:rsidRDefault="001B6CC2" w:rsidP="00F77650">
      <w:pPr>
        <w:spacing w:line="360" w:lineRule="auto"/>
        <w:jc w:val="both"/>
        <w:rPr>
          <w:b/>
          <w:bCs/>
        </w:rPr>
      </w:pPr>
    </w:p>
    <w:p w14:paraId="7D4FB82E" w14:textId="350BD1BA" w:rsidR="001B6CC2" w:rsidRPr="001F5CFA" w:rsidRDefault="001F5CFA" w:rsidP="00F77650">
      <w:pPr>
        <w:spacing w:line="360" w:lineRule="auto"/>
        <w:jc w:val="both"/>
        <w:rPr>
          <w:b/>
          <w:bCs/>
        </w:rPr>
      </w:pPr>
      <w:r>
        <w:rPr>
          <w:b/>
          <w:bCs/>
        </w:rPr>
        <w:t xml:space="preserve">VI. </w:t>
      </w:r>
      <w:r w:rsidRPr="001F5CFA">
        <w:rPr>
          <w:b/>
          <w:bCs/>
        </w:rPr>
        <w:t>FINDINGS AND DISCUSSION:</w:t>
      </w:r>
    </w:p>
    <w:p w14:paraId="7BABE9AF" w14:textId="6FCF3722" w:rsidR="00F77650" w:rsidRDefault="00F77650" w:rsidP="00F77650">
      <w:pPr>
        <w:spacing w:line="360" w:lineRule="auto"/>
        <w:jc w:val="both"/>
      </w:pPr>
      <w:r>
        <w:t>T</w:t>
      </w:r>
      <w:r w:rsidRPr="00F77650">
        <w:t xml:space="preserve">he findings of this research work demonstrate a significant transformation in the stock performance of the four different companies </w:t>
      </w:r>
      <w:r w:rsidR="00511968" w:rsidRPr="00F77650">
        <w:t>analysed</w:t>
      </w:r>
      <w:r w:rsidRPr="00F77650">
        <w:t xml:space="preserve"> before and after their investment decisions. Specifically, Reliance and Adani Ports experienced a decrease in average returns, while Tata and Wipro saw an increase. The standard deviation increased for all four companies, and the compound annual growth rate (CAGR) decreased for Reliance and Adani Ports but increased for Tata and </w:t>
      </w:r>
      <w:r w:rsidRPr="00F77650">
        <w:lastRenderedPageBreak/>
        <w:t>Wipro. The regression results indicated a strong relationship between the stock performance before and after the investment decisions for all companies. Notably, Tata and Wipro showed improved stock performance, while Reliance and Adani Ports experienced slight declines when comparing before and after their investment dates. These findings highlight the dynamic nature of stock performance and the importance of considering the impact of investment decisions on stock performance.</w:t>
      </w:r>
    </w:p>
    <w:p w14:paraId="171EDFB2" w14:textId="77777777" w:rsidR="00F77650" w:rsidRDefault="00F77650" w:rsidP="00F77650">
      <w:pPr>
        <w:spacing w:line="360" w:lineRule="auto"/>
        <w:jc w:val="both"/>
      </w:pPr>
    </w:p>
    <w:p w14:paraId="2814E9EA" w14:textId="21799AF3" w:rsidR="00F77650" w:rsidRPr="001B6CC2" w:rsidRDefault="001B6CC2" w:rsidP="00F77650">
      <w:pPr>
        <w:spacing w:line="360" w:lineRule="auto"/>
        <w:jc w:val="both"/>
        <w:rPr>
          <w:b/>
          <w:bCs/>
        </w:rPr>
      </w:pPr>
      <w:r>
        <w:rPr>
          <w:b/>
          <w:bCs/>
        </w:rPr>
        <w:t xml:space="preserve">VII. </w:t>
      </w:r>
      <w:r w:rsidR="001F5CFA" w:rsidRPr="001F5CFA">
        <w:rPr>
          <w:b/>
          <w:bCs/>
        </w:rPr>
        <w:t>CONCLUSION:</w:t>
      </w:r>
    </w:p>
    <w:p w14:paraId="098FDA86" w14:textId="03F3CBE9" w:rsidR="00F77650" w:rsidRDefault="00F77650" w:rsidP="00F77650">
      <w:pPr>
        <w:spacing w:line="360" w:lineRule="auto"/>
        <w:jc w:val="both"/>
      </w:pPr>
      <w:r>
        <w:t xml:space="preserve">The results of this research suggest that investment decisions can have a significant impact on the stock performance of companies. The differing outcomes for each company </w:t>
      </w:r>
      <w:proofErr w:type="spellStart"/>
      <w:r>
        <w:t>analyzed</w:t>
      </w:r>
      <w:proofErr w:type="spellEnd"/>
      <w:r>
        <w:t xml:space="preserve"> demonstrate the complexity of stock market dynamics and the need for careful evaluation when making investment decisions. The findings also highlight the importance of considering multiple performance metrics, such as average returns, standard deviation, and compound annual growth rate (CAGR), to gain a comprehensive understanding of the changes in stock performance. The observed increase in standard deviation for all four companies may indicate increased volatility in stock prices after the investment decisions, which could be attributed to various factors such as market conditions, industry trends, and company-specific news.</w:t>
      </w:r>
    </w:p>
    <w:p w14:paraId="6EBF06E4" w14:textId="77777777" w:rsidR="00F77650" w:rsidRDefault="00F77650" w:rsidP="00F77650">
      <w:pPr>
        <w:spacing w:line="360" w:lineRule="auto"/>
        <w:jc w:val="both"/>
      </w:pPr>
    </w:p>
    <w:p w14:paraId="72FCA0D9" w14:textId="0CBD962B" w:rsidR="00F77650" w:rsidRDefault="00F77650" w:rsidP="00F77650">
      <w:pPr>
        <w:spacing w:line="360" w:lineRule="auto"/>
        <w:jc w:val="both"/>
      </w:pPr>
      <w:r>
        <w:t>Moreover, the regression results showing a strong relationship between stock performance before and after the investment decisions suggest that past performance can be indicative of future performance. This underscores the importance of conducting thorough research and analysis before making investment decisions to better anticipate potential outcomes. It is worth noting that the transformation in stock performance observed in this research work may also be influenced by other external factors that were not accounted for, such as changes in the overall market conditions or economic environment. Therefore, further research and ongoing monitoring of stock performance are crucial to gain a comprehensive understanding of the long-term effects of investment decisions on stock performance.</w:t>
      </w:r>
    </w:p>
    <w:p w14:paraId="60B3A63B" w14:textId="77777777" w:rsidR="00F77650" w:rsidRDefault="00F77650" w:rsidP="00F77650">
      <w:pPr>
        <w:spacing w:line="360" w:lineRule="auto"/>
        <w:jc w:val="both"/>
      </w:pPr>
    </w:p>
    <w:p w14:paraId="550861F2" w14:textId="0325A626" w:rsidR="00F77650" w:rsidRDefault="00F77650" w:rsidP="00F77650">
      <w:pPr>
        <w:spacing w:line="360" w:lineRule="auto"/>
        <w:jc w:val="both"/>
      </w:pPr>
      <w:r>
        <w:t xml:space="preserve">In conclusion, the findings of this research highlight the varying impacts of investment decisions on stock performance for different companies. While Tata and Wipro experienced improved stock performance after their investment decisions, Reliance and Adani Ports showed slight declines. </w:t>
      </w:r>
      <w:r>
        <w:lastRenderedPageBreak/>
        <w:t>These findings underscore the importance of thorough research, careful evaluation, and continuous monitoring of stock performance when making investment decisions, and can provide valuable insights for investors and financial analysts alike.</w:t>
      </w:r>
    </w:p>
    <w:p w14:paraId="5663BA79" w14:textId="4AF5966A" w:rsidR="004F2A82" w:rsidRDefault="004F2A82" w:rsidP="00F77650">
      <w:pPr>
        <w:spacing w:line="360" w:lineRule="auto"/>
        <w:jc w:val="both"/>
      </w:pPr>
    </w:p>
    <w:p w14:paraId="3876E2A1" w14:textId="77777777" w:rsidR="001F5CFA" w:rsidRPr="00344FFE" w:rsidRDefault="001F5CFA" w:rsidP="001F5CFA">
      <w:pPr>
        <w:rPr>
          <w:b/>
          <w:sz w:val="28"/>
        </w:rPr>
      </w:pPr>
      <w:r w:rsidRPr="00344FFE">
        <w:rPr>
          <w:b/>
          <w:sz w:val="28"/>
        </w:rPr>
        <w:t>References:</w:t>
      </w:r>
    </w:p>
    <w:p w14:paraId="74AF71AE" w14:textId="09A91C72" w:rsidR="004F2A82" w:rsidRDefault="004F2A82" w:rsidP="00F77650">
      <w:pPr>
        <w:spacing w:line="360" w:lineRule="auto"/>
        <w:jc w:val="both"/>
      </w:pPr>
    </w:p>
    <w:p w14:paraId="351515A3" w14:textId="1A3AF413" w:rsidR="004F2A82" w:rsidRPr="001F5CFA" w:rsidRDefault="004F2A82" w:rsidP="001F5CFA">
      <w:pPr>
        <w:pStyle w:val="ListParagraph"/>
        <w:numPr>
          <w:ilvl w:val="0"/>
          <w:numId w:val="6"/>
        </w:numPr>
        <w:autoSpaceDE w:val="0"/>
        <w:autoSpaceDN w:val="0"/>
        <w:adjustRightInd w:val="0"/>
        <w:spacing w:line="360" w:lineRule="auto"/>
        <w:jc w:val="both"/>
        <w:rPr>
          <w:rFonts w:ascii="Times New Roman" w:hAnsi="Times New Roman" w:cs="Times New Roman"/>
          <w:color w:val="000000" w:themeColor="text1"/>
          <w:sz w:val="24"/>
          <w:szCs w:val="24"/>
          <w:lang w:val="en-GB"/>
        </w:rPr>
      </w:pPr>
      <w:r w:rsidRPr="001F5CFA">
        <w:rPr>
          <w:rFonts w:ascii="Times New Roman" w:hAnsi="Times New Roman" w:cs="Times New Roman"/>
          <w:color w:val="000000" w:themeColor="text1"/>
          <w:sz w:val="24"/>
          <w:szCs w:val="24"/>
          <w:lang w:val="en-GB"/>
        </w:rPr>
        <w:t xml:space="preserve">Farooq, Umar, Mosab </w:t>
      </w:r>
      <w:proofErr w:type="spellStart"/>
      <w:proofErr w:type="gramStart"/>
      <w:r w:rsidRPr="001F5CFA">
        <w:rPr>
          <w:rFonts w:ascii="Times New Roman" w:hAnsi="Times New Roman" w:cs="Times New Roman"/>
          <w:color w:val="000000" w:themeColor="text1"/>
          <w:sz w:val="24"/>
          <w:szCs w:val="24"/>
          <w:lang w:val="en-GB"/>
        </w:rPr>
        <w:t>I.Tabash</w:t>
      </w:r>
      <w:proofErr w:type="spellEnd"/>
      <w:proofErr w:type="gramEnd"/>
      <w:r w:rsidRPr="001F5CFA">
        <w:rPr>
          <w:rFonts w:ascii="Times New Roman" w:hAnsi="Times New Roman" w:cs="Times New Roman"/>
          <w:color w:val="000000" w:themeColor="text1"/>
          <w:sz w:val="24"/>
          <w:szCs w:val="24"/>
          <w:lang w:val="en-GB"/>
        </w:rPr>
        <w:t>, Ahmad A. Al-</w:t>
      </w:r>
      <w:proofErr w:type="spellStart"/>
      <w:r w:rsidRPr="001F5CFA">
        <w:rPr>
          <w:rFonts w:ascii="Times New Roman" w:hAnsi="Times New Roman" w:cs="Times New Roman"/>
          <w:color w:val="000000" w:themeColor="text1"/>
          <w:sz w:val="24"/>
          <w:szCs w:val="24"/>
          <w:lang w:val="en-GB"/>
        </w:rPr>
        <w:t>Naimi</w:t>
      </w:r>
      <w:proofErr w:type="spellEnd"/>
      <w:r w:rsidRPr="001F5CFA">
        <w:rPr>
          <w:rFonts w:ascii="Times New Roman" w:hAnsi="Times New Roman" w:cs="Times New Roman"/>
          <w:color w:val="000000" w:themeColor="text1"/>
          <w:sz w:val="24"/>
          <w:szCs w:val="24"/>
          <w:lang w:val="en-GB"/>
        </w:rPr>
        <w:t xml:space="preserve">, and Krzysztof </w:t>
      </w:r>
      <w:proofErr w:type="spellStart"/>
      <w:r w:rsidRPr="001F5CFA">
        <w:rPr>
          <w:rFonts w:ascii="Times New Roman" w:hAnsi="Times New Roman" w:cs="Times New Roman"/>
          <w:color w:val="000000" w:themeColor="text1"/>
          <w:sz w:val="24"/>
          <w:szCs w:val="24"/>
          <w:lang w:val="en-GB"/>
        </w:rPr>
        <w:t>Drachal</w:t>
      </w:r>
      <w:proofErr w:type="spellEnd"/>
      <w:r w:rsidRPr="001F5CFA">
        <w:rPr>
          <w:rFonts w:ascii="Times New Roman" w:hAnsi="Times New Roman" w:cs="Times New Roman"/>
          <w:color w:val="000000" w:themeColor="text1"/>
          <w:sz w:val="24"/>
          <w:szCs w:val="24"/>
          <w:lang w:val="en-GB"/>
        </w:rPr>
        <w:t xml:space="preserve">. 2022. Corporate Investment Decision: A Review of Literature. Journal of Risk and Financial Management 15: 611. </w:t>
      </w:r>
      <w:hyperlink r:id="rId6" w:history="1">
        <w:r w:rsidRPr="001F5CFA">
          <w:rPr>
            <w:rStyle w:val="Hyperlink"/>
            <w:rFonts w:ascii="Times New Roman" w:hAnsi="Times New Roman" w:cs="Times New Roman"/>
            <w:color w:val="000000" w:themeColor="text1"/>
            <w:sz w:val="24"/>
            <w:szCs w:val="24"/>
            <w:lang w:val="en-GB"/>
          </w:rPr>
          <w:t>https://doi.org/10.3390/jrfm15120611</w:t>
        </w:r>
      </w:hyperlink>
      <w:r w:rsidRPr="001F5CFA">
        <w:rPr>
          <w:rFonts w:ascii="Times New Roman" w:hAnsi="Times New Roman" w:cs="Times New Roman"/>
          <w:color w:val="000000" w:themeColor="text1"/>
          <w:sz w:val="24"/>
          <w:szCs w:val="24"/>
          <w:lang w:val="en-GB"/>
        </w:rPr>
        <w:t>.</w:t>
      </w:r>
    </w:p>
    <w:p w14:paraId="299411B2" w14:textId="77777777" w:rsidR="001F5CFA" w:rsidRPr="001F5CFA" w:rsidRDefault="001F5CFA" w:rsidP="001F5CFA">
      <w:pPr>
        <w:autoSpaceDE w:val="0"/>
        <w:autoSpaceDN w:val="0"/>
        <w:adjustRightInd w:val="0"/>
        <w:spacing w:line="360" w:lineRule="auto"/>
        <w:jc w:val="both"/>
        <w:rPr>
          <w:color w:val="000000" w:themeColor="text1"/>
          <w:lang w:val="en-GB"/>
        </w:rPr>
      </w:pPr>
    </w:p>
    <w:p w14:paraId="796751F3" w14:textId="226F8C3E" w:rsidR="004F2A82" w:rsidRPr="001F5CFA" w:rsidRDefault="004F2A82" w:rsidP="001F5CFA">
      <w:pPr>
        <w:pStyle w:val="ListParagraph"/>
        <w:numPr>
          <w:ilvl w:val="0"/>
          <w:numId w:val="6"/>
        </w:num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1F5CFA">
        <w:rPr>
          <w:rFonts w:ascii="Times New Roman" w:hAnsi="Times New Roman" w:cs="Times New Roman"/>
          <w:color w:val="000000" w:themeColor="text1"/>
          <w:sz w:val="24"/>
          <w:szCs w:val="24"/>
        </w:rPr>
        <w:t>Dhananjaya</w:t>
      </w:r>
      <w:proofErr w:type="spellEnd"/>
      <w:r w:rsidRPr="001F5CFA">
        <w:rPr>
          <w:rFonts w:ascii="Times New Roman" w:hAnsi="Times New Roman" w:cs="Times New Roman"/>
          <w:color w:val="000000" w:themeColor="text1"/>
          <w:sz w:val="24"/>
          <w:szCs w:val="24"/>
        </w:rPr>
        <w:t>, K.</w:t>
      </w:r>
      <w:r w:rsidRPr="001F5CFA">
        <w:rPr>
          <w:rStyle w:val="apple-converted-space"/>
          <w:rFonts w:ascii="Times New Roman" w:hAnsi="Times New Roman" w:cs="Times New Roman"/>
          <w:color w:val="000000" w:themeColor="text1"/>
          <w:sz w:val="24"/>
          <w:szCs w:val="24"/>
          <w:shd w:val="clear" w:color="auto" w:fill="FFFFFF"/>
        </w:rPr>
        <w:t> </w:t>
      </w:r>
      <w:r w:rsidRPr="001F5CFA">
        <w:rPr>
          <w:rFonts w:ascii="Times New Roman" w:hAnsi="Times New Roman" w:cs="Times New Roman"/>
          <w:color w:val="000000" w:themeColor="text1"/>
          <w:sz w:val="24"/>
          <w:szCs w:val="24"/>
          <w:shd w:val="clear" w:color="auto" w:fill="FFFFFF"/>
        </w:rPr>
        <w:t>(2023), "Market valuation and corporate investment in India",</w:t>
      </w:r>
      <w:r w:rsidRPr="001F5CFA">
        <w:rPr>
          <w:rStyle w:val="apple-converted-space"/>
          <w:rFonts w:ascii="Times New Roman" w:hAnsi="Times New Roman" w:cs="Times New Roman"/>
          <w:color w:val="000000" w:themeColor="text1"/>
          <w:sz w:val="24"/>
          <w:szCs w:val="24"/>
          <w:shd w:val="clear" w:color="auto" w:fill="FFFFFF"/>
        </w:rPr>
        <w:t> </w:t>
      </w:r>
      <w:proofErr w:type="spellStart"/>
      <w:r w:rsidRPr="001F5CFA">
        <w:rPr>
          <w:rFonts w:ascii="Times New Roman" w:hAnsi="Times New Roman" w:cs="Times New Roman"/>
          <w:color w:val="000000" w:themeColor="text1"/>
          <w:sz w:val="24"/>
          <w:szCs w:val="24"/>
        </w:rPr>
        <w:t>Vilakshan</w:t>
      </w:r>
      <w:proofErr w:type="spellEnd"/>
      <w:r w:rsidRPr="001F5CFA">
        <w:rPr>
          <w:rFonts w:ascii="Times New Roman" w:hAnsi="Times New Roman" w:cs="Times New Roman"/>
          <w:color w:val="000000" w:themeColor="text1"/>
          <w:sz w:val="24"/>
          <w:szCs w:val="24"/>
        </w:rPr>
        <w:t xml:space="preserve"> - XIMB Journal of Management</w:t>
      </w:r>
      <w:r w:rsidRPr="001F5CFA">
        <w:rPr>
          <w:rFonts w:ascii="Times New Roman" w:hAnsi="Times New Roman" w:cs="Times New Roman"/>
          <w:color w:val="000000" w:themeColor="text1"/>
          <w:sz w:val="24"/>
          <w:szCs w:val="24"/>
          <w:shd w:val="clear" w:color="auto" w:fill="FFFFFF"/>
        </w:rPr>
        <w:t>, Vol. 20 No. 1, pp. 42-58.</w:t>
      </w:r>
      <w:r w:rsidRPr="001F5CFA">
        <w:rPr>
          <w:rStyle w:val="apple-converted-space"/>
          <w:rFonts w:ascii="Times New Roman" w:hAnsi="Times New Roman" w:cs="Times New Roman"/>
          <w:color w:val="000000" w:themeColor="text1"/>
          <w:sz w:val="24"/>
          <w:szCs w:val="24"/>
          <w:shd w:val="clear" w:color="auto" w:fill="FFFFFF"/>
        </w:rPr>
        <w:t> </w:t>
      </w:r>
      <w:hyperlink r:id="rId7" w:history="1">
        <w:r w:rsidR="001F5CFA" w:rsidRPr="001F5CFA">
          <w:rPr>
            <w:rStyle w:val="Hyperlink"/>
            <w:rFonts w:ascii="Times New Roman" w:hAnsi="Times New Roman" w:cs="Times New Roman"/>
            <w:sz w:val="24"/>
            <w:szCs w:val="24"/>
          </w:rPr>
          <w:t>https://doi.org/10.1108/XJM-01-2021-0022</w:t>
        </w:r>
      </w:hyperlink>
      <w:r w:rsidRPr="001F5CFA">
        <w:rPr>
          <w:rFonts w:ascii="Times New Roman" w:hAnsi="Times New Roman" w:cs="Times New Roman"/>
          <w:color w:val="000000" w:themeColor="text1"/>
          <w:sz w:val="24"/>
          <w:szCs w:val="24"/>
        </w:rPr>
        <w:t>.</w:t>
      </w:r>
    </w:p>
    <w:p w14:paraId="763D666F" w14:textId="77777777" w:rsidR="001F5CFA" w:rsidRPr="001F5CFA" w:rsidRDefault="001F5CFA" w:rsidP="001F5CFA">
      <w:pPr>
        <w:autoSpaceDE w:val="0"/>
        <w:autoSpaceDN w:val="0"/>
        <w:adjustRightInd w:val="0"/>
        <w:spacing w:line="360" w:lineRule="auto"/>
        <w:jc w:val="both"/>
        <w:rPr>
          <w:color w:val="000000" w:themeColor="text1"/>
        </w:rPr>
      </w:pPr>
    </w:p>
    <w:p w14:paraId="5B216C16" w14:textId="500F3A25" w:rsidR="004F2A82" w:rsidRPr="001F5CFA" w:rsidRDefault="004F2A82" w:rsidP="001F5CFA">
      <w:pPr>
        <w:pStyle w:val="ListParagraph"/>
        <w:numPr>
          <w:ilvl w:val="0"/>
          <w:numId w:val="6"/>
        </w:numPr>
        <w:autoSpaceDE w:val="0"/>
        <w:autoSpaceDN w:val="0"/>
        <w:adjustRightInd w:val="0"/>
        <w:spacing w:line="360" w:lineRule="auto"/>
        <w:jc w:val="both"/>
        <w:rPr>
          <w:rFonts w:ascii="Times New Roman" w:hAnsi="Times New Roman" w:cs="Times New Roman"/>
          <w:color w:val="000000" w:themeColor="text1"/>
          <w:sz w:val="24"/>
          <w:szCs w:val="24"/>
        </w:rPr>
      </w:pPr>
      <w:r w:rsidRPr="001F5CFA">
        <w:rPr>
          <w:rFonts w:ascii="Times New Roman" w:hAnsi="Times New Roman" w:cs="Times New Roman"/>
          <w:color w:val="000000" w:themeColor="text1"/>
          <w:sz w:val="24"/>
          <w:szCs w:val="24"/>
        </w:rPr>
        <w:t xml:space="preserve">Sagar Patil, </w:t>
      </w:r>
      <w:proofErr w:type="spellStart"/>
      <w:r w:rsidRPr="001F5CFA">
        <w:rPr>
          <w:rFonts w:ascii="Times New Roman" w:hAnsi="Times New Roman" w:cs="Times New Roman"/>
          <w:color w:val="000000" w:themeColor="text1"/>
          <w:sz w:val="24"/>
          <w:szCs w:val="24"/>
        </w:rPr>
        <w:t>Virupaxi</w:t>
      </w:r>
      <w:proofErr w:type="spellEnd"/>
      <w:r w:rsidRPr="001F5CFA">
        <w:rPr>
          <w:rFonts w:ascii="Times New Roman" w:hAnsi="Times New Roman" w:cs="Times New Roman"/>
          <w:color w:val="000000" w:themeColor="text1"/>
          <w:sz w:val="24"/>
          <w:szCs w:val="24"/>
        </w:rPr>
        <w:t xml:space="preserve"> </w:t>
      </w:r>
      <w:proofErr w:type="spellStart"/>
      <w:r w:rsidRPr="001F5CFA">
        <w:rPr>
          <w:rFonts w:ascii="Times New Roman" w:hAnsi="Times New Roman" w:cs="Times New Roman"/>
          <w:color w:val="000000" w:themeColor="text1"/>
          <w:sz w:val="24"/>
          <w:szCs w:val="24"/>
        </w:rPr>
        <w:t>Bagodi</w:t>
      </w:r>
      <w:proofErr w:type="spellEnd"/>
      <w:r w:rsidRPr="001F5CFA">
        <w:rPr>
          <w:rFonts w:ascii="Times New Roman" w:hAnsi="Times New Roman" w:cs="Times New Roman"/>
          <w:color w:val="000000" w:themeColor="text1"/>
          <w:sz w:val="24"/>
          <w:szCs w:val="24"/>
        </w:rPr>
        <w:t xml:space="preserve"> (2021),“A study of factors affecting investment decisions in India: The KANO way”, Asia Pacific Management </w:t>
      </w:r>
      <w:proofErr w:type="spellStart"/>
      <w:r w:rsidRPr="001F5CFA">
        <w:rPr>
          <w:rFonts w:ascii="Times New Roman" w:hAnsi="Times New Roman" w:cs="Times New Roman"/>
          <w:color w:val="000000" w:themeColor="text1"/>
          <w:sz w:val="24"/>
          <w:szCs w:val="24"/>
        </w:rPr>
        <w:t>Review,Volume</w:t>
      </w:r>
      <w:proofErr w:type="spellEnd"/>
      <w:r w:rsidRPr="001F5CFA">
        <w:rPr>
          <w:rFonts w:ascii="Times New Roman" w:hAnsi="Times New Roman" w:cs="Times New Roman"/>
          <w:color w:val="000000" w:themeColor="text1"/>
          <w:sz w:val="24"/>
          <w:szCs w:val="24"/>
        </w:rPr>
        <w:t xml:space="preserve"> 26, Issue 4,Pages 197-214, ISSN 1029-3132, </w:t>
      </w:r>
      <w:hyperlink r:id="rId8" w:history="1">
        <w:r w:rsidR="001F5CFA" w:rsidRPr="001F5CFA">
          <w:rPr>
            <w:rStyle w:val="Hyperlink"/>
            <w:rFonts w:ascii="Times New Roman" w:hAnsi="Times New Roman" w:cs="Times New Roman"/>
            <w:sz w:val="24"/>
            <w:szCs w:val="24"/>
          </w:rPr>
          <w:t>https://doi.org/10.1016/j.apmrv.2021.02.004</w:t>
        </w:r>
      </w:hyperlink>
      <w:r w:rsidRPr="001F5CFA">
        <w:rPr>
          <w:rFonts w:ascii="Times New Roman" w:hAnsi="Times New Roman" w:cs="Times New Roman"/>
          <w:color w:val="000000" w:themeColor="text1"/>
          <w:sz w:val="24"/>
          <w:szCs w:val="24"/>
        </w:rPr>
        <w:t>.</w:t>
      </w:r>
    </w:p>
    <w:p w14:paraId="1CC5B7A8" w14:textId="77777777" w:rsidR="001F5CFA" w:rsidRPr="001F5CFA" w:rsidRDefault="001F5CFA" w:rsidP="001F5CFA">
      <w:pPr>
        <w:autoSpaceDE w:val="0"/>
        <w:autoSpaceDN w:val="0"/>
        <w:adjustRightInd w:val="0"/>
        <w:spacing w:line="360" w:lineRule="auto"/>
        <w:jc w:val="both"/>
        <w:rPr>
          <w:color w:val="000000" w:themeColor="text1"/>
        </w:rPr>
      </w:pPr>
    </w:p>
    <w:p w14:paraId="77C28687" w14:textId="060D566D" w:rsidR="004F2A82" w:rsidRPr="001F5CFA" w:rsidRDefault="004F2A82" w:rsidP="001F5CFA">
      <w:pPr>
        <w:pStyle w:val="ListParagraph"/>
        <w:numPr>
          <w:ilvl w:val="0"/>
          <w:numId w:val="6"/>
        </w:num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1F5CFA">
        <w:rPr>
          <w:rFonts w:ascii="Times New Roman" w:hAnsi="Times New Roman" w:cs="Times New Roman"/>
          <w:color w:val="000000" w:themeColor="text1"/>
          <w:sz w:val="24"/>
          <w:szCs w:val="24"/>
        </w:rPr>
        <w:t>Parmjit</w:t>
      </w:r>
      <w:proofErr w:type="spellEnd"/>
      <w:r w:rsidRPr="001F5CFA">
        <w:rPr>
          <w:rFonts w:ascii="Times New Roman" w:hAnsi="Times New Roman" w:cs="Times New Roman"/>
          <w:color w:val="000000" w:themeColor="text1"/>
          <w:sz w:val="24"/>
          <w:szCs w:val="24"/>
        </w:rPr>
        <w:t xml:space="preserve"> Kaur and Randeep Kaur (2019), Effects of Strategic Investment Decisions on Value of Firm: Evidence from India. In Paradigm (Vol. 23, Issue 1, pp. 1–19). SAGE Publications. </w:t>
      </w:r>
      <w:hyperlink r:id="rId9" w:history="1">
        <w:r w:rsidR="001F5CFA" w:rsidRPr="001F5CFA">
          <w:rPr>
            <w:rStyle w:val="Hyperlink"/>
            <w:rFonts w:ascii="Times New Roman" w:hAnsi="Times New Roman" w:cs="Times New Roman"/>
            <w:sz w:val="24"/>
            <w:szCs w:val="24"/>
          </w:rPr>
          <w:t>https://doi.org/10.1177/0971890719835442</w:t>
        </w:r>
      </w:hyperlink>
      <w:r w:rsidRPr="001F5CFA">
        <w:rPr>
          <w:rFonts w:ascii="Times New Roman" w:hAnsi="Times New Roman" w:cs="Times New Roman"/>
          <w:color w:val="000000" w:themeColor="text1"/>
          <w:sz w:val="24"/>
          <w:szCs w:val="24"/>
        </w:rPr>
        <w:t>.</w:t>
      </w:r>
    </w:p>
    <w:p w14:paraId="08DACF3D" w14:textId="77777777" w:rsidR="001F5CFA" w:rsidRPr="001F5CFA" w:rsidRDefault="001F5CFA" w:rsidP="001F5CFA">
      <w:pPr>
        <w:autoSpaceDE w:val="0"/>
        <w:autoSpaceDN w:val="0"/>
        <w:adjustRightInd w:val="0"/>
        <w:spacing w:line="360" w:lineRule="auto"/>
        <w:jc w:val="both"/>
        <w:rPr>
          <w:color w:val="000000" w:themeColor="text1"/>
        </w:rPr>
      </w:pPr>
    </w:p>
    <w:p w14:paraId="78F82D27" w14:textId="3DB8FC10" w:rsidR="004F2A82" w:rsidRPr="001F5CFA" w:rsidRDefault="004F2A82" w:rsidP="001F5CFA">
      <w:pPr>
        <w:pStyle w:val="ListParagraph"/>
        <w:numPr>
          <w:ilvl w:val="0"/>
          <w:numId w:val="6"/>
        </w:num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1F5CFA">
        <w:rPr>
          <w:rFonts w:ascii="Times New Roman" w:hAnsi="Times New Roman" w:cs="Times New Roman"/>
          <w:color w:val="000000" w:themeColor="text1"/>
          <w:sz w:val="24"/>
          <w:szCs w:val="24"/>
        </w:rPr>
        <w:t>Rengaraju</w:t>
      </w:r>
      <w:proofErr w:type="spellEnd"/>
      <w:r w:rsidRPr="001F5CFA">
        <w:rPr>
          <w:rFonts w:ascii="Times New Roman" w:hAnsi="Times New Roman" w:cs="Times New Roman"/>
          <w:color w:val="000000" w:themeColor="text1"/>
          <w:sz w:val="24"/>
          <w:szCs w:val="24"/>
        </w:rPr>
        <w:t xml:space="preserve"> Natarajan et. al (2020), Relationship Between Stock Return and Firms’ Financial Performance </w:t>
      </w:r>
      <w:proofErr w:type="gramStart"/>
      <w:r w:rsidRPr="001F5CFA">
        <w:rPr>
          <w:rFonts w:ascii="Times New Roman" w:hAnsi="Times New Roman" w:cs="Times New Roman"/>
          <w:color w:val="000000" w:themeColor="text1"/>
          <w:sz w:val="24"/>
          <w:szCs w:val="24"/>
        </w:rPr>
        <w:t>In</w:t>
      </w:r>
      <w:proofErr w:type="gramEnd"/>
      <w:r w:rsidRPr="001F5CFA">
        <w:rPr>
          <w:rFonts w:ascii="Times New Roman" w:hAnsi="Times New Roman" w:cs="Times New Roman"/>
          <w:color w:val="000000" w:themeColor="text1"/>
          <w:sz w:val="24"/>
          <w:szCs w:val="24"/>
        </w:rPr>
        <w:t xml:space="preserve"> </w:t>
      </w:r>
      <w:proofErr w:type="spellStart"/>
      <w:r w:rsidRPr="001F5CFA">
        <w:rPr>
          <w:rFonts w:ascii="Times New Roman" w:hAnsi="Times New Roman" w:cs="Times New Roman"/>
          <w:color w:val="000000" w:themeColor="text1"/>
          <w:sz w:val="24"/>
          <w:szCs w:val="24"/>
        </w:rPr>
        <w:t>Bse</w:t>
      </w:r>
      <w:proofErr w:type="spellEnd"/>
      <w:r w:rsidRPr="001F5CFA">
        <w:rPr>
          <w:rFonts w:ascii="Times New Roman" w:hAnsi="Times New Roman" w:cs="Times New Roman"/>
          <w:color w:val="000000" w:themeColor="text1"/>
          <w:sz w:val="24"/>
          <w:szCs w:val="24"/>
        </w:rPr>
        <w:t xml:space="preserve"> Listed Companies, European Journal of Molecular &amp; Clinical Medicine, ISSN 2515-8260 Volume 07, Issue 03, pp.4553-4559.</w:t>
      </w:r>
    </w:p>
    <w:p w14:paraId="13B30A3A" w14:textId="77777777" w:rsidR="001F5CFA" w:rsidRPr="001F5CFA" w:rsidRDefault="001F5CFA" w:rsidP="001F5CFA">
      <w:pPr>
        <w:jc w:val="both"/>
      </w:pPr>
    </w:p>
    <w:p w14:paraId="569C0712" w14:textId="77777777" w:rsidR="001F5CFA" w:rsidRPr="001F5CFA" w:rsidRDefault="001F5CFA" w:rsidP="001F5CFA">
      <w:pPr>
        <w:pStyle w:val="ListParagraph"/>
        <w:numPr>
          <w:ilvl w:val="0"/>
          <w:numId w:val="6"/>
        </w:numPr>
        <w:jc w:val="both"/>
        <w:rPr>
          <w:rFonts w:ascii="Times New Roman" w:hAnsi="Times New Roman" w:cs="Times New Roman"/>
          <w:sz w:val="24"/>
          <w:szCs w:val="24"/>
        </w:rPr>
      </w:pPr>
      <w:r w:rsidRPr="001F5CFA">
        <w:rPr>
          <w:rFonts w:ascii="Times New Roman" w:hAnsi="Times New Roman" w:cs="Times New Roman"/>
          <w:sz w:val="24"/>
          <w:szCs w:val="24"/>
        </w:rPr>
        <w:t xml:space="preserve">Clarkson, P. M., Li, Y., Richardson, G. D., &amp; </w:t>
      </w:r>
      <w:proofErr w:type="spellStart"/>
      <w:r w:rsidRPr="001F5CFA">
        <w:rPr>
          <w:rFonts w:ascii="Times New Roman" w:hAnsi="Times New Roman" w:cs="Times New Roman"/>
          <w:sz w:val="24"/>
          <w:szCs w:val="24"/>
        </w:rPr>
        <w:t>Vasvari</w:t>
      </w:r>
      <w:proofErr w:type="spellEnd"/>
      <w:r w:rsidRPr="001F5CFA">
        <w:rPr>
          <w:rFonts w:ascii="Times New Roman" w:hAnsi="Times New Roman" w:cs="Times New Roman"/>
          <w:sz w:val="24"/>
          <w:szCs w:val="24"/>
        </w:rPr>
        <w:t>, F. P. (2014). Does it really pay to be green? Determinants and consequences of proactive environmental strategies. Journal of Accounting and Public Policy, 33(6), 462-482.</w:t>
      </w:r>
    </w:p>
    <w:p w14:paraId="3AC819A0" w14:textId="77777777" w:rsidR="001F5CFA" w:rsidRPr="001F5CFA" w:rsidRDefault="001F5CFA" w:rsidP="001F5CFA">
      <w:pPr>
        <w:jc w:val="both"/>
      </w:pPr>
    </w:p>
    <w:p w14:paraId="298BF208" w14:textId="77777777" w:rsidR="001F5CFA" w:rsidRPr="001F5CFA" w:rsidRDefault="001F5CFA" w:rsidP="001F5CFA">
      <w:pPr>
        <w:pStyle w:val="ListParagraph"/>
        <w:numPr>
          <w:ilvl w:val="0"/>
          <w:numId w:val="6"/>
        </w:numPr>
        <w:jc w:val="both"/>
        <w:rPr>
          <w:rFonts w:ascii="Times New Roman" w:hAnsi="Times New Roman" w:cs="Times New Roman"/>
          <w:sz w:val="24"/>
          <w:szCs w:val="24"/>
        </w:rPr>
      </w:pPr>
      <w:r w:rsidRPr="001F5CFA">
        <w:rPr>
          <w:rFonts w:ascii="Times New Roman" w:hAnsi="Times New Roman" w:cs="Times New Roman"/>
          <w:sz w:val="24"/>
          <w:szCs w:val="24"/>
        </w:rPr>
        <w:lastRenderedPageBreak/>
        <w:t xml:space="preserve">Eccles, R. G., </w:t>
      </w:r>
      <w:proofErr w:type="spellStart"/>
      <w:r w:rsidRPr="001F5CFA">
        <w:rPr>
          <w:rFonts w:ascii="Times New Roman" w:hAnsi="Times New Roman" w:cs="Times New Roman"/>
          <w:sz w:val="24"/>
          <w:szCs w:val="24"/>
        </w:rPr>
        <w:t>Ioannou</w:t>
      </w:r>
      <w:proofErr w:type="spellEnd"/>
      <w:r w:rsidRPr="001F5CFA">
        <w:rPr>
          <w:rFonts w:ascii="Times New Roman" w:hAnsi="Times New Roman" w:cs="Times New Roman"/>
          <w:sz w:val="24"/>
          <w:szCs w:val="24"/>
        </w:rPr>
        <w:t xml:space="preserve">, I., &amp; </w:t>
      </w:r>
      <w:proofErr w:type="spellStart"/>
      <w:r w:rsidRPr="001F5CFA">
        <w:rPr>
          <w:rFonts w:ascii="Times New Roman" w:hAnsi="Times New Roman" w:cs="Times New Roman"/>
          <w:sz w:val="24"/>
          <w:szCs w:val="24"/>
        </w:rPr>
        <w:t>Serafeim</w:t>
      </w:r>
      <w:proofErr w:type="spellEnd"/>
      <w:r w:rsidRPr="001F5CFA">
        <w:rPr>
          <w:rFonts w:ascii="Times New Roman" w:hAnsi="Times New Roman" w:cs="Times New Roman"/>
          <w:sz w:val="24"/>
          <w:szCs w:val="24"/>
        </w:rPr>
        <w:t xml:space="preserve">, G. (2011). The impact of a corporate culture of sustainability on corporate </w:t>
      </w:r>
      <w:proofErr w:type="spellStart"/>
      <w:r w:rsidRPr="001F5CFA">
        <w:rPr>
          <w:rFonts w:ascii="Times New Roman" w:hAnsi="Times New Roman" w:cs="Times New Roman"/>
          <w:sz w:val="24"/>
          <w:szCs w:val="24"/>
        </w:rPr>
        <w:t>behavior</w:t>
      </w:r>
      <w:proofErr w:type="spellEnd"/>
      <w:r w:rsidRPr="001F5CFA">
        <w:rPr>
          <w:rFonts w:ascii="Times New Roman" w:hAnsi="Times New Roman" w:cs="Times New Roman"/>
          <w:sz w:val="24"/>
          <w:szCs w:val="24"/>
        </w:rPr>
        <w:t xml:space="preserve"> and performance. Working Paper, Harvard Business School.</w:t>
      </w:r>
    </w:p>
    <w:p w14:paraId="78D0EDC0" w14:textId="77777777" w:rsidR="001F5CFA" w:rsidRPr="001F5CFA" w:rsidRDefault="001F5CFA" w:rsidP="001F5CFA">
      <w:pPr>
        <w:jc w:val="both"/>
      </w:pPr>
    </w:p>
    <w:p w14:paraId="023DDE95" w14:textId="77777777" w:rsidR="001F5CFA" w:rsidRPr="001F5CFA" w:rsidRDefault="001F5CFA" w:rsidP="001F5CFA">
      <w:pPr>
        <w:pStyle w:val="ListParagraph"/>
        <w:numPr>
          <w:ilvl w:val="0"/>
          <w:numId w:val="6"/>
        </w:numPr>
        <w:jc w:val="both"/>
        <w:rPr>
          <w:rFonts w:ascii="Times New Roman" w:hAnsi="Times New Roman" w:cs="Times New Roman"/>
          <w:sz w:val="24"/>
          <w:szCs w:val="24"/>
        </w:rPr>
      </w:pPr>
      <w:r w:rsidRPr="001F5CFA">
        <w:rPr>
          <w:rFonts w:ascii="Times New Roman" w:hAnsi="Times New Roman" w:cs="Times New Roman"/>
          <w:sz w:val="24"/>
          <w:szCs w:val="24"/>
        </w:rPr>
        <w:t>Flammer, C. (2015). Does corporate social responsibility lead to superior financial performance? A regression discontinuity approach. Management Science, 61(11), 2549-2568.</w:t>
      </w:r>
    </w:p>
    <w:p w14:paraId="1A90A91D" w14:textId="77777777" w:rsidR="001F5CFA" w:rsidRPr="001F5CFA" w:rsidRDefault="001F5CFA" w:rsidP="001F5CFA">
      <w:pPr>
        <w:jc w:val="both"/>
      </w:pPr>
    </w:p>
    <w:p w14:paraId="3AB46CBE" w14:textId="77777777" w:rsidR="001F5CFA" w:rsidRPr="001F5CFA" w:rsidRDefault="001F5CFA" w:rsidP="001F5CFA">
      <w:pPr>
        <w:pStyle w:val="ListParagraph"/>
        <w:numPr>
          <w:ilvl w:val="0"/>
          <w:numId w:val="6"/>
        </w:numPr>
        <w:jc w:val="both"/>
        <w:rPr>
          <w:rFonts w:ascii="Times New Roman" w:hAnsi="Times New Roman" w:cs="Times New Roman"/>
          <w:sz w:val="24"/>
          <w:szCs w:val="24"/>
        </w:rPr>
      </w:pPr>
      <w:r w:rsidRPr="001F5CFA">
        <w:rPr>
          <w:rFonts w:ascii="Times New Roman" w:hAnsi="Times New Roman" w:cs="Times New Roman"/>
          <w:sz w:val="24"/>
          <w:szCs w:val="24"/>
        </w:rPr>
        <w:t xml:space="preserve">Goss, A., </w:t>
      </w:r>
      <w:proofErr w:type="spellStart"/>
      <w:r w:rsidRPr="001F5CFA">
        <w:rPr>
          <w:rFonts w:ascii="Times New Roman" w:hAnsi="Times New Roman" w:cs="Times New Roman"/>
          <w:sz w:val="24"/>
          <w:szCs w:val="24"/>
        </w:rPr>
        <w:t>Petkov</w:t>
      </w:r>
      <w:proofErr w:type="spellEnd"/>
      <w:r w:rsidRPr="001F5CFA">
        <w:rPr>
          <w:rFonts w:ascii="Times New Roman" w:hAnsi="Times New Roman" w:cs="Times New Roman"/>
          <w:sz w:val="24"/>
          <w:szCs w:val="24"/>
        </w:rPr>
        <w:t xml:space="preserve">, T., &amp; </w:t>
      </w:r>
      <w:proofErr w:type="spellStart"/>
      <w:r w:rsidRPr="001F5CFA">
        <w:rPr>
          <w:rFonts w:ascii="Times New Roman" w:hAnsi="Times New Roman" w:cs="Times New Roman"/>
          <w:sz w:val="24"/>
          <w:szCs w:val="24"/>
        </w:rPr>
        <w:t>Yekini</w:t>
      </w:r>
      <w:proofErr w:type="spellEnd"/>
      <w:r w:rsidRPr="001F5CFA">
        <w:rPr>
          <w:rFonts w:ascii="Times New Roman" w:hAnsi="Times New Roman" w:cs="Times New Roman"/>
          <w:sz w:val="24"/>
          <w:szCs w:val="24"/>
        </w:rPr>
        <w:t>, L. (2020). Investor demand for green bonds creates stock price volatility. Journal of Sustainable Finance &amp; Investment, 10(1), 31-48.</w:t>
      </w:r>
    </w:p>
    <w:p w14:paraId="36BC9023" w14:textId="77777777" w:rsidR="001F5CFA" w:rsidRPr="001F5CFA" w:rsidRDefault="001F5CFA" w:rsidP="001F5CFA">
      <w:pPr>
        <w:jc w:val="both"/>
      </w:pPr>
    </w:p>
    <w:p w14:paraId="7AF263C1" w14:textId="77777777" w:rsidR="001F5CFA" w:rsidRPr="001F5CFA" w:rsidRDefault="001F5CFA" w:rsidP="001F5CFA">
      <w:pPr>
        <w:pStyle w:val="ListParagraph"/>
        <w:numPr>
          <w:ilvl w:val="0"/>
          <w:numId w:val="6"/>
        </w:numPr>
        <w:jc w:val="both"/>
        <w:rPr>
          <w:rFonts w:ascii="Times New Roman" w:hAnsi="Times New Roman" w:cs="Times New Roman"/>
          <w:sz w:val="24"/>
          <w:szCs w:val="24"/>
        </w:rPr>
      </w:pPr>
      <w:proofErr w:type="spellStart"/>
      <w:r w:rsidRPr="001F5CFA">
        <w:rPr>
          <w:rFonts w:ascii="Times New Roman" w:hAnsi="Times New Roman" w:cs="Times New Roman"/>
          <w:sz w:val="24"/>
          <w:szCs w:val="24"/>
        </w:rPr>
        <w:t>Grewatsch</w:t>
      </w:r>
      <w:proofErr w:type="spellEnd"/>
      <w:r w:rsidRPr="001F5CFA">
        <w:rPr>
          <w:rFonts w:ascii="Times New Roman" w:hAnsi="Times New Roman" w:cs="Times New Roman"/>
          <w:sz w:val="24"/>
          <w:szCs w:val="24"/>
        </w:rPr>
        <w:t>, S., Metzger, D., &amp; Ramsden, A. (2019). The effect of corporate social responsibility on firm value: The role of customer awareness. Journal of Marketing, 83(1), 78-97.</w:t>
      </w:r>
    </w:p>
    <w:p w14:paraId="3FE9E989" w14:textId="77777777" w:rsidR="001F5CFA" w:rsidRPr="001F5CFA" w:rsidRDefault="001F5CFA" w:rsidP="001F5CFA">
      <w:pPr>
        <w:jc w:val="both"/>
      </w:pPr>
    </w:p>
    <w:p w14:paraId="0BB10184" w14:textId="77777777" w:rsidR="001F5CFA" w:rsidRPr="001F5CFA" w:rsidRDefault="001F5CFA" w:rsidP="001F5CFA">
      <w:pPr>
        <w:pStyle w:val="ListParagraph"/>
        <w:numPr>
          <w:ilvl w:val="0"/>
          <w:numId w:val="6"/>
        </w:numPr>
        <w:jc w:val="both"/>
        <w:rPr>
          <w:rFonts w:ascii="Times New Roman" w:hAnsi="Times New Roman" w:cs="Times New Roman"/>
          <w:sz w:val="24"/>
          <w:szCs w:val="24"/>
        </w:rPr>
      </w:pPr>
      <w:r w:rsidRPr="001F5CFA">
        <w:rPr>
          <w:rFonts w:ascii="Times New Roman" w:hAnsi="Times New Roman" w:cs="Times New Roman"/>
          <w:sz w:val="24"/>
          <w:szCs w:val="24"/>
        </w:rPr>
        <w:t xml:space="preserve">Khan, M. A., </w:t>
      </w:r>
      <w:proofErr w:type="spellStart"/>
      <w:r w:rsidRPr="001F5CFA">
        <w:rPr>
          <w:rFonts w:ascii="Times New Roman" w:hAnsi="Times New Roman" w:cs="Times New Roman"/>
          <w:sz w:val="24"/>
          <w:szCs w:val="24"/>
        </w:rPr>
        <w:t>Serafeim</w:t>
      </w:r>
      <w:proofErr w:type="spellEnd"/>
      <w:r w:rsidRPr="001F5CFA">
        <w:rPr>
          <w:rFonts w:ascii="Times New Roman" w:hAnsi="Times New Roman" w:cs="Times New Roman"/>
          <w:sz w:val="24"/>
          <w:szCs w:val="24"/>
        </w:rPr>
        <w:t>, G., &amp; Yoon, A. (2018). Corporate sustainability: First evidence on materiality. The Accounting Review, 93(6), 297-328.</w:t>
      </w:r>
    </w:p>
    <w:p w14:paraId="2093E924" w14:textId="77777777" w:rsidR="001F5CFA" w:rsidRPr="001F5CFA" w:rsidRDefault="001F5CFA" w:rsidP="001F5CFA">
      <w:pPr>
        <w:jc w:val="both"/>
      </w:pPr>
    </w:p>
    <w:p w14:paraId="6563C8CB" w14:textId="77777777" w:rsidR="001F5CFA" w:rsidRPr="001F5CFA" w:rsidRDefault="001F5CFA" w:rsidP="001F5CFA">
      <w:pPr>
        <w:pStyle w:val="ListParagraph"/>
        <w:numPr>
          <w:ilvl w:val="0"/>
          <w:numId w:val="6"/>
        </w:numPr>
        <w:jc w:val="both"/>
        <w:rPr>
          <w:rFonts w:ascii="Times New Roman" w:hAnsi="Times New Roman" w:cs="Times New Roman"/>
          <w:sz w:val="24"/>
          <w:szCs w:val="24"/>
        </w:rPr>
      </w:pPr>
      <w:proofErr w:type="spellStart"/>
      <w:r w:rsidRPr="001F5CFA">
        <w:rPr>
          <w:rFonts w:ascii="Times New Roman" w:hAnsi="Times New Roman" w:cs="Times New Roman"/>
          <w:sz w:val="24"/>
          <w:szCs w:val="24"/>
        </w:rPr>
        <w:t>Oikonomou</w:t>
      </w:r>
      <w:proofErr w:type="spellEnd"/>
      <w:r w:rsidRPr="001F5CFA">
        <w:rPr>
          <w:rFonts w:ascii="Times New Roman" w:hAnsi="Times New Roman" w:cs="Times New Roman"/>
          <w:sz w:val="24"/>
          <w:szCs w:val="24"/>
        </w:rPr>
        <w:t xml:space="preserve">, I., Brooks, C., &amp; </w:t>
      </w:r>
      <w:proofErr w:type="spellStart"/>
      <w:r w:rsidRPr="001F5CFA">
        <w:rPr>
          <w:rFonts w:ascii="Times New Roman" w:hAnsi="Times New Roman" w:cs="Times New Roman"/>
          <w:sz w:val="24"/>
          <w:szCs w:val="24"/>
        </w:rPr>
        <w:t>Pavelin</w:t>
      </w:r>
      <w:proofErr w:type="spellEnd"/>
      <w:r w:rsidRPr="001F5CFA">
        <w:rPr>
          <w:rFonts w:ascii="Times New Roman" w:hAnsi="Times New Roman" w:cs="Times New Roman"/>
          <w:sz w:val="24"/>
          <w:szCs w:val="24"/>
        </w:rPr>
        <w:t>, S. (2018). The effect of corporate social performance on firm risk. Journal of Business.</w:t>
      </w:r>
    </w:p>
    <w:p w14:paraId="401AEEDC" w14:textId="77777777" w:rsidR="001F5CFA" w:rsidRPr="001F5CFA" w:rsidRDefault="001F5CFA" w:rsidP="001F5CFA">
      <w:pPr>
        <w:jc w:val="both"/>
      </w:pPr>
    </w:p>
    <w:p w14:paraId="644A42F7" w14:textId="77777777" w:rsidR="001F5CFA" w:rsidRPr="001F5CFA" w:rsidRDefault="001F5CFA" w:rsidP="001F5CFA">
      <w:pPr>
        <w:pStyle w:val="ListParagraph"/>
        <w:numPr>
          <w:ilvl w:val="0"/>
          <w:numId w:val="6"/>
        </w:numPr>
        <w:jc w:val="both"/>
        <w:rPr>
          <w:rFonts w:ascii="Times New Roman" w:hAnsi="Times New Roman" w:cs="Times New Roman"/>
          <w:sz w:val="24"/>
          <w:szCs w:val="24"/>
        </w:rPr>
      </w:pPr>
      <w:r w:rsidRPr="001F5CFA">
        <w:rPr>
          <w:rFonts w:ascii="Times New Roman" w:hAnsi="Times New Roman" w:cs="Times New Roman"/>
          <w:sz w:val="24"/>
          <w:szCs w:val="24"/>
        </w:rPr>
        <w:t>Cai, J., &amp; Zhang, Z. (2018). Corporate investment decisions and stock price crash risk. International Review of Economics &amp; Finance, 53, 292-310.</w:t>
      </w:r>
    </w:p>
    <w:p w14:paraId="0FF7DDCB" w14:textId="77777777" w:rsidR="001F5CFA" w:rsidRPr="001F5CFA" w:rsidRDefault="001F5CFA" w:rsidP="001F5CFA">
      <w:pPr>
        <w:jc w:val="both"/>
      </w:pPr>
    </w:p>
    <w:p w14:paraId="330462FA" w14:textId="77777777" w:rsidR="001F5CFA" w:rsidRPr="001F5CFA" w:rsidRDefault="001F5CFA" w:rsidP="001F5CFA">
      <w:pPr>
        <w:pStyle w:val="ListParagraph"/>
        <w:numPr>
          <w:ilvl w:val="0"/>
          <w:numId w:val="6"/>
        </w:numPr>
        <w:jc w:val="both"/>
        <w:rPr>
          <w:rFonts w:ascii="Times New Roman" w:hAnsi="Times New Roman" w:cs="Times New Roman"/>
          <w:sz w:val="24"/>
          <w:szCs w:val="24"/>
        </w:rPr>
      </w:pPr>
      <w:r w:rsidRPr="001F5CFA">
        <w:rPr>
          <w:rFonts w:ascii="Times New Roman" w:hAnsi="Times New Roman" w:cs="Times New Roman"/>
          <w:sz w:val="24"/>
          <w:szCs w:val="24"/>
        </w:rPr>
        <w:t>Chiang, T. C., &amp; Zheng, D. (2017). Corporate investment, asset tangibility, and the sensitivity of stock prices to cash flow news. Journal of Corporate Finance, 43, 1-14.</w:t>
      </w:r>
    </w:p>
    <w:p w14:paraId="4A55ED6E" w14:textId="77777777" w:rsidR="001F5CFA" w:rsidRPr="001F5CFA" w:rsidRDefault="001F5CFA" w:rsidP="001F5CFA">
      <w:pPr>
        <w:jc w:val="both"/>
      </w:pPr>
    </w:p>
    <w:p w14:paraId="5D828248" w14:textId="77777777" w:rsidR="001F5CFA" w:rsidRPr="001F5CFA" w:rsidRDefault="001F5CFA" w:rsidP="001F5CFA">
      <w:pPr>
        <w:pStyle w:val="ListParagraph"/>
        <w:numPr>
          <w:ilvl w:val="0"/>
          <w:numId w:val="6"/>
        </w:numPr>
        <w:jc w:val="both"/>
        <w:rPr>
          <w:rFonts w:ascii="Times New Roman" w:hAnsi="Times New Roman" w:cs="Times New Roman"/>
          <w:sz w:val="24"/>
          <w:szCs w:val="24"/>
        </w:rPr>
      </w:pPr>
      <w:proofErr w:type="spellStart"/>
      <w:r w:rsidRPr="001F5CFA">
        <w:rPr>
          <w:rFonts w:ascii="Times New Roman" w:hAnsi="Times New Roman" w:cs="Times New Roman"/>
          <w:sz w:val="24"/>
          <w:szCs w:val="24"/>
        </w:rPr>
        <w:t>Hovakimian</w:t>
      </w:r>
      <w:proofErr w:type="spellEnd"/>
      <w:r w:rsidRPr="001F5CFA">
        <w:rPr>
          <w:rFonts w:ascii="Times New Roman" w:hAnsi="Times New Roman" w:cs="Times New Roman"/>
          <w:sz w:val="24"/>
          <w:szCs w:val="24"/>
        </w:rPr>
        <w:t>, A., &amp; Titman, S. (2020). Investment and stock returns. Journal of Financial and Quantitative Analysis, 55(1), 1-34.</w:t>
      </w:r>
    </w:p>
    <w:p w14:paraId="72CCDE84" w14:textId="77777777" w:rsidR="001F5CFA" w:rsidRPr="001F5CFA" w:rsidRDefault="001F5CFA" w:rsidP="001F5CFA">
      <w:pPr>
        <w:jc w:val="both"/>
      </w:pPr>
    </w:p>
    <w:p w14:paraId="38817067" w14:textId="77777777" w:rsidR="001F5CFA" w:rsidRPr="001F5CFA" w:rsidRDefault="001F5CFA" w:rsidP="001F5CFA">
      <w:pPr>
        <w:pStyle w:val="ListParagraph"/>
        <w:numPr>
          <w:ilvl w:val="0"/>
          <w:numId w:val="6"/>
        </w:numPr>
        <w:jc w:val="both"/>
        <w:rPr>
          <w:rFonts w:ascii="Times New Roman" w:hAnsi="Times New Roman" w:cs="Times New Roman"/>
          <w:sz w:val="24"/>
          <w:szCs w:val="24"/>
        </w:rPr>
      </w:pPr>
      <w:r w:rsidRPr="001F5CFA">
        <w:rPr>
          <w:rFonts w:ascii="Times New Roman" w:hAnsi="Times New Roman" w:cs="Times New Roman"/>
          <w:sz w:val="24"/>
          <w:szCs w:val="24"/>
        </w:rPr>
        <w:t>Javid, A. Y., &amp; Javid, S. Y. (2019). The effect of investment decisions on stock prices: Evidence from emerging markets. Emerging Markets Finance and Trade, 55(4), 731-750.</w:t>
      </w:r>
    </w:p>
    <w:p w14:paraId="58C20266" w14:textId="77777777" w:rsidR="001F5CFA" w:rsidRPr="001F5CFA" w:rsidRDefault="001F5CFA" w:rsidP="001F5CFA">
      <w:pPr>
        <w:jc w:val="both"/>
      </w:pPr>
    </w:p>
    <w:p w14:paraId="25E2DADF" w14:textId="77777777" w:rsidR="001F5CFA" w:rsidRPr="001F5CFA" w:rsidRDefault="001F5CFA" w:rsidP="001F5CFA">
      <w:pPr>
        <w:pStyle w:val="ListParagraph"/>
        <w:numPr>
          <w:ilvl w:val="0"/>
          <w:numId w:val="6"/>
        </w:numPr>
        <w:jc w:val="both"/>
        <w:rPr>
          <w:rFonts w:ascii="Times New Roman" w:hAnsi="Times New Roman" w:cs="Times New Roman"/>
          <w:sz w:val="24"/>
          <w:szCs w:val="24"/>
        </w:rPr>
      </w:pPr>
      <w:r w:rsidRPr="001F5CFA">
        <w:rPr>
          <w:rFonts w:ascii="Times New Roman" w:hAnsi="Times New Roman" w:cs="Times New Roman"/>
          <w:sz w:val="24"/>
          <w:szCs w:val="24"/>
        </w:rPr>
        <w:t xml:space="preserve">Wang, H., &amp; </w:t>
      </w:r>
      <w:proofErr w:type="spellStart"/>
      <w:r w:rsidRPr="001F5CFA">
        <w:rPr>
          <w:rFonts w:ascii="Times New Roman" w:hAnsi="Times New Roman" w:cs="Times New Roman"/>
          <w:sz w:val="24"/>
          <w:szCs w:val="24"/>
        </w:rPr>
        <w:t>Xie</w:t>
      </w:r>
      <w:proofErr w:type="spellEnd"/>
      <w:r w:rsidRPr="001F5CFA">
        <w:rPr>
          <w:rFonts w:ascii="Times New Roman" w:hAnsi="Times New Roman" w:cs="Times New Roman"/>
          <w:sz w:val="24"/>
          <w:szCs w:val="24"/>
        </w:rPr>
        <w:t>, Y. (2018). Corporate investment and stock price crash risk: Evidence from China. Pacific-Basin Finance Journal, 48, 42-61.</w:t>
      </w:r>
    </w:p>
    <w:p w14:paraId="0F65643F" w14:textId="77777777" w:rsidR="004F2A82" w:rsidRPr="00A95EF9" w:rsidRDefault="004F2A82" w:rsidP="004F2A82">
      <w:pPr>
        <w:autoSpaceDE w:val="0"/>
        <w:autoSpaceDN w:val="0"/>
        <w:adjustRightInd w:val="0"/>
        <w:spacing w:line="360" w:lineRule="auto"/>
        <w:jc w:val="both"/>
        <w:rPr>
          <w:color w:val="000000" w:themeColor="text1"/>
        </w:rPr>
      </w:pPr>
    </w:p>
    <w:p w14:paraId="2C817863" w14:textId="77777777" w:rsidR="004F2A82" w:rsidRPr="00A95EF9" w:rsidRDefault="004F2A82" w:rsidP="004F2A82">
      <w:pPr>
        <w:pStyle w:val="NormalWeb"/>
        <w:shd w:val="clear" w:color="auto" w:fill="FFFFFF"/>
        <w:spacing w:line="360" w:lineRule="auto"/>
        <w:jc w:val="both"/>
        <w:rPr>
          <w:color w:val="000000" w:themeColor="text1"/>
        </w:rPr>
      </w:pPr>
    </w:p>
    <w:p w14:paraId="62B233AC" w14:textId="77777777" w:rsidR="004F2A82" w:rsidRPr="00A95EF9" w:rsidRDefault="004F2A82" w:rsidP="004F2A82">
      <w:pPr>
        <w:autoSpaceDE w:val="0"/>
        <w:autoSpaceDN w:val="0"/>
        <w:adjustRightInd w:val="0"/>
        <w:spacing w:line="360" w:lineRule="auto"/>
        <w:jc w:val="both"/>
        <w:rPr>
          <w:color w:val="000000" w:themeColor="text1"/>
          <w:lang w:val="en-GB"/>
        </w:rPr>
      </w:pPr>
    </w:p>
    <w:sectPr w:rsidR="004F2A82" w:rsidRPr="00A95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36EC"/>
    <w:multiLevelType w:val="hybridMultilevel"/>
    <w:tmpl w:val="6F6AC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A7FAC"/>
    <w:multiLevelType w:val="multilevel"/>
    <w:tmpl w:val="70389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DF6F59"/>
    <w:multiLevelType w:val="multilevel"/>
    <w:tmpl w:val="DA904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FD04EC"/>
    <w:multiLevelType w:val="multilevel"/>
    <w:tmpl w:val="E1203F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6B5B7E"/>
    <w:multiLevelType w:val="multilevel"/>
    <w:tmpl w:val="5B02AE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9312D8"/>
    <w:multiLevelType w:val="multilevel"/>
    <w:tmpl w:val="2AF6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1422999">
    <w:abstractNumId w:val="5"/>
  </w:num>
  <w:num w:numId="2" w16cid:durableId="265159177">
    <w:abstractNumId w:val="1"/>
  </w:num>
  <w:num w:numId="3" w16cid:durableId="1259215235">
    <w:abstractNumId w:val="2"/>
  </w:num>
  <w:num w:numId="4" w16cid:durableId="1752193835">
    <w:abstractNumId w:val="3"/>
  </w:num>
  <w:num w:numId="5" w16cid:durableId="565460688">
    <w:abstractNumId w:val="4"/>
  </w:num>
  <w:num w:numId="6" w16cid:durableId="189669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D0"/>
    <w:rsid w:val="001B6CC2"/>
    <w:rsid w:val="001E2C58"/>
    <w:rsid w:val="001F5CFA"/>
    <w:rsid w:val="00280223"/>
    <w:rsid w:val="00344FFE"/>
    <w:rsid w:val="003A2E27"/>
    <w:rsid w:val="004F2A82"/>
    <w:rsid w:val="00511968"/>
    <w:rsid w:val="00570A86"/>
    <w:rsid w:val="006016B2"/>
    <w:rsid w:val="00603B68"/>
    <w:rsid w:val="006A42F8"/>
    <w:rsid w:val="006D0E42"/>
    <w:rsid w:val="00811EFD"/>
    <w:rsid w:val="009610F7"/>
    <w:rsid w:val="009C3C6C"/>
    <w:rsid w:val="009C4712"/>
    <w:rsid w:val="009D0EB3"/>
    <w:rsid w:val="00A26BFC"/>
    <w:rsid w:val="00A52624"/>
    <w:rsid w:val="00BC2885"/>
    <w:rsid w:val="00BF3DD0"/>
    <w:rsid w:val="00D44130"/>
    <w:rsid w:val="00E52748"/>
    <w:rsid w:val="00EA40A9"/>
    <w:rsid w:val="00F77650"/>
    <w:rsid w:val="00FB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62EE"/>
  <w15:chartTrackingRefBased/>
  <w15:docId w15:val="{426BC245-8B1B-45FF-A279-BD01579D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712"/>
    <w:pPr>
      <w:spacing w:after="0" w:line="240" w:lineRule="auto"/>
    </w:pPr>
    <w:rPr>
      <w:rFonts w:ascii="Times New Roman" w:eastAsia="Times New Roman" w:hAnsi="Times New Roman" w:cs="Times New Roman"/>
      <w:sz w:val="24"/>
      <w:szCs w:val="24"/>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FFE"/>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3A2E27"/>
    <w:rPr>
      <w:color w:val="0563C1" w:themeColor="hyperlink"/>
      <w:u w:val="single"/>
    </w:rPr>
  </w:style>
  <w:style w:type="character" w:customStyle="1" w:styleId="surname">
    <w:name w:val="surname"/>
    <w:basedOn w:val="DefaultParagraphFont"/>
    <w:rsid w:val="003A2E27"/>
  </w:style>
  <w:style w:type="character" w:customStyle="1" w:styleId="apple-converted-space">
    <w:name w:val="apple-converted-space"/>
    <w:basedOn w:val="DefaultParagraphFont"/>
    <w:rsid w:val="003A2E27"/>
  </w:style>
  <w:style w:type="paragraph" w:styleId="NormalWeb">
    <w:name w:val="Normal (Web)"/>
    <w:basedOn w:val="Normal"/>
    <w:uiPriority w:val="99"/>
    <w:semiHidden/>
    <w:unhideWhenUsed/>
    <w:rsid w:val="003A2E27"/>
    <w:pPr>
      <w:spacing w:before="100" w:beforeAutospacing="1" w:after="100" w:afterAutospacing="1"/>
    </w:pPr>
  </w:style>
  <w:style w:type="character" w:customStyle="1" w:styleId="given-name">
    <w:name w:val="given-name"/>
    <w:basedOn w:val="DefaultParagraphFont"/>
    <w:rsid w:val="003A2E27"/>
  </w:style>
  <w:style w:type="character" w:customStyle="1" w:styleId="text">
    <w:name w:val="text"/>
    <w:basedOn w:val="DefaultParagraphFont"/>
    <w:rsid w:val="003A2E27"/>
  </w:style>
  <w:style w:type="character" w:styleId="UnresolvedMention">
    <w:name w:val="Unresolved Mention"/>
    <w:basedOn w:val="DefaultParagraphFont"/>
    <w:uiPriority w:val="99"/>
    <w:semiHidden/>
    <w:unhideWhenUsed/>
    <w:rsid w:val="001F5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170">
      <w:bodyDiv w:val="1"/>
      <w:marLeft w:val="0"/>
      <w:marRight w:val="0"/>
      <w:marTop w:val="0"/>
      <w:marBottom w:val="0"/>
      <w:divBdr>
        <w:top w:val="none" w:sz="0" w:space="0" w:color="auto"/>
        <w:left w:val="none" w:sz="0" w:space="0" w:color="auto"/>
        <w:bottom w:val="none" w:sz="0" w:space="0" w:color="auto"/>
        <w:right w:val="none" w:sz="0" w:space="0" w:color="auto"/>
      </w:divBdr>
    </w:div>
    <w:div w:id="63455497">
      <w:bodyDiv w:val="1"/>
      <w:marLeft w:val="0"/>
      <w:marRight w:val="0"/>
      <w:marTop w:val="0"/>
      <w:marBottom w:val="0"/>
      <w:divBdr>
        <w:top w:val="none" w:sz="0" w:space="0" w:color="auto"/>
        <w:left w:val="none" w:sz="0" w:space="0" w:color="auto"/>
        <w:bottom w:val="none" w:sz="0" w:space="0" w:color="auto"/>
        <w:right w:val="none" w:sz="0" w:space="0" w:color="auto"/>
      </w:divBdr>
    </w:div>
    <w:div w:id="289753016">
      <w:bodyDiv w:val="1"/>
      <w:marLeft w:val="0"/>
      <w:marRight w:val="0"/>
      <w:marTop w:val="0"/>
      <w:marBottom w:val="0"/>
      <w:divBdr>
        <w:top w:val="none" w:sz="0" w:space="0" w:color="auto"/>
        <w:left w:val="none" w:sz="0" w:space="0" w:color="auto"/>
        <w:bottom w:val="none" w:sz="0" w:space="0" w:color="auto"/>
        <w:right w:val="none" w:sz="0" w:space="0" w:color="auto"/>
      </w:divBdr>
    </w:div>
    <w:div w:id="364066528">
      <w:bodyDiv w:val="1"/>
      <w:marLeft w:val="0"/>
      <w:marRight w:val="0"/>
      <w:marTop w:val="0"/>
      <w:marBottom w:val="0"/>
      <w:divBdr>
        <w:top w:val="none" w:sz="0" w:space="0" w:color="auto"/>
        <w:left w:val="none" w:sz="0" w:space="0" w:color="auto"/>
        <w:bottom w:val="none" w:sz="0" w:space="0" w:color="auto"/>
        <w:right w:val="none" w:sz="0" w:space="0" w:color="auto"/>
      </w:divBdr>
    </w:div>
    <w:div w:id="407732004">
      <w:bodyDiv w:val="1"/>
      <w:marLeft w:val="0"/>
      <w:marRight w:val="0"/>
      <w:marTop w:val="0"/>
      <w:marBottom w:val="0"/>
      <w:divBdr>
        <w:top w:val="none" w:sz="0" w:space="0" w:color="auto"/>
        <w:left w:val="none" w:sz="0" w:space="0" w:color="auto"/>
        <w:bottom w:val="none" w:sz="0" w:space="0" w:color="auto"/>
        <w:right w:val="none" w:sz="0" w:space="0" w:color="auto"/>
      </w:divBdr>
    </w:div>
    <w:div w:id="491070127">
      <w:bodyDiv w:val="1"/>
      <w:marLeft w:val="0"/>
      <w:marRight w:val="0"/>
      <w:marTop w:val="0"/>
      <w:marBottom w:val="0"/>
      <w:divBdr>
        <w:top w:val="none" w:sz="0" w:space="0" w:color="auto"/>
        <w:left w:val="none" w:sz="0" w:space="0" w:color="auto"/>
        <w:bottom w:val="none" w:sz="0" w:space="0" w:color="auto"/>
        <w:right w:val="none" w:sz="0" w:space="0" w:color="auto"/>
      </w:divBdr>
    </w:div>
    <w:div w:id="793788077">
      <w:bodyDiv w:val="1"/>
      <w:marLeft w:val="0"/>
      <w:marRight w:val="0"/>
      <w:marTop w:val="0"/>
      <w:marBottom w:val="0"/>
      <w:divBdr>
        <w:top w:val="none" w:sz="0" w:space="0" w:color="auto"/>
        <w:left w:val="none" w:sz="0" w:space="0" w:color="auto"/>
        <w:bottom w:val="none" w:sz="0" w:space="0" w:color="auto"/>
        <w:right w:val="none" w:sz="0" w:space="0" w:color="auto"/>
      </w:divBdr>
    </w:div>
    <w:div w:id="878472519">
      <w:bodyDiv w:val="1"/>
      <w:marLeft w:val="0"/>
      <w:marRight w:val="0"/>
      <w:marTop w:val="0"/>
      <w:marBottom w:val="0"/>
      <w:divBdr>
        <w:top w:val="none" w:sz="0" w:space="0" w:color="auto"/>
        <w:left w:val="none" w:sz="0" w:space="0" w:color="auto"/>
        <w:bottom w:val="none" w:sz="0" w:space="0" w:color="auto"/>
        <w:right w:val="none" w:sz="0" w:space="0" w:color="auto"/>
      </w:divBdr>
    </w:div>
    <w:div w:id="892732352">
      <w:bodyDiv w:val="1"/>
      <w:marLeft w:val="0"/>
      <w:marRight w:val="0"/>
      <w:marTop w:val="0"/>
      <w:marBottom w:val="0"/>
      <w:divBdr>
        <w:top w:val="none" w:sz="0" w:space="0" w:color="auto"/>
        <w:left w:val="none" w:sz="0" w:space="0" w:color="auto"/>
        <w:bottom w:val="none" w:sz="0" w:space="0" w:color="auto"/>
        <w:right w:val="none" w:sz="0" w:space="0" w:color="auto"/>
      </w:divBdr>
    </w:div>
    <w:div w:id="938610231">
      <w:bodyDiv w:val="1"/>
      <w:marLeft w:val="0"/>
      <w:marRight w:val="0"/>
      <w:marTop w:val="0"/>
      <w:marBottom w:val="0"/>
      <w:divBdr>
        <w:top w:val="none" w:sz="0" w:space="0" w:color="auto"/>
        <w:left w:val="none" w:sz="0" w:space="0" w:color="auto"/>
        <w:bottom w:val="none" w:sz="0" w:space="0" w:color="auto"/>
        <w:right w:val="none" w:sz="0" w:space="0" w:color="auto"/>
      </w:divBdr>
    </w:div>
    <w:div w:id="960191160">
      <w:bodyDiv w:val="1"/>
      <w:marLeft w:val="0"/>
      <w:marRight w:val="0"/>
      <w:marTop w:val="0"/>
      <w:marBottom w:val="0"/>
      <w:divBdr>
        <w:top w:val="none" w:sz="0" w:space="0" w:color="auto"/>
        <w:left w:val="none" w:sz="0" w:space="0" w:color="auto"/>
        <w:bottom w:val="none" w:sz="0" w:space="0" w:color="auto"/>
        <w:right w:val="none" w:sz="0" w:space="0" w:color="auto"/>
      </w:divBdr>
    </w:div>
    <w:div w:id="1016813326">
      <w:bodyDiv w:val="1"/>
      <w:marLeft w:val="0"/>
      <w:marRight w:val="0"/>
      <w:marTop w:val="0"/>
      <w:marBottom w:val="0"/>
      <w:divBdr>
        <w:top w:val="none" w:sz="0" w:space="0" w:color="auto"/>
        <w:left w:val="none" w:sz="0" w:space="0" w:color="auto"/>
        <w:bottom w:val="none" w:sz="0" w:space="0" w:color="auto"/>
        <w:right w:val="none" w:sz="0" w:space="0" w:color="auto"/>
      </w:divBdr>
    </w:div>
    <w:div w:id="1026492074">
      <w:bodyDiv w:val="1"/>
      <w:marLeft w:val="0"/>
      <w:marRight w:val="0"/>
      <w:marTop w:val="0"/>
      <w:marBottom w:val="0"/>
      <w:divBdr>
        <w:top w:val="none" w:sz="0" w:space="0" w:color="auto"/>
        <w:left w:val="none" w:sz="0" w:space="0" w:color="auto"/>
        <w:bottom w:val="none" w:sz="0" w:space="0" w:color="auto"/>
        <w:right w:val="none" w:sz="0" w:space="0" w:color="auto"/>
      </w:divBdr>
    </w:div>
    <w:div w:id="1091850712">
      <w:bodyDiv w:val="1"/>
      <w:marLeft w:val="0"/>
      <w:marRight w:val="0"/>
      <w:marTop w:val="0"/>
      <w:marBottom w:val="0"/>
      <w:divBdr>
        <w:top w:val="none" w:sz="0" w:space="0" w:color="auto"/>
        <w:left w:val="none" w:sz="0" w:space="0" w:color="auto"/>
        <w:bottom w:val="none" w:sz="0" w:space="0" w:color="auto"/>
        <w:right w:val="none" w:sz="0" w:space="0" w:color="auto"/>
      </w:divBdr>
    </w:div>
    <w:div w:id="1155342526">
      <w:bodyDiv w:val="1"/>
      <w:marLeft w:val="0"/>
      <w:marRight w:val="0"/>
      <w:marTop w:val="0"/>
      <w:marBottom w:val="0"/>
      <w:divBdr>
        <w:top w:val="none" w:sz="0" w:space="0" w:color="auto"/>
        <w:left w:val="none" w:sz="0" w:space="0" w:color="auto"/>
        <w:bottom w:val="none" w:sz="0" w:space="0" w:color="auto"/>
        <w:right w:val="none" w:sz="0" w:space="0" w:color="auto"/>
      </w:divBdr>
    </w:div>
    <w:div w:id="1192913020">
      <w:bodyDiv w:val="1"/>
      <w:marLeft w:val="0"/>
      <w:marRight w:val="0"/>
      <w:marTop w:val="0"/>
      <w:marBottom w:val="0"/>
      <w:divBdr>
        <w:top w:val="none" w:sz="0" w:space="0" w:color="auto"/>
        <w:left w:val="none" w:sz="0" w:space="0" w:color="auto"/>
        <w:bottom w:val="none" w:sz="0" w:space="0" w:color="auto"/>
        <w:right w:val="none" w:sz="0" w:space="0" w:color="auto"/>
      </w:divBdr>
    </w:div>
    <w:div w:id="1298342629">
      <w:bodyDiv w:val="1"/>
      <w:marLeft w:val="0"/>
      <w:marRight w:val="0"/>
      <w:marTop w:val="0"/>
      <w:marBottom w:val="0"/>
      <w:divBdr>
        <w:top w:val="none" w:sz="0" w:space="0" w:color="auto"/>
        <w:left w:val="none" w:sz="0" w:space="0" w:color="auto"/>
        <w:bottom w:val="none" w:sz="0" w:space="0" w:color="auto"/>
        <w:right w:val="none" w:sz="0" w:space="0" w:color="auto"/>
      </w:divBdr>
    </w:div>
    <w:div w:id="1307661145">
      <w:bodyDiv w:val="1"/>
      <w:marLeft w:val="0"/>
      <w:marRight w:val="0"/>
      <w:marTop w:val="0"/>
      <w:marBottom w:val="0"/>
      <w:divBdr>
        <w:top w:val="none" w:sz="0" w:space="0" w:color="auto"/>
        <w:left w:val="none" w:sz="0" w:space="0" w:color="auto"/>
        <w:bottom w:val="none" w:sz="0" w:space="0" w:color="auto"/>
        <w:right w:val="none" w:sz="0" w:space="0" w:color="auto"/>
      </w:divBdr>
    </w:div>
    <w:div w:id="1317684437">
      <w:bodyDiv w:val="1"/>
      <w:marLeft w:val="0"/>
      <w:marRight w:val="0"/>
      <w:marTop w:val="0"/>
      <w:marBottom w:val="0"/>
      <w:divBdr>
        <w:top w:val="none" w:sz="0" w:space="0" w:color="auto"/>
        <w:left w:val="none" w:sz="0" w:space="0" w:color="auto"/>
        <w:bottom w:val="none" w:sz="0" w:space="0" w:color="auto"/>
        <w:right w:val="none" w:sz="0" w:space="0" w:color="auto"/>
      </w:divBdr>
    </w:div>
    <w:div w:id="1446077044">
      <w:bodyDiv w:val="1"/>
      <w:marLeft w:val="0"/>
      <w:marRight w:val="0"/>
      <w:marTop w:val="0"/>
      <w:marBottom w:val="0"/>
      <w:divBdr>
        <w:top w:val="none" w:sz="0" w:space="0" w:color="auto"/>
        <w:left w:val="none" w:sz="0" w:space="0" w:color="auto"/>
        <w:bottom w:val="none" w:sz="0" w:space="0" w:color="auto"/>
        <w:right w:val="none" w:sz="0" w:space="0" w:color="auto"/>
      </w:divBdr>
    </w:div>
    <w:div w:id="1511870014">
      <w:bodyDiv w:val="1"/>
      <w:marLeft w:val="0"/>
      <w:marRight w:val="0"/>
      <w:marTop w:val="0"/>
      <w:marBottom w:val="0"/>
      <w:divBdr>
        <w:top w:val="none" w:sz="0" w:space="0" w:color="auto"/>
        <w:left w:val="none" w:sz="0" w:space="0" w:color="auto"/>
        <w:bottom w:val="none" w:sz="0" w:space="0" w:color="auto"/>
        <w:right w:val="none" w:sz="0" w:space="0" w:color="auto"/>
      </w:divBdr>
    </w:div>
    <w:div w:id="1581673362">
      <w:bodyDiv w:val="1"/>
      <w:marLeft w:val="0"/>
      <w:marRight w:val="0"/>
      <w:marTop w:val="0"/>
      <w:marBottom w:val="0"/>
      <w:divBdr>
        <w:top w:val="none" w:sz="0" w:space="0" w:color="auto"/>
        <w:left w:val="none" w:sz="0" w:space="0" w:color="auto"/>
        <w:bottom w:val="none" w:sz="0" w:space="0" w:color="auto"/>
        <w:right w:val="none" w:sz="0" w:space="0" w:color="auto"/>
      </w:divBdr>
    </w:div>
    <w:div w:id="1706757724">
      <w:bodyDiv w:val="1"/>
      <w:marLeft w:val="0"/>
      <w:marRight w:val="0"/>
      <w:marTop w:val="0"/>
      <w:marBottom w:val="0"/>
      <w:divBdr>
        <w:top w:val="none" w:sz="0" w:space="0" w:color="auto"/>
        <w:left w:val="none" w:sz="0" w:space="0" w:color="auto"/>
        <w:bottom w:val="none" w:sz="0" w:space="0" w:color="auto"/>
        <w:right w:val="none" w:sz="0" w:space="0" w:color="auto"/>
      </w:divBdr>
    </w:div>
    <w:div w:id="1731153968">
      <w:bodyDiv w:val="1"/>
      <w:marLeft w:val="0"/>
      <w:marRight w:val="0"/>
      <w:marTop w:val="0"/>
      <w:marBottom w:val="0"/>
      <w:divBdr>
        <w:top w:val="none" w:sz="0" w:space="0" w:color="auto"/>
        <w:left w:val="none" w:sz="0" w:space="0" w:color="auto"/>
        <w:bottom w:val="none" w:sz="0" w:space="0" w:color="auto"/>
        <w:right w:val="none" w:sz="0" w:space="0" w:color="auto"/>
      </w:divBdr>
    </w:div>
    <w:div w:id="1744714396">
      <w:bodyDiv w:val="1"/>
      <w:marLeft w:val="0"/>
      <w:marRight w:val="0"/>
      <w:marTop w:val="0"/>
      <w:marBottom w:val="0"/>
      <w:divBdr>
        <w:top w:val="none" w:sz="0" w:space="0" w:color="auto"/>
        <w:left w:val="none" w:sz="0" w:space="0" w:color="auto"/>
        <w:bottom w:val="none" w:sz="0" w:space="0" w:color="auto"/>
        <w:right w:val="none" w:sz="0" w:space="0" w:color="auto"/>
      </w:divBdr>
    </w:div>
    <w:div w:id="1868058074">
      <w:bodyDiv w:val="1"/>
      <w:marLeft w:val="0"/>
      <w:marRight w:val="0"/>
      <w:marTop w:val="0"/>
      <w:marBottom w:val="0"/>
      <w:divBdr>
        <w:top w:val="none" w:sz="0" w:space="0" w:color="auto"/>
        <w:left w:val="none" w:sz="0" w:space="0" w:color="auto"/>
        <w:bottom w:val="none" w:sz="0" w:space="0" w:color="auto"/>
        <w:right w:val="none" w:sz="0" w:space="0" w:color="auto"/>
      </w:divBdr>
    </w:div>
    <w:div w:id="2114667431">
      <w:bodyDiv w:val="1"/>
      <w:marLeft w:val="0"/>
      <w:marRight w:val="0"/>
      <w:marTop w:val="0"/>
      <w:marBottom w:val="0"/>
      <w:divBdr>
        <w:top w:val="none" w:sz="0" w:space="0" w:color="auto"/>
        <w:left w:val="none" w:sz="0" w:space="0" w:color="auto"/>
        <w:bottom w:val="none" w:sz="0" w:space="0" w:color="auto"/>
        <w:right w:val="none" w:sz="0" w:space="0" w:color="auto"/>
      </w:divBdr>
    </w:div>
    <w:div w:id="213405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pmrv.2021.02.004" TargetMode="External"/><Relationship Id="rId3" Type="http://schemas.openxmlformats.org/officeDocument/2006/relationships/settings" Target="settings.xml"/><Relationship Id="rId7" Type="http://schemas.openxmlformats.org/officeDocument/2006/relationships/hyperlink" Target="https://doi.org/10.1108/XJM-01-2021-0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jrfm15120611" TargetMode="External"/><Relationship Id="rId11" Type="http://schemas.openxmlformats.org/officeDocument/2006/relationships/theme" Target="theme/theme1.xml"/><Relationship Id="rId5" Type="http://schemas.openxmlformats.org/officeDocument/2006/relationships/hyperlink" Target="file:////insight/search%3fq=K.%20Dhananjay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77/0971890719835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14</Pages>
  <Words>3936</Words>
  <Characters>22440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 STAFF85</dc:creator>
  <cp:keywords/>
  <dc:description/>
  <cp:lastModifiedBy>22864</cp:lastModifiedBy>
  <cp:revision>8</cp:revision>
  <dcterms:created xsi:type="dcterms:W3CDTF">2023-04-19T15:59:00Z</dcterms:created>
  <dcterms:modified xsi:type="dcterms:W3CDTF">2023-04-24T13:42:00Z</dcterms:modified>
</cp:coreProperties>
</file>