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DE1" w:rsidRPr="00031C40" w:rsidRDefault="00EF1072" w:rsidP="00003884">
      <w:pPr>
        <w:jc w:val="center"/>
        <w:rPr>
          <w:rFonts w:ascii="Times New Roman" w:hAnsi="Times New Roman" w:cs="Times New Roman"/>
          <w:b/>
        </w:rPr>
      </w:pPr>
      <w:r w:rsidRPr="00031C40">
        <w:rPr>
          <w:rFonts w:ascii="Times New Roman" w:hAnsi="Times New Roman" w:cs="Times New Roman"/>
          <w:b/>
        </w:rPr>
        <w:t>Towards 20</w:t>
      </w:r>
      <w:r w:rsidR="0073198E" w:rsidRPr="00031C40">
        <w:rPr>
          <w:rFonts w:ascii="Times New Roman" w:hAnsi="Times New Roman" w:cs="Times New Roman"/>
          <w:b/>
        </w:rPr>
        <w:t>6</w:t>
      </w:r>
      <w:r w:rsidRPr="00031C40">
        <w:rPr>
          <w:rFonts w:ascii="Times New Roman" w:hAnsi="Times New Roman" w:cs="Times New Roman"/>
          <w:b/>
        </w:rPr>
        <w:t xml:space="preserve">0 Net Zero Emission: </w:t>
      </w:r>
      <w:r w:rsidR="00187929" w:rsidRPr="00031C40">
        <w:rPr>
          <w:rFonts w:ascii="Times New Roman" w:hAnsi="Times New Roman" w:cs="Times New Roman"/>
          <w:b/>
        </w:rPr>
        <w:t>Marching the Electricity Demand with S</w:t>
      </w:r>
      <w:r w:rsidR="00C763A2" w:rsidRPr="00031C40">
        <w:rPr>
          <w:rFonts w:ascii="Times New Roman" w:hAnsi="Times New Roman" w:cs="Times New Roman"/>
          <w:b/>
        </w:rPr>
        <w:t>upply</w:t>
      </w:r>
      <w:r w:rsidRPr="00031C40">
        <w:rPr>
          <w:rFonts w:ascii="Times New Roman" w:hAnsi="Times New Roman" w:cs="Times New Roman"/>
          <w:b/>
        </w:rPr>
        <w:t xml:space="preserve"> </w:t>
      </w:r>
      <w:r w:rsidR="003417B6" w:rsidRPr="00031C40">
        <w:rPr>
          <w:rFonts w:ascii="Times New Roman" w:hAnsi="Times New Roman" w:cs="Times New Roman"/>
          <w:b/>
        </w:rPr>
        <w:t xml:space="preserve">in Nigeria </w:t>
      </w:r>
      <w:r w:rsidRPr="00031C40">
        <w:rPr>
          <w:rFonts w:ascii="Times New Roman" w:hAnsi="Times New Roman" w:cs="Times New Roman"/>
          <w:b/>
        </w:rPr>
        <w:t>Using N</w:t>
      </w:r>
      <w:r w:rsidR="00187929" w:rsidRPr="00031C40">
        <w:rPr>
          <w:rFonts w:ascii="Times New Roman" w:hAnsi="Times New Roman" w:cs="Times New Roman"/>
          <w:b/>
        </w:rPr>
        <w:t xml:space="preserve">ECAL </w:t>
      </w:r>
      <w:r w:rsidRPr="00031C40">
        <w:rPr>
          <w:rFonts w:ascii="Times New Roman" w:hAnsi="Times New Roman" w:cs="Times New Roman"/>
          <w:b/>
        </w:rPr>
        <w:t>20</w:t>
      </w:r>
      <w:r w:rsidR="0073198E" w:rsidRPr="00031C40">
        <w:rPr>
          <w:rFonts w:ascii="Times New Roman" w:hAnsi="Times New Roman" w:cs="Times New Roman"/>
          <w:b/>
        </w:rPr>
        <w:t>6</w:t>
      </w:r>
      <w:r w:rsidRPr="00031C40">
        <w:rPr>
          <w:rFonts w:ascii="Times New Roman" w:hAnsi="Times New Roman" w:cs="Times New Roman"/>
          <w:b/>
        </w:rPr>
        <w:t>0</w:t>
      </w:r>
    </w:p>
    <w:p w:rsidR="006C3914" w:rsidRPr="00031C40" w:rsidRDefault="006C3914" w:rsidP="00003884">
      <w:pPr>
        <w:spacing w:after="0" w:line="240" w:lineRule="auto"/>
        <w:jc w:val="center"/>
        <w:rPr>
          <w:rFonts w:ascii="Times New Roman" w:hAnsi="Times New Roman" w:cs="Times New Roman"/>
          <w:b/>
        </w:rPr>
      </w:pPr>
      <w:r w:rsidRPr="00031C40">
        <w:rPr>
          <w:rFonts w:ascii="Times New Roman" w:hAnsi="Times New Roman" w:cs="Times New Roman"/>
          <w:b/>
        </w:rPr>
        <w:t>Abdullahi Adamu*</w:t>
      </w:r>
      <w:r w:rsidR="00A274A0">
        <w:rPr>
          <w:rFonts w:ascii="Times New Roman" w:hAnsi="Times New Roman" w:cs="Times New Roman"/>
          <w:b/>
          <w:vertAlign w:val="superscript"/>
        </w:rPr>
        <w:t xml:space="preserve">1 </w:t>
      </w:r>
      <w:r w:rsidR="00A274A0" w:rsidRPr="00A274A0">
        <w:rPr>
          <w:rFonts w:ascii="Times New Roman" w:hAnsi="Times New Roman" w:cs="Times New Roman"/>
          <w:b/>
        </w:rPr>
        <w:t>and</w:t>
      </w:r>
      <w:r w:rsidR="00A274A0">
        <w:rPr>
          <w:rFonts w:ascii="Times New Roman" w:hAnsi="Times New Roman" w:cs="Times New Roman"/>
          <w:b/>
        </w:rPr>
        <w:t xml:space="preserve"> </w:t>
      </w:r>
      <w:r w:rsidR="00A274A0" w:rsidRPr="00031C40">
        <w:rPr>
          <w:rFonts w:ascii="Times New Roman" w:hAnsi="Times New Roman" w:cs="Times New Roman"/>
          <w:b/>
        </w:rPr>
        <w:t>Abubakar Sani Sambo</w:t>
      </w:r>
      <w:r w:rsidR="00A274A0">
        <w:rPr>
          <w:rFonts w:ascii="Times New Roman" w:hAnsi="Times New Roman" w:cs="Times New Roman"/>
          <w:b/>
          <w:vertAlign w:val="superscript"/>
        </w:rPr>
        <w:t>2</w:t>
      </w:r>
      <w:r w:rsidRPr="00031C40">
        <w:rPr>
          <w:rFonts w:ascii="Times New Roman" w:hAnsi="Times New Roman" w:cs="Times New Roman"/>
          <w:b/>
        </w:rPr>
        <w:t xml:space="preserve"> </w:t>
      </w:r>
    </w:p>
    <w:p w:rsidR="006C3914" w:rsidRPr="00031C40" w:rsidRDefault="006C3914" w:rsidP="00003884">
      <w:pPr>
        <w:spacing w:after="0" w:line="240" w:lineRule="auto"/>
        <w:jc w:val="center"/>
        <w:rPr>
          <w:rFonts w:ascii="Times New Roman" w:hAnsi="Times New Roman" w:cs="Times New Roman"/>
        </w:rPr>
      </w:pPr>
    </w:p>
    <w:p w:rsidR="00A274A0" w:rsidRPr="00031C40" w:rsidRDefault="00A274A0" w:rsidP="00A274A0">
      <w:pPr>
        <w:spacing w:after="0" w:line="240" w:lineRule="auto"/>
        <w:jc w:val="center"/>
        <w:rPr>
          <w:rFonts w:ascii="Times New Roman" w:hAnsi="Times New Roman" w:cs="Times New Roman"/>
        </w:rPr>
      </w:pPr>
      <w:r w:rsidRPr="00031C40">
        <w:rPr>
          <w:rFonts w:ascii="Times New Roman" w:hAnsi="Times New Roman" w:cs="Times New Roman"/>
          <w:vertAlign w:val="superscript"/>
        </w:rPr>
        <w:t>2</w:t>
      </w:r>
      <w:r w:rsidRPr="00031C40">
        <w:rPr>
          <w:rFonts w:ascii="Times New Roman" w:hAnsi="Times New Roman" w:cs="Times New Roman"/>
        </w:rPr>
        <w:t>Department of Environmental and Resources Management,</w:t>
      </w:r>
    </w:p>
    <w:p w:rsidR="00A274A0" w:rsidRPr="00031C40" w:rsidRDefault="00A274A0" w:rsidP="00A274A0">
      <w:pPr>
        <w:spacing w:after="0" w:line="240" w:lineRule="auto"/>
        <w:jc w:val="center"/>
        <w:rPr>
          <w:rFonts w:ascii="Times New Roman" w:hAnsi="Times New Roman" w:cs="Times New Roman"/>
        </w:rPr>
      </w:pPr>
      <w:r w:rsidRPr="00031C40">
        <w:rPr>
          <w:rFonts w:ascii="Times New Roman" w:hAnsi="Times New Roman" w:cs="Times New Roman"/>
        </w:rPr>
        <w:t>Faculty of Engineering and Environmental Science,</w:t>
      </w:r>
    </w:p>
    <w:p w:rsidR="00A274A0" w:rsidRPr="00031C40" w:rsidRDefault="00A274A0" w:rsidP="00A274A0">
      <w:pPr>
        <w:spacing w:after="0" w:line="240" w:lineRule="auto"/>
        <w:jc w:val="center"/>
        <w:rPr>
          <w:rFonts w:ascii="Times New Roman" w:hAnsi="Times New Roman" w:cs="Times New Roman"/>
        </w:rPr>
      </w:pPr>
      <w:r w:rsidRPr="00031C40">
        <w:rPr>
          <w:rFonts w:ascii="Times New Roman" w:hAnsi="Times New Roman" w:cs="Times New Roman"/>
        </w:rPr>
        <w:t>Usmanu Danfodiyo University Sokoto</w:t>
      </w:r>
    </w:p>
    <w:p w:rsidR="00A274A0" w:rsidRDefault="00A274A0" w:rsidP="00003884">
      <w:pPr>
        <w:spacing w:after="0" w:line="240" w:lineRule="auto"/>
        <w:jc w:val="center"/>
        <w:rPr>
          <w:rFonts w:ascii="Times New Roman" w:hAnsi="Times New Roman" w:cs="Times New Roman"/>
          <w:vertAlign w:val="superscript"/>
        </w:rPr>
      </w:pPr>
    </w:p>
    <w:p w:rsidR="006C3914" w:rsidRPr="00031C40" w:rsidRDefault="006C3914" w:rsidP="00003884">
      <w:pPr>
        <w:spacing w:after="0" w:line="240" w:lineRule="auto"/>
        <w:jc w:val="center"/>
        <w:rPr>
          <w:rFonts w:ascii="Times New Roman" w:hAnsi="Times New Roman" w:cs="Times New Roman"/>
        </w:rPr>
      </w:pPr>
      <w:r w:rsidRPr="00031C40">
        <w:rPr>
          <w:rFonts w:ascii="Times New Roman" w:hAnsi="Times New Roman" w:cs="Times New Roman"/>
          <w:vertAlign w:val="superscript"/>
        </w:rPr>
        <w:t>1</w:t>
      </w:r>
      <w:r w:rsidRPr="00031C40">
        <w:rPr>
          <w:rFonts w:ascii="Times New Roman" w:hAnsi="Times New Roman" w:cs="Times New Roman"/>
        </w:rPr>
        <w:t>Department of Mechanical Engineering,</w:t>
      </w:r>
    </w:p>
    <w:p w:rsidR="006C3914" w:rsidRPr="00031C40" w:rsidRDefault="006C3914" w:rsidP="00003884">
      <w:pPr>
        <w:spacing w:after="0" w:line="240" w:lineRule="auto"/>
        <w:jc w:val="center"/>
        <w:rPr>
          <w:rFonts w:ascii="Times New Roman" w:hAnsi="Times New Roman" w:cs="Times New Roman"/>
        </w:rPr>
      </w:pPr>
      <w:r w:rsidRPr="00031C40">
        <w:rPr>
          <w:rFonts w:ascii="Times New Roman" w:hAnsi="Times New Roman" w:cs="Times New Roman"/>
        </w:rPr>
        <w:t>Faculty of Engineering and Environmental Science,</w:t>
      </w:r>
    </w:p>
    <w:p w:rsidR="006C3914" w:rsidRPr="00031C40" w:rsidRDefault="006C3914" w:rsidP="00003884">
      <w:pPr>
        <w:spacing w:after="0" w:line="240" w:lineRule="auto"/>
        <w:jc w:val="center"/>
        <w:rPr>
          <w:rFonts w:ascii="Times New Roman" w:hAnsi="Times New Roman" w:cs="Times New Roman"/>
        </w:rPr>
      </w:pPr>
      <w:r w:rsidRPr="00031C40">
        <w:rPr>
          <w:rFonts w:ascii="Times New Roman" w:hAnsi="Times New Roman" w:cs="Times New Roman"/>
        </w:rPr>
        <w:t>Usmanu Danfodiyo University Sokoto</w:t>
      </w:r>
    </w:p>
    <w:p w:rsidR="006C3914" w:rsidRPr="00031C40" w:rsidRDefault="006C3914" w:rsidP="00003884">
      <w:pPr>
        <w:spacing w:after="0" w:line="240" w:lineRule="auto"/>
        <w:jc w:val="center"/>
        <w:rPr>
          <w:rFonts w:ascii="Times New Roman" w:hAnsi="Times New Roman" w:cs="Times New Roman"/>
        </w:rPr>
      </w:pPr>
    </w:p>
    <w:p w:rsidR="006C3914" w:rsidRPr="00031C40" w:rsidRDefault="006C3914" w:rsidP="00003884">
      <w:pPr>
        <w:spacing w:after="0" w:line="240" w:lineRule="auto"/>
        <w:jc w:val="center"/>
        <w:rPr>
          <w:rFonts w:ascii="Times New Roman" w:hAnsi="Times New Roman" w:cs="Times New Roman"/>
        </w:rPr>
      </w:pPr>
    </w:p>
    <w:p w:rsidR="006C3914" w:rsidRPr="00031C40" w:rsidRDefault="006C3914" w:rsidP="00031C40">
      <w:pPr>
        <w:spacing w:after="0" w:line="240" w:lineRule="auto"/>
        <w:jc w:val="both"/>
        <w:rPr>
          <w:rFonts w:ascii="Times New Roman" w:hAnsi="Times New Roman" w:cs="Times New Roman"/>
        </w:rPr>
      </w:pPr>
    </w:p>
    <w:p w:rsidR="006C3914" w:rsidRPr="00031C40" w:rsidRDefault="006C3914" w:rsidP="00031C40">
      <w:pPr>
        <w:spacing w:after="0" w:line="240" w:lineRule="auto"/>
        <w:jc w:val="both"/>
        <w:rPr>
          <w:rFonts w:ascii="Times New Roman" w:hAnsi="Times New Roman" w:cs="Times New Roman"/>
        </w:rPr>
      </w:pPr>
    </w:p>
    <w:p w:rsidR="006C3914" w:rsidRPr="00031C40" w:rsidRDefault="006C3914" w:rsidP="00031C40">
      <w:pPr>
        <w:spacing w:after="0" w:line="240" w:lineRule="auto"/>
        <w:jc w:val="both"/>
        <w:rPr>
          <w:rFonts w:ascii="Times New Roman" w:hAnsi="Times New Roman" w:cs="Times New Roman"/>
        </w:rPr>
      </w:pPr>
      <w:r w:rsidRPr="00031C40">
        <w:rPr>
          <w:rFonts w:ascii="Times New Roman" w:hAnsi="Times New Roman" w:cs="Times New Roman"/>
          <w:b/>
        </w:rPr>
        <w:t>*Corresponding Author email:</w:t>
      </w:r>
      <w:r w:rsidRPr="00031C40">
        <w:rPr>
          <w:rFonts w:ascii="Times New Roman" w:hAnsi="Times New Roman" w:cs="Times New Roman"/>
        </w:rPr>
        <w:t xml:space="preserve"> </w:t>
      </w:r>
      <w:hyperlink r:id="rId6" w:history="1">
        <w:r w:rsidR="000E739C" w:rsidRPr="00EC0E62">
          <w:rPr>
            <w:rStyle w:val="Hyperlink"/>
            <w:rFonts w:ascii="Times New Roman" w:hAnsi="Times New Roman" w:cs="Times New Roman"/>
          </w:rPr>
          <w:t>adamu.abdullahi@udusok.edu.ng</w:t>
        </w:r>
      </w:hyperlink>
    </w:p>
    <w:p w:rsidR="006C3914" w:rsidRPr="00031C40" w:rsidRDefault="006C3914" w:rsidP="00031C40">
      <w:pPr>
        <w:spacing w:after="0" w:line="240" w:lineRule="auto"/>
        <w:jc w:val="both"/>
        <w:rPr>
          <w:rFonts w:ascii="Times New Roman" w:hAnsi="Times New Roman" w:cs="Times New Roman"/>
        </w:rPr>
      </w:pPr>
    </w:p>
    <w:p w:rsidR="006C3914" w:rsidRPr="00031C40" w:rsidRDefault="006C3914" w:rsidP="00031C40">
      <w:pPr>
        <w:spacing w:after="0" w:line="240" w:lineRule="auto"/>
        <w:jc w:val="both"/>
        <w:rPr>
          <w:rFonts w:ascii="Times New Roman" w:hAnsi="Times New Roman" w:cs="Times New Roman"/>
          <w:b/>
        </w:rPr>
      </w:pPr>
    </w:p>
    <w:p w:rsidR="006C3914" w:rsidRPr="00031C40" w:rsidRDefault="006C3914" w:rsidP="00031C40">
      <w:pPr>
        <w:pStyle w:val="Heading1"/>
        <w:spacing w:before="0" w:line="240" w:lineRule="auto"/>
        <w:jc w:val="both"/>
        <w:rPr>
          <w:rFonts w:cs="Times New Roman"/>
          <w:sz w:val="22"/>
          <w:szCs w:val="22"/>
        </w:rPr>
      </w:pPr>
      <w:r w:rsidRPr="00031C40">
        <w:rPr>
          <w:rFonts w:cs="Times New Roman"/>
          <w:sz w:val="22"/>
          <w:szCs w:val="22"/>
        </w:rPr>
        <w:t>ABSTRACT</w:t>
      </w:r>
    </w:p>
    <w:p w:rsidR="00311F13" w:rsidRPr="00031C40" w:rsidRDefault="00311F13" w:rsidP="00031C40">
      <w:pPr>
        <w:spacing w:after="0" w:line="240" w:lineRule="auto"/>
        <w:jc w:val="both"/>
        <w:rPr>
          <w:rFonts w:ascii="Times New Roman" w:hAnsi="Times New Roman" w:cs="Times New Roman"/>
        </w:rPr>
      </w:pPr>
    </w:p>
    <w:p w:rsidR="00CF0575" w:rsidRDefault="00CF0575" w:rsidP="00CF0575">
      <w:pPr>
        <w:spacing w:after="0" w:line="240" w:lineRule="auto"/>
        <w:jc w:val="both"/>
        <w:rPr>
          <w:rFonts w:ascii="Times New Roman" w:hAnsi="Times New Roman" w:cs="Times New Roman"/>
          <w:sz w:val="24"/>
          <w:szCs w:val="24"/>
        </w:rPr>
      </w:pPr>
      <w:r w:rsidRPr="004774FA">
        <w:rPr>
          <w:rFonts w:ascii="Times New Roman" w:hAnsi="Times New Roman" w:cs="Times New Roman"/>
          <w:sz w:val="24"/>
          <w:szCs w:val="24"/>
        </w:rPr>
        <w:t xml:space="preserve">The gap between energy demand and supply in Nigeria creates a great hindrance to the country’s sustainable development agenda and </w:t>
      </w:r>
      <w:r>
        <w:rPr>
          <w:rFonts w:ascii="Times New Roman" w:hAnsi="Times New Roman" w:cs="Times New Roman"/>
          <w:sz w:val="24"/>
          <w:szCs w:val="24"/>
        </w:rPr>
        <w:t>the realization of its 2060 net zero emissions</w:t>
      </w:r>
      <w:r w:rsidRPr="004774FA">
        <w:rPr>
          <w:rFonts w:ascii="Times New Roman" w:hAnsi="Times New Roman" w:cs="Times New Roman"/>
          <w:sz w:val="24"/>
          <w:szCs w:val="24"/>
        </w:rPr>
        <w:t>. The objective of the</w:t>
      </w:r>
      <w:r w:rsidR="009360BD">
        <w:rPr>
          <w:rFonts w:ascii="Times New Roman" w:hAnsi="Times New Roman" w:cs="Times New Roman"/>
          <w:sz w:val="24"/>
          <w:szCs w:val="24"/>
        </w:rPr>
        <w:t xml:space="preserve"> </w:t>
      </w:r>
      <w:r w:rsidRPr="004774FA">
        <w:rPr>
          <w:rFonts w:ascii="Times New Roman" w:hAnsi="Times New Roman" w:cs="Times New Roman"/>
          <w:sz w:val="24"/>
          <w:szCs w:val="24"/>
        </w:rPr>
        <w:t>study reported in this article was to model the electricity demand and supply using the Nigeria Energy Calculator (NECAL 2050)</w:t>
      </w:r>
      <w:r w:rsidR="009360BD">
        <w:rPr>
          <w:rFonts w:ascii="Times New Roman" w:hAnsi="Times New Roman" w:cs="Times New Roman"/>
          <w:sz w:val="24"/>
          <w:szCs w:val="24"/>
        </w:rPr>
        <w:t xml:space="preserve"> </w:t>
      </w:r>
      <w:bookmarkStart w:id="0" w:name="_GoBack"/>
      <w:bookmarkEnd w:id="0"/>
      <w:r w:rsidRPr="004774FA">
        <w:rPr>
          <w:rFonts w:ascii="Times New Roman" w:hAnsi="Times New Roman" w:cs="Times New Roman"/>
          <w:sz w:val="24"/>
          <w:szCs w:val="24"/>
        </w:rPr>
        <w:t>which develops consistent scenarios of energy supply to meet energy demand projections. The choices that lead in this direction vary, reflecting the different resource endowments and starting points across a very diverse Nigerian energy landscape.</w:t>
      </w:r>
      <w:r w:rsidR="009360BD">
        <w:rPr>
          <w:rFonts w:ascii="Times New Roman" w:hAnsi="Times New Roman" w:cs="Times New Roman"/>
          <w:sz w:val="24"/>
          <w:szCs w:val="24"/>
        </w:rPr>
        <w:t xml:space="preserve"> </w:t>
      </w:r>
      <w:r>
        <w:rPr>
          <w:rFonts w:ascii="Times New Roman" w:hAnsi="Times New Roman" w:cs="Times New Roman"/>
          <w:sz w:val="24"/>
          <w:szCs w:val="24"/>
        </w:rPr>
        <w:t>F</w:t>
      </w:r>
      <w:r w:rsidRPr="004774FA">
        <w:rPr>
          <w:rFonts w:ascii="Times New Roman" w:hAnsi="Times New Roman" w:cs="Times New Roman"/>
          <w:sz w:val="24"/>
          <w:szCs w:val="24"/>
        </w:rPr>
        <w:t xml:space="preserve">or Nigeria to </w:t>
      </w:r>
      <w:r>
        <w:rPr>
          <w:rFonts w:ascii="Times New Roman" w:hAnsi="Times New Roman" w:cs="Times New Roman"/>
          <w:sz w:val="24"/>
          <w:szCs w:val="24"/>
        </w:rPr>
        <w:t>use</w:t>
      </w:r>
      <w:r w:rsidRPr="004774FA">
        <w:rPr>
          <w:rFonts w:ascii="Times New Roman" w:hAnsi="Times New Roman" w:cs="Times New Roman"/>
          <w:sz w:val="24"/>
          <w:szCs w:val="24"/>
        </w:rPr>
        <w:t xml:space="preserve"> the enormous potential of its energy resources </w:t>
      </w:r>
      <w:r>
        <w:rPr>
          <w:rFonts w:ascii="Times New Roman" w:hAnsi="Times New Roman" w:cs="Times New Roman"/>
          <w:sz w:val="24"/>
          <w:szCs w:val="24"/>
        </w:rPr>
        <w:t>given</w:t>
      </w:r>
      <w:r w:rsidRPr="004774FA">
        <w:rPr>
          <w:rFonts w:ascii="Times New Roman" w:hAnsi="Times New Roman" w:cs="Times New Roman"/>
          <w:sz w:val="24"/>
          <w:szCs w:val="24"/>
        </w:rPr>
        <w:t xml:space="preserve"> its drive to match electricity demand with supply, and its vision towards 2060 net zero agenda, the barriers to achieving these must be eliminated through significant investment in R&amp;D, the building of indigenous human and manufacturing capacities and intensification of the on-going economic reform to create an investor-friendly environment.</w:t>
      </w:r>
    </w:p>
    <w:p w:rsidR="00CF0575" w:rsidRPr="004774FA" w:rsidRDefault="00CF0575" w:rsidP="00CF0575">
      <w:pPr>
        <w:spacing w:after="0" w:line="240" w:lineRule="auto"/>
        <w:jc w:val="both"/>
        <w:rPr>
          <w:rFonts w:ascii="Times New Roman" w:hAnsi="Times New Roman" w:cs="Times New Roman"/>
          <w:sz w:val="24"/>
          <w:szCs w:val="24"/>
        </w:rPr>
      </w:pPr>
    </w:p>
    <w:p w:rsidR="00CF0575" w:rsidRPr="004774FA" w:rsidRDefault="00CF0575" w:rsidP="00CF0575">
      <w:pPr>
        <w:spacing w:after="0" w:line="240" w:lineRule="auto"/>
        <w:jc w:val="both"/>
        <w:rPr>
          <w:rFonts w:ascii="Times New Roman" w:hAnsi="Times New Roman" w:cs="Times New Roman"/>
          <w:sz w:val="24"/>
          <w:szCs w:val="24"/>
        </w:rPr>
      </w:pPr>
      <w:r w:rsidRPr="00CF0575">
        <w:rPr>
          <w:rFonts w:ascii="Times New Roman" w:hAnsi="Times New Roman" w:cs="Times New Roman"/>
          <w:b/>
          <w:sz w:val="24"/>
          <w:szCs w:val="24"/>
        </w:rPr>
        <w:t>KEYWORDS:</w:t>
      </w:r>
      <w:r w:rsidRPr="004774FA">
        <w:rPr>
          <w:rFonts w:ascii="Times New Roman" w:hAnsi="Times New Roman" w:cs="Times New Roman"/>
          <w:sz w:val="24"/>
          <w:szCs w:val="24"/>
        </w:rPr>
        <w:t xml:space="preserve"> Energy Demand and Supply Projections; Electricity Projections; Energy Resources; 2060 Net Zero Pledge</w:t>
      </w:r>
    </w:p>
    <w:p w:rsidR="00311F13" w:rsidRPr="00031C40" w:rsidRDefault="00311F13" w:rsidP="00031C40">
      <w:pPr>
        <w:spacing w:after="0" w:line="240" w:lineRule="auto"/>
        <w:jc w:val="both"/>
        <w:rPr>
          <w:rFonts w:ascii="Times New Roman" w:hAnsi="Times New Roman" w:cs="Times New Roman"/>
        </w:rPr>
      </w:pPr>
    </w:p>
    <w:p w:rsidR="007B2C7F" w:rsidRPr="00031C40" w:rsidRDefault="007B2C7F" w:rsidP="00031C40">
      <w:pPr>
        <w:pStyle w:val="Heading2"/>
        <w:spacing w:before="0" w:line="240" w:lineRule="auto"/>
        <w:jc w:val="both"/>
        <w:rPr>
          <w:rFonts w:cs="Times New Roman"/>
          <w:sz w:val="22"/>
          <w:szCs w:val="22"/>
        </w:rPr>
      </w:pPr>
      <w:r w:rsidRPr="00031C40">
        <w:rPr>
          <w:rFonts w:cs="Times New Roman"/>
          <w:sz w:val="22"/>
          <w:szCs w:val="22"/>
        </w:rPr>
        <w:t>INTRODUCTION</w:t>
      </w:r>
    </w:p>
    <w:p w:rsidR="00CA03BE" w:rsidRPr="00031C40" w:rsidRDefault="00CA03BE" w:rsidP="00031C40">
      <w:pPr>
        <w:spacing w:after="0" w:line="240" w:lineRule="auto"/>
        <w:jc w:val="both"/>
        <w:rPr>
          <w:rFonts w:ascii="Times New Roman" w:hAnsi="Times New Roman" w:cs="Times New Roman"/>
        </w:rPr>
      </w:pPr>
    </w:p>
    <w:p w:rsidR="00CA03BE" w:rsidRPr="00031C40" w:rsidRDefault="00CA03BE" w:rsidP="00031C40">
      <w:pPr>
        <w:spacing w:after="0" w:line="240" w:lineRule="auto"/>
        <w:jc w:val="both"/>
        <w:rPr>
          <w:rFonts w:ascii="Times New Roman" w:hAnsi="Times New Roman" w:cs="Times New Roman"/>
        </w:rPr>
      </w:pPr>
      <w:r w:rsidRPr="00031C40">
        <w:rPr>
          <w:rFonts w:ascii="Times New Roman" w:hAnsi="Times New Roman" w:cs="Times New Roman"/>
        </w:rPr>
        <w:t>Access to a stable and secure supply of energy is a fundamental driver o</w:t>
      </w:r>
      <w:r w:rsidR="00BC3EC5" w:rsidRPr="00031C40">
        <w:rPr>
          <w:rFonts w:ascii="Times New Roman" w:hAnsi="Times New Roman" w:cs="Times New Roman"/>
        </w:rPr>
        <w:t>f economic growth. Several Sub-</w:t>
      </w:r>
      <w:r w:rsidRPr="00031C40">
        <w:rPr>
          <w:rFonts w:ascii="Times New Roman" w:hAnsi="Times New Roman" w:cs="Times New Roman"/>
        </w:rPr>
        <w:t xml:space="preserve">Saharan African countries are amongst the least developed economies in the world. A large proportion of the population in the region lack access to electricity and other modern energy services, while those who have access face frequent outages. More than two-thirds of the population, approximately 600 million people, in Sub-Saharan Africa lacked access to electricity in 2016 </w:t>
      </w:r>
      <w:r w:rsidRPr="00031C40">
        <w:rPr>
          <w:rFonts w:ascii="Times New Roman" w:hAnsi="Times New Roman" w:cs="Times New Roman"/>
        </w:rPr>
        <w:fldChar w:fldCharType="begin" w:fldLock="1"/>
      </w:r>
      <w:r w:rsidRPr="00031C40">
        <w:rPr>
          <w:rFonts w:ascii="Times New Roman" w:hAnsi="Times New Roman" w:cs="Times New Roman"/>
        </w:rPr>
        <w:instrText>ADDIN CSL_CITATION {"citationItems":[{"id":"ITEM-1","itemData":{"DOI":"10.2760/678700","ISBN":"9789276123910","abstract":"This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 For information on the methodology and quality underlying the data used in this publication for which the source is neither Eurostat nor other Commission services, users should contact the referenced source. 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author":[{"dropping-particle":"","family":"Pappis","given":"I.","non-dropping-particle":"","parse-names":false,"suffix":""},{"dropping-particle":"","family":"Howells","given":"M.","non-dropping-particle":"","parse-names":false,"suffix":""},{"dropping-particle":"","family":"Sridharan","given":"V.","non-dropping-particle":"","parse-names":false,"suffix":""},{"dropping-particle":"","family":"Usher","given":"W.","non-dropping-particle":"","parse-names":false,"suffix":""},{"dropping-particle":"","family":"Shivakumar","given":"A.","non-dropping-particle":"","parse-names":false,"suffix":""},{"dropping-particle":"","family":"Gardumi","given":"F.","non-dropping-particle":"","parse-names":false,"suffix":""},{"dropping-particle":"","family":"Ramos","given":"E","non-dropping-particle":"","parse-names":false,"suffix":""}],"id":"ITEM-1","issued":{"date-parts":[["2019"]]},"number-of-pages":"104","title":"Energy projections for African countries","type":"report"},"uris":["http://www.mendeley.com/documents/?uuid=4bfcdcdf-67e3-4bff-aab2-18cfce65bdaa"]}],"mendeley":{"formattedCitation":"(Pappis et al., 2019)","plainTextFormattedCitation":"(Pappis et al., 2019)","previouslyFormattedCitation":"(Pappis et al., 2019)"},"properties":{"noteIndex":0},"schema":"https://github.com/citation-style-language/schema/raw/master/csl-citation.json"}</w:instrText>
      </w:r>
      <w:r w:rsidRPr="00031C40">
        <w:rPr>
          <w:rFonts w:ascii="Times New Roman" w:hAnsi="Times New Roman" w:cs="Times New Roman"/>
        </w:rPr>
        <w:fldChar w:fldCharType="separate"/>
      </w:r>
      <w:r w:rsidRPr="00031C40">
        <w:rPr>
          <w:rFonts w:ascii="Times New Roman" w:hAnsi="Times New Roman" w:cs="Times New Roman"/>
          <w:noProof/>
        </w:rPr>
        <w:t>(Pappis et al., 2019)</w:t>
      </w:r>
      <w:r w:rsidRPr="00031C40">
        <w:rPr>
          <w:rFonts w:ascii="Times New Roman" w:hAnsi="Times New Roman" w:cs="Times New Roman"/>
        </w:rPr>
        <w:fldChar w:fldCharType="end"/>
      </w:r>
      <w:r w:rsidRPr="00031C40">
        <w:rPr>
          <w:rFonts w:ascii="Times New Roman" w:hAnsi="Times New Roman" w:cs="Times New Roman"/>
        </w:rPr>
        <w:t>.</w:t>
      </w:r>
    </w:p>
    <w:p w:rsidR="00882C65" w:rsidRPr="00031C40" w:rsidRDefault="00882C65" w:rsidP="00031C40">
      <w:pPr>
        <w:spacing w:after="0" w:line="240" w:lineRule="auto"/>
        <w:jc w:val="both"/>
        <w:rPr>
          <w:rFonts w:ascii="Times New Roman" w:hAnsi="Times New Roman" w:cs="Times New Roman"/>
        </w:rPr>
      </w:pPr>
    </w:p>
    <w:p w:rsidR="00CA03BE" w:rsidRPr="00031C40" w:rsidRDefault="00B75DF7" w:rsidP="00031C40">
      <w:pPr>
        <w:spacing w:after="0" w:line="240" w:lineRule="auto"/>
        <w:jc w:val="both"/>
        <w:rPr>
          <w:rFonts w:ascii="Times New Roman" w:hAnsi="Times New Roman" w:cs="Times New Roman"/>
        </w:rPr>
      </w:pPr>
      <w:r w:rsidRPr="00031C40">
        <w:rPr>
          <w:rFonts w:ascii="Times New Roman" w:hAnsi="Times New Roman" w:cs="Times New Roman"/>
        </w:rPr>
        <w:t xml:space="preserve">For many developing nations in sub-Saharan Africa, and Nigeria in particular </w:t>
      </w:r>
      <w:r w:rsidR="00882C65" w:rsidRPr="00031C40">
        <w:rPr>
          <w:rFonts w:ascii="Times New Roman" w:hAnsi="Times New Roman" w:cs="Times New Roman"/>
        </w:rPr>
        <w:t xml:space="preserve">is faced with substantial electricity supply gap </w:t>
      </w:r>
      <w:r w:rsidR="00882C65" w:rsidRPr="00031C40">
        <w:rPr>
          <w:rFonts w:ascii="Times New Roman" w:hAnsi="Times New Roman" w:cs="Times New Roman"/>
        </w:rPr>
        <w:fldChar w:fldCharType="begin" w:fldLock="1"/>
      </w:r>
      <w:r w:rsidR="00882C65" w:rsidRPr="00031C40">
        <w:rPr>
          <w:rFonts w:ascii="Times New Roman" w:hAnsi="Times New Roman" w:cs="Times New Roman"/>
        </w:rPr>
        <w:instrText>ADDIN CSL_CITATION {"citationItems":[{"id":"ITEM-1","itemData":{"author":[{"dropping-particle":"","family":"Rapu","given":"Chukwueyem S","non-dropping-particle":"","parse-names":false,"suffix":""},{"dropping-particle":"","family":"Adenuga","given":"Adeniyi O","non-dropping-particle":"","parse-names":false,"suffix":""},{"dropping-particle":"","family":"Kanya","given":"Williams J","non-dropping-particle":"","parse-names":false,"suffix":""},{"dropping-particle":"","family":"Abeng","given":"Magnus O","non-dropping-particle":"","parse-names":false,"suffix":""},{"dropping-particle":"","family":"Golit","given":"Peter D","non-dropping-particle":"","parse-names":false,"suffix":""},{"dropping-particle":"","family":"Hilili","given":"Margaret J","non-dropping-particle":"","parse-names":false,"suffix":""},{"dropping-particle":"","family":"Uba","given":"Ibrahim A","non-dropping-particle":"","parse-names":false,"suffix":""},{"dropping-particle":"","family":"Ochu","given":"Emeka R","non-dropping-particle":"","parse-names":false,"suffix":""}],"container-title":"Central Bank of Nigeria: Occassion Paper","id":"ITEM-1","issue":"55","issued":{"date-parts":[["2015"]]},"title":"Analysis of Energy Market","type":"report"},"uris":["http://www.mendeley.com/documents/?uuid=0d669036-77cd-4240-b922-42767d68730a"]}],"mendeley":{"formattedCitation":"(Rapu et al., 2015)","plainTextFormattedCitation":"(Rapu et al., 2015)","previouslyFormattedCitation":"(Rapu et al., 2015)"},"properties":{"noteIndex":0},"schema":"https://github.com/citation-style-language/schema/raw/master/csl-citation.json"}</w:instrText>
      </w:r>
      <w:r w:rsidR="00882C65" w:rsidRPr="00031C40">
        <w:rPr>
          <w:rFonts w:ascii="Times New Roman" w:hAnsi="Times New Roman" w:cs="Times New Roman"/>
        </w:rPr>
        <w:fldChar w:fldCharType="separate"/>
      </w:r>
      <w:r w:rsidR="00882C65" w:rsidRPr="00031C40">
        <w:rPr>
          <w:rFonts w:ascii="Times New Roman" w:hAnsi="Times New Roman" w:cs="Times New Roman"/>
          <w:noProof/>
        </w:rPr>
        <w:t>(Rapu et al., 2015)</w:t>
      </w:r>
      <w:r w:rsidR="00882C65" w:rsidRPr="00031C40">
        <w:rPr>
          <w:rFonts w:ascii="Times New Roman" w:hAnsi="Times New Roman" w:cs="Times New Roman"/>
        </w:rPr>
        <w:fldChar w:fldCharType="end"/>
      </w:r>
      <w:r w:rsidR="00882C65" w:rsidRPr="00031C40">
        <w:rPr>
          <w:rFonts w:ascii="Times New Roman" w:hAnsi="Times New Roman" w:cs="Times New Roman"/>
        </w:rPr>
        <w:t>. For instance, t</w:t>
      </w:r>
      <w:r w:rsidR="00CA03BE" w:rsidRPr="00031C40">
        <w:rPr>
          <w:rFonts w:ascii="Times New Roman" w:hAnsi="Times New Roman" w:cs="Times New Roman"/>
        </w:rPr>
        <w:t>he electricity demand in Nigeria far outstrips the supply</w:t>
      </w:r>
      <w:r w:rsidR="009F4C83" w:rsidRPr="00031C40">
        <w:rPr>
          <w:rFonts w:ascii="Times New Roman" w:hAnsi="Times New Roman" w:cs="Times New Roman"/>
        </w:rPr>
        <w:t>,</w:t>
      </w:r>
      <w:r w:rsidR="00CA03BE" w:rsidRPr="00031C40">
        <w:rPr>
          <w:rFonts w:ascii="Times New Roman" w:hAnsi="Times New Roman" w:cs="Times New Roman"/>
        </w:rPr>
        <w:t xml:space="preserve"> and the supply is epileptic in </w:t>
      </w:r>
      <w:r w:rsidR="00CA03BE" w:rsidRPr="000E739C">
        <w:rPr>
          <w:rFonts w:ascii="Times New Roman" w:hAnsi="Times New Roman" w:cs="Times New Roman"/>
        </w:rPr>
        <w:t xml:space="preserve">nature </w:t>
      </w:r>
      <w:r w:rsidR="00CA03BE" w:rsidRPr="000E739C">
        <w:rPr>
          <w:rFonts w:ascii="Times New Roman" w:hAnsi="Times New Roman" w:cs="Times New Roman"/>
        </w:rPr>
        <w:fldChar w:fldCharType="begin" w:fldLock="1"/>
      </w:r>
      <w:r w:rsidR="003A007A" w:rsidRPr="000E739C">
        <w:rPr>
          <w:rFonts w:ascii="Times New Roman" w:hAnsi="Times New Roman" w:cs="Times New Roman"/>
        </w:rPr>
        <w:instrText>ADDIN CSL_CITATION {"citationItems":[{"id":"ITEM-1","itemData":{"author":[{"dropping-particle":"","family":"Sambo","given":"A. S.","non-dropping-particle":"","parse-names":false,"suffix":""}],"container-title":"International Association of Energy Economics","id":"ITEM-1","issued":{"date-parts":[["2008"]]},"page":"32-36","title":"Matching Electricity Supply with Demand in Nigeria","type":"paper-conference"},"uris":["http://www.mendeley.com/documents/?uuid=5023e732-0561-45b2-b742-0be47f31e746"]}],"mendeley":{"formattedCitation":"(Sambo, 2008)","plainTextFormattedCitation":"(Sambo, 2008)","previouslyFormattedCitation":"(Sambo, 2008)"},"properties":{"noteIndex":0},"schema":"https://github.com/citation-style-language/schema/raw/master/csl-citation.json"}</w:instrText>
      </w:r>
      <w:r w:rsidR="00CA03BE" w:rsidRPr="000E739C">
        <w:rPr>
          <w:rFonts w:ascii="Times New Roman" w:hAnsi="Times New Roman" w:cs="Times New Roman"/>
        </w:rPr>
        <w:fldChar w:fldCharType="separate"/>
      </w:r>
      <w:r w:rsidR="00CA03BE" w:rsidRPr="000E739C">
        <w:rPr>
          <w:rFonts w:ascii="Times New Roman" w:hAnsi="Times New Roman" w:cs="Times New Roman"/>
          <w:noProof/>
        </w:rPr>
        <w:t>(Sambo, 2008)</w:t>
      </w:r>
      <w:r w:rsidR="00CA03BE" w:rsidRPr="000E739C">
        <w:rPr>
          <w:rFonts w:ascii="Times New Roman" w:hAnsi="Times New Roman" w:cs="Times New Roman"/>
        </w:rPr>
        <w:fldChar w:fldCharType="end"/>
      </w:r>
      <w:r w:rsidR="00CA03BE" w:rsidRPr="000E739C">
        <w:rPr>
          <w:rFonts w:ascii="Times New Roman" w:hAnsi="Times New Roman" w:cs="Times New Roman"/>
        </w:rPr>
        <w:t xml:space="preserve">. With the grossly inadequate </w:t>
      </w:r>
      <w:r w:rsidR="009F4C83" w:rsidRPr="000E739C">
        <w:rPr>
          <w:rFonts w:ascii="Times New Roman" w:hAnsi="Times New Roman" w:cs="Times New Roman"/>
        </w:rPr>
        <w:t xml:space="preserve">national grid </w:t>
      </w:r>
      <w:r w:rsidR="00CA03BE" w:rsidRPr="000E739C">
        <w:rPr>
          <w:rFonts w:ascii="Times New Roman" w:hAnsi="Times New Roman" w:cs="Times New Roman"/>
        </w:rPr>
        <w:t xml:space="preserve">electricity supply in the country, total installed </w:t>
      </w:r>
      <w:r w:rsidR="009F4C83" w:rsidRPr="000E739C">
        <w:rPr>
          <w:rFonts w:ascii="Times New Roman" w:hAnsi="Times New Roman" w:cs="Times New Roman"/>
        </w:rPr>
        <w:t xml:space="preserve">national grid </w:t>
      </w:r>
      <w:r w:rsidR="00CA03BE" w:rsidRPr="000E739C">
        <w:rPr>
          <w:rFonts w:ascii="Times New Roman" w:hAnsi="Times New Roman" w:cs="Times New Roman"/>
        </w:rPr>
        <w:t xml:space="preserve">capacity is far less than the demand and out of this installed capacity the available capacity is barely above half of the installed capacity. </w:t>
      </w:r>
      <w:r w:rsidR="00DC6C8E" w:rsidRPr="000E739C">
        <w:rPr>
          <w:rFonts w:ascii="Times New Roman" w:hAnsi="Times New Roman" w:cs="Times New Roman"/>
        </w:rPr>
        <w:t xml:space="preserve">As at 2016, </w:t>
      </w:r>
      <w:r w:rsidR="00DC6C8E" w:rsidRPr="000E739C">
        <w:rPr>
          <w:rFonts w:ascii="Times New Roman" w:hAnsi="Times New Roman" w:cs="Times New Roman"/>
        </w:rPr>
        <w:lastRenderedPageBreak/>
        <w:t xml:space="preserve">percentage of the population with access to electricity in Nigeria </w:t>
      </w:r>
      <w:r w:rsidR="00DC6C8E" w:rsidRPr="00031C40">
        <w:rPr>
          <w:rFonts w:ascii="Times New Roman" w:hAnsi="Times New Roman" w:cs="Times New Roman"/>
        </w:rPr>
        <w:t xml:space="preserve">was 61%, leaving behind barely 39% without electricity </w:t>
      </w:r>
      <w:r w:rsidR="00DC6C8E" w:rsidRPr="00031C40">
        <w:rPr>
          <w:rFonts w:ascii="Times New Roman" w:hAnsi="Times New Roman" w:cs="Times New Roman"/>
        </w:rPr>
        <w:fldChar w:fldCharType="begin" w:fldLock="1"/>
      </w:r>
      <w:r w:rsidR="00DC6C8E" w:rsidRPr="00031C40">
        <w:rPr>
          <w:rFonts w:ascii="Times New Roman" w:hAnsi="Times New Roman" w:cs="Times New Roman"/>
        </w:rPr>
        <w:instrText>ADDIN CSL_CITATION {"citationItems":[{"id":"ITEM-1","itemData":{"DOI":"10.2760/678700","ISBN":"9789276123910","abstract":"This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 For information on the methodology and quality underlying the data used in this publication for which the source is neither Eurostat nor other Commission services, users should contact the referenced source. 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author":[{"dropping-particle":"","family":"Pappis","given":"I.","non-dropping-particle":"","parse-names":false,"suffix":""},{"dropping-particle":"","family":"Howells","given":"M.","non-dropping-particle":"","parse-names":false,"suffix":""},{"dropping-particle":"","family":"Sridharan","given":"V.","non-dropping-particle":"","parse-names":false,"suffix":""},{"dropping-particle":"","family":"Usher","given":"W.","non-dropping-particle":"","parse-names":false,"suffix":""},{"dropping-particle":"","family":"Shivakumar","given":"A.","non-dropping-particle":"","parse-names":false,"suffix":""},{"dropping-particle":"","family":"Gardumi","given":"F.","non-dropping-particle":"","parse-names":false,"suffix":""},{"dropping-particle":"","family":"Ramos","given":"E","non-dropping-particle":"","parse-names":false,"suffix":""}],"id":"ITEM-1","issued":{"date-parts":[["2019"]]},"number-of-pages":"104","title":"Energy projections for African countries","type":"report"},"uris":["http://www.mendeley.com/documents/?uuid=4bfcdcdf-67e3-4bff-aab2-18cfce65bdaa"]}],"mendeley":{"formattedCitation":"(Pappis et al., 2019)","plainTextFormattedCitation":"(Pappis et al., 2019)","previouslyFormattedCitation":"(Pappis et al., 2019)"},"properties":{"noteIndex":0},"schema":"https://github.com/citation-style-language/schema/raw/master/csl-citation.json"}</w:instrText>
      </w:r>
      <w:r w:rsidR="00DC6C8E" w:rsidRPr="00031C40">
        <w:rPr>
          <w:rFonts w:ascii="Times New Roman" w:hAnsi="Times New Roman" w:cs="Times New Roman"/>
        </w:rPr>
        <w:fldChar w:fldCharType="separate"/>
      </w:r>
      <w:r w:rsidR="00DC6C8E" w:rsidRPr="00031C40">
        <w:rPr>
          <w:rFonts w:ascii="Times New Roman" w:hAnsi="Times New Roman" w:cs="Times New Roman"/>
          <w:noProof/>
        </w:rPr>
        <w:t>(Pappis et al., 2019)</w:t>
      </w:r>
      <w:r w:rsidR="00DC6C8E" w:rsidRPr="00031C40">
        <w:rPr>
          <w:rFonts w:ascii="Times New Roman" w:hAnsi="Times New Roman" w:cs="Times New Roman"/>
        </w:rPr>
        <w:fldChar w:fldCharType="end"/>
      </w:r>
      <w:r w:rsidR="00DC6C8E" w:rsidRPr="00031C40">
        <w:rPr>
          <w:rFonts w:ascii="Times New Roman" w:hAnsi="Times New Roman" w:cs="Times New Roman"/>
        </w:rPr>
        <w:t>. Particularly, t</w:t>
      </w:r>
      <w:r w:rsidR="00CA03BE" w:rsidRPr="00031C40">
        <w:rPr>
          <w:rFonts w:ascii="Times New Roman" w:hAnsi="Times New Roman" w:cs="Times New Roman"/>
        </w:rPr>
        <w:t xml:space="preserve">he per capita energy consumption is too low for meaningful economic and social development. In spite of this, Nigeria still has a constraint of supplying 70MW of energy to Niger Republic </w:t>
      </w:r>
      <w:r w:rsidR="00CA03BE" w:rsidRPr="00031C40">
        <w:rPr>
          <w:rFonts w:ascii="Times New Roman" w:hAnsi="Times New Roman" w:cs="Times New Roman"/>
        </w:rPr>
        <w:fldChar w:fldCharType="begin" w:fldLock="1"/>
      </w:r>
      <w:r w:rsidR="00CA03BE" w:rsidRPr="00031C40">
        <w:rPr>
          <w:rFonts w:ascii="Times New Roman" w:hAnsi="Times New Roman" w:cs="Times New Roman"/>
        </w:rPr>
        <w:instrText>ADDIN CSL_CITATION {"citationItems":[{"id":"ITEM-1","itemData":{"abstract":"t: with increasing dependence on agriculture, industries and day-by-day household comfort upon the continuity of electric supply from PHCN systems in Nigeria, the forecast of electrical demand have assumed a great importance. For electricity supply not to be an cog in the wheel of progress of the Nigerian economy and perhaps a snag in the attainment of the millennium development goal MDGs load forecasting must be performed to coordinate electricity demand and supply. This research work focuses on Nigeria electricity demand forecast from 2013-2030 towards vision 2025 using Time Series Analysis on past load demand. Index","author":[{"dropping-particle":"","family":"Ezennaya","given":"Samuel O","non-dropping-particle":"","parse-names":false,"suffix":""},{"dropping-particle":"","family":"Isaac","given":"Onen","non-dropping-particle":"","parse-names":false,"suffix":""},{"dropping-particle":"","family":"Ezeanyim","given":"Okechukwu Chiedu","non-dropping-particle":"","parse-names":false,"suffix":""}],"container-title":"International Journal of Scientific &amp; Technology Research","id":"ITEM-1","issue":"3","issued":{"date-parts":[["2014"]]},"page":"333-340","title":"Analysis Of Nigeria's National Electricity Demand Forecast (2013-2030)","type":"article-journal","volume":"3"},"uris":["http://www.mendeley.com/documents/?uuid=89786675-bf19-4bca-94b4-54f4b404e385"]}],"mendeley":{"formattedCitation":"(Ezennaya et al., 2014)","plainTextFormattedCitation":"(Ezennaya et al., 2014)","previouslyFormattedCitation":"(Ezennaya et al., 2014)"},"properties":{"noteIndex":0},"schema":"https://github.com/citation-style-language/schema/raw/master/csl-citation.json"}</w:instrText>
      </w:r>
      <w:r w:rsidR="00CA03BE" w:rsidRPr="00031C40">
        <w:rPr>
          <w:rFonts w:ascii="Times New Roman" w:hAnsi="Times New Roman" w:cs="Times New Roman"/>
        </w:rPr>
        <w:fldChar w:fldCharType="separate"/>
      </w:r>
      <w:r w:rsidR="00CA03BE" w:rsidRPr="00031C40">
        <w:rPr>
          <w:rFonts w:ascii="Times New Roman" w:hAnsi="Times New Roman" w:cs="Times New Roman"/>
          <w:noProof/>
        </w:rPr>
        <w:t>(Ezennaya et al., 2014)</w:t>
      </w:r>
      <w:r w:rsidR="00CA03BE" w:rsidRPr="00031C40">
        <w:rPr>
          <w:rFonts w:ascii="Times New Roman" w:hAnsi="Times New Roman" w:cs="Times New Roman"/>
        </w:rPr>
        <w:fldChar w:fldCharType="end"/>
      </w:r>
      <w:r w:rsidR="00CA03BE" w:rsidRPr="00031C40">
        <w:rPr>
          <w:rFonts w:ascii="Times New Roman" w:hAnsi="Times New Roman" w:cs="Times New Roman"/>
        </w:rPr>
        <w:t>.</w:t>
      </w:r>
    </w:p>
    <w:p w:rsidR="007B2C7F" w:rsidRPr="00031C40" w:rsidRDefault="007B2C7F" w:rsidP="00031C40">
      <w:pPr>
        <w:spacing w:after="0" w:line="240" w:lineRule="auto"/>
        <w:jc w:val="both"/>
        <w:rPr>
          <w:rFonts w:ascii="Times New Roman" w:hAnsi="Times New Roman" w:cs="Times New Roman"/>
        </w:rPr>
      </w:pPr>
    </w:p>
    <w:p w:rsidR="00761DEF" w:rsidRPr="00031C40" w:rsidRDefault="00882C65" w:rsidP="00031C40">
      <w:pPr>
        <w:spacing w:line="240" w:lineRule="auto"/>
        <w:jc w:val="both"/>
        <w:rPr>
          <w:rFonts w:ascii="Times New Roman" w:hAnsi="Times New Roman" w:cs="Times New Roman"/>
        </w:rPr>
      </w:pPr>
      <w:r w:rsidRPr="00031C40">
        <w:rPr>
          <w:rFonts w:ascii="Times New Roman" w:hAnsi="Times New Roman" w:cs="Times New Roman"/>
        </w:rPr>
        <w:t>S</w:t>
      </w:r>
      <w:r w:rsidR="00761DEF" w:rsidRPr="00031C40">
        <w:rPr>
          <w:rFonts w:ascii="Times New Roman" w:hAnsi="Times New Roman" w:cs="Times New Roman"/>
        </w:rPr>
        <w:t xml:space="preserve">tudies exploring pathways to enhance energy supply, reduce energy demand and GHG emissions in Nigeria are limited and have not really focused on what is </w:t>
      </w:r>
      <w:r w:rsidR="00064B27" w:rsidRPr="00031C40">
        <w:rPr>
          <w:rFonts w:ascii="Times New Roman" w:hAnsi="Times New Roman" w:cs="Times New Roman"/>
        </w:rPr>
        <w:t>economically</w:t>
      </w:r>
      <w:r w:rsidR="00761DEF" w:rsidRPr="00031C40">
        <w:rPr>
          <w:rFonts w:ascii="Times New Roman" w:hAnsi="Times New Roman" w:cs="Times New Roman"/>
        </w:rPr>
        <w:t>, technically feasible within the country. In this research, the Nigerian Energy Calculator 20</w:t>
      </w:r>
      <w:r w:rsidR="00AD3DF3" w:rsidRPr="00031C40">
        <w:rPr>
          <w:rFonts w:ascii="Times New Roman" w:hAnsi="Times New Roman" w:cs="Times New Roman"/>
        </w:rPr>
        <w:t>6</w:t>
      </w:r>
      <w:r w:rsidR="00761DEF" w:rsidRPr="00031C40">
        <w:rPr>
          <w:rFonts w:ascii="Times New Roman" w:hAnsi="Times New Roman" w:cs="Times New Roman"/>
        </w:rPr>
        <w:t>0</w:t>
      </w:r>
      <w:r w:rsidR="00412F21">
        <w:rPr>
          <w:rFonts w:ascii="Times New Roman" w:hAnsi="Times New Roman" w:cs="Times New Roman"/>
        </w:rPr>
        <w:t xml:space="preserve"> is used</w:t>
      </w:r>
      <w:r w:rsidR="00761DEF" w:rsidRPr="00031C40">
        <w:rPr>
          <w:rFonts w:ascii="Times New Roman" w:hAnsi="Times New Roman" w:cs="Times New Roman"/>
        </w:rPr>
        <w:t xml:space="preserve"> to examine and compare the energy balances and GHG mitigation potentials for four alternative low carbon scenarios which are possible by 2050 </w:t>
      </w:r>
      <w:r w:rsidR="00761DEF" w:rsidRPr="00031C40">
        <w:rPr>
          <w:rFonts w:ascii="Times New Roman" w:hAnsi="Times New Roman" w:cs="Times New Roman"/>
        </w:rPr>
        <w:fldChar w:fldCharType="begin" w:fldLock="1"/>
      </w:r>
      <w:r w:rsidR="00FD4911" w:rsidRPr="00031C40">
        <w:rPr>
          <w:rFonts w:ascii="Times New Roman" w:hAnsi="Times New Roman" w:cs="Times New Roman"/>
        </w:rPr>
        <w:instrText>ADDIN CSL_CITATION {"citationItems":[{"id":"ITEM-1","itemData":{"DOI":"10.1016/j.ref.2019.02.004","ISSN":"1755-0084","author":[{"dropping-particle":"","family":"Dioha","given":"Michael O","non-dropping-particle":"","parse-names":false,"suffix":""},{"dropping-particle":"V","family":"Emodi","given":"Nnaemeka","non-dropping-particle":"","parse-names":false,"suffix":""},{"dropping-particle":"","family":"Dioha","given":"Emmanuel C","non-dropping-particle":"","parse-names":false,"suffix":""}],"container-title":"Renewable Energy Focus","id":"ITEM-1","issue":"00","issued":{"date-parts":[["2019"]]},"page":"63-77","publisher":"Elsevier Ltd","title":"Pathways for low carbon Nigeria in 2050 by using NECAL2050","type":"article-journal","volume":"29"},"uris":["http://www.mendeley.com/documents/?uuid=bad9a0ff-ade0-4465-81c9-6860e2a75663"]}],"mendeley":{"formattedCitation":"(Dioha et al., 2019)","plainTextFormattedCitation":"(Dioha et al., 2019)","previouslyFormattedCitation":"(Dioha et al., 2019)"},"properties":{"noteIndex":0},"schema":"https://github.com/citation-style-language/schema/raw/master/csl-citation.json"}</w:instrText>
      </w:r>
      <w:r w:rsidR="00761DEF" w:rsidRPr="00031C40">
        <w:rPr>
          <w:rFonts w:ascii="Times New Roman" w:hAnsi="Times New Roman" w:cs="Times New Roman"/>
        </w:rPr>
        <w:fldChar w:fldCharType="separate"/>
      </w:r>
      <w:r w:rsidR="00761DEF" w:rsidRPr="00031C40">
        <w:rPr>
          <w:rFonts w:ascii="Times New Roman" w:hAnsi="Times New Roman" w:cs="Times New Roman"/>
          <w:noProof/>
        </w:rPr>
        <w:t>(Dioha et al., 2019)</w:t>
      </w:r>
      <w:r w:rsidR="00761DEF" w:rsidRPr="00031C40">
        <w:rPr>
          <w:rFonts w:ascii="Times New Roman" w:hAnsi="Times New Roman" w:cs="Times New Roman"/>
        </w:rPr>
        <w:fldChar w:fldCharType="end"/>
      </w:r>
      <w:r w:rsidR="00761DEF" w:rsidRPr="00031C40">
        <w:rPr>
          <w:rFonts w:ascii="Times New Roman" w:hAnsi="Times New Roman" w:cs="Times New Roman"/>
        </w:rPr>
        <w:t>.</w:t>
      </w:r>
      <w:r w:rsidR="00F85854" w:rsidRPr="00031C40">
        <w:rPr>
          <w:rFonts w:ascii="Times New Roman" w:hAnsi="Times New Roman" w:cs="Times New Roman"/>
        </w:rPr>
        <w:t xml:space="preserve"> </w:t>
      </w:r>
      <w:r w:rsidR="00761DEF" w:rsidRPr="00031C40">
        <w:rPr>
          <w:rFonts w:ascii="Times New Roman" w:hAnsi="Times New Roman" w:cs="Times New Roman"/>
        </w:rPr>
        <w:t>The NECAL 20</w:t>
      </w:r>
      <w:r w:rsidR="00AD3DF3" w:rsidRPr="00031C40">
        <w:rPr>
          <w:rFonts w:ascii="Times New Roman" w:hAnsi="Times New Roman" w:cs="Times New Roman"/>
        </w:rPr>
        <w:t>6</w:t>
      </w:r>
      <w:r w:rsidR="00761DEF" w:rsidRPr="00031C40">
        <w:rPr>
          <w:rFonts w:ascii="Times New Roman" w:hAnsi="Times New Roman" w:cs="Times New Roman"/>
        </w:rPr>
        <w:t>0 simulate</w:t>
      </w:r>
      <w:r w:rsidR="00AD3DF3" w:rsidRPr="00031C40">
        <w:rPr>
          <w:rFonts w:ascii="Times New Roman" w:hAnsi="Times New Roman" w:cs="Times New Roman"/>
        </w:rPr>
        <w:t>s</w:t>
      </w:r>
      <w:r w:rsidR="00761DEF" w:rsidRPr="00031C40">
        <w:rPr>
          <w:rFonts w:ascii="Times New Roman" w:hAnsi="Times New Roman" w:cs="Times New Roman"/>
        </w:rPr>
        <w:t xml:space="preserve"> final energy demand and supply, </w:t>
      </w:r>
      <w:proofErr w:type="spellStart"/>
      <w:r w:rsidR="00761DEF" w:rsidRPr="00031C40">
        <w:rPr>
          <w:rFonts w:ascii="Times New Roman" w:hAnsi="Times New Roman" w:cs="Times New Roman"/>
        </w:rPr>
        <w:t>sectoral</w:t>
      </w:r>
      <w:proofErr w:type="spellEnd"/>
      <w:r w:rsidR="00761DEF" w:rsidRPr="00031C40">
        <w:rPr>
          <w:rFonts w:ascii="Times New Roman" w:hAnsi="Times New Roman" w:cs="Times New Roman"/>
        </w:rPr>
        <w:t xml:space="preserve"> GHG emissions, per capita GHG emissions, air pollutants as well as policy implications of different scenarios. </w:t>
      </w:r>
    </w:p>
    <w:p w:rsidR="00311F13" w:rsidRPr="00031C40" w:rsidRDefault="00311F13" w:rsidP="00031C40">
      <w:pPr>
        <w:spacing w:after="0" w:line="240" w:lineRule="auto"/>
        <w:jc w:val="both"/>
        <w:rPr>
          <w:rFonts w:ascii="Times New Roman" w:hAnsi="Times New Roman" w:cs="Times New Roman"/>
        </w:rPr>
      </w:pPr>
    </w:p>
    <w:p w:rsidR="00077029" w:rsidRPr="00031C40" w:rsidRDefault="00077029" w:rsidP="00031C40">
      <w:pPr>
        <w:pStyle w:val="Heading2"/>
        <w:spacing w:before="0" w:line="240" w:lineRule="auto"/>
        <w:jc w:val="both"/>
        <w:rPr>
          <w:rFonts w:cs="Times New Roman"/>
          <w:sz w:val="22"/>
          <w:szCs w:val="22"/>
        </w:rPr>
      </w:pPr>
      <w:r w:rsidRPr="00031C40">
        <w:rPr>
          <w:rFonts w:cs="Times New Roman"/>
          <w:sz w:val="22"/>
          <w:szCs w:val="22"/>
        </w:rPr>
        <w:t>Methodology</w:t>
      </w:r>
    </w:p>
    <w:p w:rsidR="00E66940" w:rsidRPr="00031C40" w:rsidRDefault="00E66940" w:rsidP="00031C40">
      <w:pPr>
        <w:spacing w:after="0" w:line="240" w:lineRule="auto"/>
        <w:jc w:val="both"/>
        <w:rPr>
          <w:rFonts w:ascii="Times New Roman" w:hAnsi="Times New Roman" w:cs="Times New Roman"/>
        </w:rPr>
      </w:pPr>
    </w:p>
    <w:p w:rsidR="00761DEF" w:rsidRPr="00031C40" w:rsidRDefault="007316C4" w:rsidP="00031C40">
      <w:pPr>
        <w:spacing w:after="0" w:line="240" w:lineRule="auto"/>
        <w:jc w:val="both"/>
        <w:rPr>
          <w:rFonts w:ascii="Times New Roman" w:hAnsi="Times New Roman" w:cs="Times New Roman"/>
        </w:rPr>
      </w:pPr>
      <w:r w:rsidRPr="00031C40">
        <w:rPr>
          <w:rFonts w:ascii="Times New Roman" w:hAnsi="Times New Roman" w:cs="Times New Roman"/>
          <w:shd w:val="clear" w:color="auto" w:fill="FFFFFF"/>
        </w:rPr>
        <w:t>Nigeria is one of the 10 counties supported by the UK Government to develop a</w:t>
      </w:r>
      <w:r w:rsidR="002A21E3" w:rsidRPr="00031C40">
        <w:rPr>
          <w:rFonts w:ascii="Times New Roman" w:hAnsi="Times New Roman" w:cs="Times New Roman"/>
          <w:shd w:val="clear" w:color="auto" w:fill="FFFFFF"/>
        </w:rPr>
        <w:t xml:space="preserve">n Energy and Emissions </w:t>
      </w:r>
      <w:r w:rsidRPr="00031C40">
        <w:rPr>
          <w:rFonts w:ascii="Times New Roman" w:hAnsi="Times New Roman" w:cs="Times New Roman"/>
          <w:shd w:val="clear" w:color="auto" w:fill="FFFFFF"/>
        </w:rPr>
        <w:t>Calculator, one of the tools used to inform the country’s Nationally</w:t>
      </w:r>
      <w:r w:rsidR="00D06B21" w:rsidRPr="00031C40">
        <w:rPr>
          <w:rFonts w:ascii="Times New Roman" w:hAnsi="Times New Roman" w:cs="Times New Roman"/>
          <w:shd w:val="clear" w:color="auto" w:fill="FFFFFF"/>
        </w:rPr>
        <w:t xml:space="preserve"> Determined Contribution (NDC)</w:t>
      </w:r>
      <w:r w:rsidR="006F5E85" w:rsidRPr="00031C40">
        <w:rPr>
          <w:rFonts w:ascii="Times New Roman" w:hAnsi="Times New Roman" w:cs="Times New Roman"/>
          <w:shd w:val="clear" w:color="auto" w:fill="FFFFFF"/>
        </w:rPr>
        <w:t xml:space="preserve">, called </w:t>
      </w:r>
      <w:r w:rsidR="00D06B21" w:rsidRPr="00031C40">
        <w:rPr>
          <w:rFonts w:ascii="Times New Roman" w:hAnsi="Times New Roman" w:cs="Times New Roman"/>
        </w:rPr>
        <w:t>Nigeria Energy Calculator 20</w:t>
      </w:r>
      <w:r w:rsidR="002A21E3" w:rsidRPr="00031C40">
        <w:rPr>
          <w:rFonts w:ascii="Times New Roman" w:hAnsi="Times New Roman" w:cs="Times New Roman"/>
        </w:rPr>
        <w:t>6</w:t>
      </w:r>
      <w:r w:rsidR="00D06B21" w:rsidRPr="00031C40">
        <w:rPr>
          <w:rFonts w:ascii="Times New Roman" w:hAnsi="Times New Roman" w:cs="Times New Roman"/>
        </w:rPr>
        <w:t>0 (NECAL20</w:t>
      </w:r>
      <w:r w:rsidR="002A21E3" w:rsidRPr="00031C40">
        <w:rPr>
          <w:rFonts w:ascii="Times New Roman" w:hAnsi="Times New Roman" w:cs="Times New Roman"/>
        </w:rPr>
        <w:t>6</w:t>
      </w:r>
      <w:r w:rsidR="00D06B21" w:rsidRPr="00031C40">
        <w:rPr>
          <w:rFonts w:ascii="Times New Roman" w:hAnsi="Times New Roman" w:cs="Times New Roman"/>
        </w:rPr>
        <w:t>0)</w:t>
      </w:r>
      <w:r w:rsidR="006F5E85" w:rsidRPr="00031C40">
        <w:rPr>
          <w:rFonts w:ascii="Times New Roman" w:hAnsi="Times New Roman" w:cs="Times New Roman"/>
        </w:rPr>
        <w:t xml:space="preserve"> </w:t>
      </w:r>
      <w:r w:rsidR="006F5E85" w:rsidRPr="00031C40">
        <w:rPr>
          <w:rFonts w:ascii="Times New Roman" w:hAnsi="Times New Roman" w:cs="Times New Roman"/>
        </w:rPr>
        <w:fldChar w:fldCharType="begin" w:fldLock="1"/>
      </w:r>
      <w:r w:rsidR="008A53E7">
        <w:rPr>
          <w:rFonts w:ascii="Times New Roman" w:hAnsi="Times New Roman" w:cs="Times New Roman"/>
        </w:rPr>
        <w:instrText>ADDIN CSL_CITATION {"citationItems":[{"id":"ITEM-1","itemData":{"author":[{"dropping-particle":"","family":"Energy Commission of Nigeria.","given":"","non-dropping-particle":"","parse-names":false,"suffix":""}],"id":"ITEM-1","issue":"March","issued":{"date-parts":[["2015"]]},"title":"NIGERIA ENERGY CALCULATOR 2050 ( NECAL2050 )","type":"report","volume":"2050"},"uris":["http://www.mendeley.com/documents/?uuid=e3e108a3-3933-438a-8dbd-6804cc15c431"]}],"mendeley":{"formattedCitation":"(Energy Commission of Nigeria., 2015)","manualFormatting":"(ECN., 2015)","plainTextFormattedCitation":"(Energy Commission of Nigeria., 2015)","previouslyFormattedCitation":"(Energy Commission of Nigeria., 2015)"},"properties":{"noteIndex":0},"schema":"https://github.com/citation-style-language/schema/raw/master/csl-citation.json"}</w:instrText>
      </w:r>
      <w:r w:rsidR="006F5E85" w:rsidRPr="00031C40">
        <w:rPr>
          <w:rFonts w:ascii="Times New Roman" w:hAnsi="Times New Roman" w:cs="Times New Roman"/>
        </w:rPr>
        <w:fldChar w:fldCharType="separate"/>
      </w:r>
      <w:r w:rsidR="006F5E85" w:rsidRPr="00031C40">
        <w:rPr>
          <w:rFonts w:ascii="Times New Roman" w:hAnsi="Times New Roman" w:cs="Times New Roman"/>
          <w:noProof/>
        </w:rPr>
        <w:t>(ECN., 2015)</w:t>
      </w:r>
      <w:r w:rsidR="006F5E85" w:rsidRPr="00031C40">
        <w:rPr>
          <w:rFonts w:ascii="Times New Roman" w:hAnsi="Times New Roman" w:cs="Times New Roman"/>
        </w:rPr>
        <w:fldChar w:fldCharType="end"/>
      </w:r>
      <w:r w:rsidR="006F5E85" w:rsidRPr="00031C40">
        <w:rPr>
          <w:rFonts w:ascii="Times New Roman" w:hAnsi="Times New Roman" w:cs="Times New Roman"/>
          <w:shd w:val="clear" w:color="auto" w:fill="FFFFFF"/>
        </w:rPr>
        <w:t>.</w:t>
      </w:r>
      <w:r w:rsidR="00761DEF" w:rsidRPr="00031C40">
        <w:rPr>
          <w:rFonts w:ascii="Times New Roman" w:hAnsi="Times New Roman" w:cs="Times New Roman"/>
        </w:rPr>
        <w:t xml:space="preserve"> The model was developed based on vast literature review and consultations with over one hundred local experts, to ensure that the most accurate assumptions are made and the</w:t>
      </w:r>
      <w:r w:rsidR="00EA3EE1">
        <w:rPr>
          <w:rFonts w:ascii="Times New Roman" w:hAnsi="Times New Roman" w:cs="Times New Roman"/>
        </w:rPr>
        <w:t xml:space="preserve"> data used are of high quality </w:t>
      </w:r>
      <w:r w:rsidR="00761DEF" w:rsidRPr="00031C40">
        <w:rPr>
          <w:rFonts w:ascii="Times New Roman" w:hAnsi="Times New Roman" w:cs="Times New Roman"/>
        </w:rPr>
        <w:fldChar w:fldCharType="begin" w:fldLock="1"/>
      </w:r>
      <w:r w:rsidR="00FD4911" w:rsidRPr="00031C40">
        <w:rPr>
          <w:rFonts w:ascii="Times New Roman" w:hAnsi="Times New Roman" w:cs="Times New Roman"/>
        </w:rPr>
        <w:instrText>ADDIN CSL_CITATION {"citationItems":[{"id":"ITEM-1","itemData":{"DOI":"10.1016/j.ref.2019.02.004","ISSN":"1755-0084","author":[{"dropping-particle":"","family":"Dioha","given":"Michael O","non-dropping-particle":"","parse-names":false,"suffix":""},{"dropping-particle":"V","family":"Emodi","given":"Nnaemeka","non-dropping-particle":"","parse-names":false,"suffix":""},{"dropping-particle":"","family":"Dioha","given":"Emmanuel C","non-dropping-particle":"","parse-names":false,"suffix":""}],"container-title":"Renewable Energy Focus","id":"ITEM-1","issue":"00","issued":{"date-parts":[["2019"]]},"page":"63-77","publisher":"Elsevier Ltd","title":"Pathways for low carbon Nigeria in 2050 by using NECAL2050","type":"article-journal","volume":"29"},"uris":["http://www.mendeley.com/documents/?uuid=bad9a0ff-ade0-4465-81c9-6860e2a75663"]}],"mendeley":{"formattedCitation":"(Dioha et al., 2019)","plainTextFormattedCitation":"(Dioha et al., 2019)","previouslyFormattedCitation":"(Dioha et al., 2019)"},"properties":{"noteIndex":0},"schema":"https://github.com/citation-style-language/schema/raw/master/csl-citation.json"}</w:instrText>
      </w:r>
      <w:r w:rsidR="00761DEF" w:rsidRPr="00031C40">
        <w:rPr>
          <w:rFonts w:ascii="Times New Roman" w:hAnsi="Times New Roman" w:cs="Times New Roman"/>
        </w:rPr>
        <w:fldChar w:fldCharType="separate"/>
      </w:r>
      <w:r w:rsidR="00761DEF" w:rsidRPr="00031C40">
        <w:rPr>
          <w:rFonts w:ascii="Times New Roman" w:hAnsi="Times New Roman" w:cs="Times New Roman"/>
          <w:noProof/>
        </w:rPr>
        <w:t>(Dioha et al., 2019)</w:t>
      </w:r>
      <w:r w:rsidR="00761DEF" w:rsidRPr="00031C40">
        <w:rPr>
          <w:rFonts w:ascii="Times New Roman" w:hAnsi="Times New Roman" w:cs="Times New Roman"/>
        </w:rPr>
        <w:fldChar w:fldCharType="end"/>
      </w:r>
      <w:r w:rsidR="00761DEF" w:rsidRPr="00031C40">
        <w:rPr>
          <w:rFonts w:ascii="Times New Roman" w:hAnsi="Times New Roman" w:cs="Times New Roman"/>
        </w:rPr>
        <w:t>. Furthermore, the NECAL20</w:t>
      </w:r>
      <w:r w:rsidR="002A21E3" w:rsidRPr="00031C40">
        <w:rPr>
          <w:rFonts w:ascii="Times New Roman" w:hAnsi="Times New Roman" w:cs="Times New Roman"/>
        </w:rPr>
        <w:t>6</w:t>
      </w:r>
      <w:r w:rsidR="00761DEF" w:rsidRPr="00031C40">
        <w:rPr>
          <w:rFonts w:ascii="Times New Roman" w:hAnsi="Times New Roman" w:cs="Times New Roman"/>
        </w:rPr>
        <w:t>0 platform does not ‘recommend’ or ‘prefer’ any one scenario or pathway over the others. It merely provides the user a way to understand the realm of possible scenarios and their implications and post their preferences and choices as a contribution to the debate on sustainable energy development for Nigeria.</w:t>
      </w:r>
    </w:p>
    <w:p w:rsidR="00761DEF" w:rsidRPr="00031C40" w:rsidRDefault="00761DEF" w:rsidP="00031C40">
      <w:pPr>
        <w:spacing w:after="0" w:line="240" w:lineRule="auto"/>
        <w:jc w:val="both"/>
        <w:rPr>
          <w:rFonts w:ascii="Times New Roman" w:hAnsi="Times New Roman" w:cs="Times New Roman"/>
        </w:rPr>
      </w:pPr>
    </w:p>
    <w:tbl>
      <w:tblPr>
        <w:tblW w:w="9791" w:type="dxa"/>
        <w:jc w:val="center"/>
        <w:tblInd w:w="511" w:type="dxa"/>
        <w:tblLook w:val="04A0" w:firstRow="1" w:lastRow="0" w:firstColumn="1" w:lastColumn="0" w:noHBand="0" w:noVBand="1"/>
      </w:tblPr>
      <w:tblGrid>
        <w:gridCol w:w="1338"/>
        <w:gridCol w:w="830"/>
        <w:gridCol w:w="847"/>
        <w:gridCol w:w="847"/>
        <w:gridCol w:w="847"/>
        <w:gridCol w:w="847"/>
        <w:gridCol w:w="847"/>
        <w:gridCol w:w="847"/>
        <w:gridCol w:w="847"/>
        <w:gridCol w:w="847"/>
        <w:gridCol w:w="847"/>
      </w:tblGrid>
      <w:tr w:rsidR="003F01B9" w:rsidRPr="00031C40" w:rsidTr="00073D22">
        <w:trPr>
          <w:trHeight w:val="230"/>
          <w:jc w:val="center"/>
        </w:trPr>
        <w:tc>
          <w:tcPr>
            <w:tcW w:w="13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Year</w:t>
            </w:r>
          </w:p>
        </w:tc>
        <w:tc>
          <w:tcPr>
            <w:tcW w:w="830"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2015</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2020</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2025</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2030</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2035</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2040</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2045</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2050</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2055</w:t>
            </w:r>
          </w:p>
        </w:tc>
        <w:tc>
          <w:tcPr>
            <w:tcW w:w="847" w:type="dxa"/>
            <w:tcBorders>
              <w:top w:val="single" w:sz="8" w:space="0" w:color="auto"/>
              <w:left w:val="nil"/>
              <w:bottom w:val="single" w:sz="8" w:space="0" w:color="auto"/>
              <w:right w:val="single" w:sz="8"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2060</w:t>
            </w:r>
          </w:p>
        </w:tc>
      </w:tr>
      <w:tr w:rsidR="003F01B9" w:rsidRPr="00031C40" w:rsidTr="00073D22">
        <w:trPr>
          <w:trHeight w:val="220"/>
          <w:jc w:val="center"/>
        </w:trPr>
        <w:tc>
          <w:tcPr>
            <w:tcW w:w="1338" w:type="dxa"/>
            <w:tcBorders>
              <w:top w:val="nil"/>
              <w:left w:val="single" w:sz="8" w:space="0" w:color="auto"/>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Agriculture</w:t>
            </w:r>
          </w:p>
        </w:tc>
        <w:tc>
          <w:tcPr>
            <w:tcW w:w="830"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47" w:type="dxa"/>
            <w:tcBorders>
              <w:top w:val="nil"/>
              <w:left w:val="nil"/>
              <w:bottom w:val="single" w:sz="4" w:space="0" w:color="auto"/>
              <w:right w:val="single" w:sz="8"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r>
      <w:tr w:rsidR="003F01B9" w:rsidRPr="00031C40" w:rsidTr="00073D22">
        <w:trPr>
          <w:trHeight w:val="220"/>
          <w:jc w:val="center"/>
        </w:trPr>
        <w:tc>
          <w:tcPr>
            <w:tcW w:w="1338" w:type="dxa"/>
            <w:tcBorders>
              <w:top w:val="nil"/>
              <w:left w:val="single" w:sz="8" w:space="0" w:color="auto"/>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Industry</w:t>
            </w:r>
          </w:p>
        </w:tc>
        <w:tc>
          <w:tcPr>
            <w:tcW w:w="830"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15.7504</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15.47554</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18.47636</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21.33678</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24.1827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27.09347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30.20599</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33.3616</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36.409</w:t>
            </w:r>
          </w:p>
        </w:tc>
        <w:tc>
          <w:tcPr>
            <w:tcW w:w="847" w:type="dxa"/>
            <w:tcBorders>
              <w:top w:val="nil"/>
              <w:left w:val="nil"/>
              <w:bottom w:val="single" w:sz="4" w:space="0" w:color="auto"/>
              <w:right w:val="single" w:sz="8"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39.50053</w:t>
            </w:r>
          </w:p>
        </w:tc>
      </w:tr>
      <w:tr w:rsidR="003F01B9" w:rsidRPr="00031C40" w:rsidTr="00073D22">
        <w:trPr>
          <w:trHeight w:val="131"/>
          <w:jc w:val="center"/>
        </w:trPr>
        <w:tc>
          <w:tcPr>
            <w:tcW w:w="1338" w:type="dxa"/>
            <w:tcBorders>
              <w:top w:val="nil"/>
              <w:left w:val="single" w:sz="8" w:space="0" w:color="auto"/>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Transport</w:t>
            </w:r>
          </w:p>
        </w:tc>
        <w:tc>
          <w:tcPr>
            <w:tcW w:w="830"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0.023062</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0.034071</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0.034318</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0.048948</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0.067124</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0.088878</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0.113441</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0.141415</w:t>
            </w:r>
          </w:p>
        </w:tc>
        <w:tc>
          <w:tcPr>
            <w:tcW w:w="847" w:type="dxa"/>
            <w:tcBorders>
              <w:top w:val="nil"/>
              <w:left w:val="nil"/>
              <w:bottom w:val="single" w:sz="4" w:space="0" w:color="auto"/>
              <w:right w:val="single" w:sz="4"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0.161485</w:t>
            </w:r>
          </w:p>
        </w:tc>
        <w:tc>
          <w:tcPr>
            <w:tcW w:w="847" w:type="dxa"/>
            <w:tcBorders>
              <w:top w:val="nil"/>
              <w:left w:val="nil"/>
              <w:bottom w:val="single" w:sz="4" w:space="0" w:color="auto"/>
              <w:right w:val="single" w:sz="8" w:space="0" w:color="auto"/>
            </w:tcBorders>
            <w:shd w:val="clear" w:color="auto" w:fill="auto"/>
            <w:noWrap/>
          </w:tcPr>
          <w:p w:rsidR="003F01B9" w:rsidRPr="00AB7BA1" w:rsidRDefault="003F01B9" w:rsidP="00073D22">
            <w:pPr>
              <w:spacing w:after="0" w:line="240" w:lineRule="auto"/>
              <w:jc w:val="both"/>
              <w:rPr>
                <w:rFonts w:ascii="Times New Roman" w:hAnsi="Times New Roman" w:cs="Times New Roman"/>
                <w:color w:val="000000"/>
                <w:sz w:val="16"/>
                <w:szCs w:val="16"/>
              </w:rPr>
            </w:pPr>
            <w:r w:rsidRPr="00AB7BA1">
              <w:rPr>
                <w:rFonts w:ascii="Times New Roman" w:hAnsi="Times New Roman" w:cs="Times New Roman"/>
                <w:color w:val="000000"/>
                <w:sz w:val="16"/>
                <w:szCs w:val="16"/>
              </w:rPr>
              <w:t>0.18244</w:t>
            </w:r>
          </w:p>
        </w:tc>
      </w:tr>
      <w:tr w:rsidR="003F01B9" w:rsidRPr="00031C40" w:rsidTr="00073D22">
        <w:trPr>
          <w:trHeight w:val="220"/>
          <w:jc w:val="center"/>
        </w:trPr>
        <w:tc>
          <w:tcPr>
            <w:tcW w:w="1338" w:type="dxa"/>
            <w:tcBorders>
              <w:top w:val="nil"/>
              <w:left w:val="single" w:sz="8" w:space="0" w:color="auto"/>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Buildings Other</w:t>
            </w:r>
          </w:p>
        </w:tc>
        <w:tc>
          <w:tcPr>
            <w:tcW w:w="830"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17.69975</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18.02948</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20.81344</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23.44145</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25.11661</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25.18767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30.8924</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37.57103</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41.63399</w:t>
            </w:r>
          </w:p>
        </w:tc>
        <w:tc>
          <w:tcPr>
            <w:tcW w:w="847" w:type="dxa"/>
            <w:tcBorders>
              <w:top w:val="nil"/>
              <w:left w:val="nil"/>
              <w:bottom w:val="single" w:sz="4" w:space="0" w:color="auto"/>
              <w:right w:val="single" w:sz="8"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45.91275</w:t>
            </w:r>
          </w:p>
        </w:tc>
      </w:tr>
      <w:tr w:rsidR="003F01B9" w:rsidRPr="00031C40" w:rsidTr="00073D22">
        <w:trPr>
          <w:trHeight w:val="220"/>
          <w:jc w:val="center"/>
        </w:trPr>
        <w:tc>
          <w:tcPr>
            <w:tcW w:w="1338" w:type="dxa"/>
            <w:tcBorders>
              <w:top w:val="nil"/>
              <w:left w:val="single" w:sz="8" w:space="0" w:color="auto"/>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Buildings Heat</w:t>
            </w:r>
          </w:p>
        </w:tc>
        <w:tc>
          <w:tcPr>
            <w:tcW w:w="830"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0.001019</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0.001037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0.001147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0.001262</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0.00138</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0.001501</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0.001627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0.001757</w:t>
            </w:r>
          </w:p>
        </w:tc>
        <w:tc>
          <w:tcPr>
            <w:tcW w:w="847" w:type="dxa"/>
            <w:tcBorders>
              <w:top w:val="nil"/>
              <w:left w:val="nil"/>
              <w:bottom w:val="single" w:sz="4"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0.001891</w:t>
            </w:r>
          </w:p>
        </w:tc>
        <w:tc>
          <w:tcPr>
            <w:tcW w:w="847" w:type="dxa"/>
            <w:tcBorders>
              <w:top w:val="nil"/>
              <w:left w:val="nil"/>
              <w:bottom w:val="single" w:sz="4" w:space="0" w:color="auto"/>
              <w:right w:val="single" w:sz="8"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0.002028</w:t>
            </w:r>
          </w:p>
        </w:tc>
      </w:tr>
      <w:tr w:rsidR="003F01B9" w:rsidRPr="00031C40" w:rsidTr="00073D22">
        <w:trPr>
          <w:trHeight w:val="230"/>
          <w:jc w:val="center"/>
        </w:trPr>
        <w:tc>
          <w:tcPr>
            <w:tcW w:w="1338" w:type="dxa"/>
            <w:tcBorders>
              <w:top w:val="single" w:sz="8" w:space="0" w:color="auto"/>
              <w:left w:val="single" w:sz="8" w:space="0" w:color="auto"/>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Total</w:t>
            </w:r>
          </w:p>
        </w:tc>
        <w:tc>
          <w:tcPr>
            <w:tcW w:w="830"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33.47563</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33.54152</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39.32667</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44.82985</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49.36923</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52.37293</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61.21482</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71.07712</w:t>
            </w:r>
          </w:p>
        </w:tc>
        <w:tc>
          <w:tcPr>
            <w:tcW w:w="847" w:type="dxa"/>
            <w:tcBorders>
              <w:top w:val="single" w:sz="8" w:space="0" w:color="auto"/>
              <w:left w:val="nil"/>
              <w:bottom w:val="single" w:sz="8" w:space="0" w:color="auto"/>
              <w:right w:val="single" w:sz="4"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78.20764</w:t>
            </w:r>
          </w:p>
        </w:tc>
        <w:tc>
          <w:tcPr>
            <w:tcW w:w="847" w:type="dxa"/>
            <w:tcBorders>
              <w:top w:val="single" w:sz="8" w:space="0" w:color="auto"/>
              <w:left w:val="nil"/>
              <w:bottom w:val="single" w:sz="8" w:space="0" w:color="auto"/>
              <w:right w:val="single" w:sz="8" w:space="0" w:color="auto"/>
            </w:tcBorders>
            <w:shd w:val="clear" w:color="auto" w:fill="auto"/>
            <w:noWrap/>
            <w:hideMark/>
          </w:tcPr>
          <w:p w:rsidR="003F01B9" w:rsidRPr="00AB7BA1" w:rsidRDefault="003F01B9" w:rsidP="00073D22">
            <w:pPr>
              <w:spacing w:after="0" w:line="240" w:lineRule="auto"/>
              <w:jc w:val="both"/>
              <w:rPr>
                <w:rFonts w:ascii="Times New Roman" w:eastAsia="Times New Roman" w:hAnsi="Times New Roman" w:cs="Times New Roman"/>
                <w:b/>
                <w:color w:val="000000"/>
                <w:sz w:val="16"/>
                <w:szCs w:val="16"/>
              </w:rPr>
            </w:pPr>
            <w:r w:rsidRPr="00AB7BA1">
              <w:rPr>
                <w:rFonts w:ascii="Times New Roman" w:eastAsia="Times New Roman" w:hAnsi="Times New Roman" w:cs="Times New Roman"/>
                <w:b/>
                <w:color w:val="000000"/>
                <w:sz w:val="16"/>
                <w:szCs w:val="16"/>
              </w:rPr>
              <w:t>85.59898</w:t>
            </w:r>
          </w:p>
        </w:tc>
      </w:tr>
    </w:tbl>
    <w:p w:rsidR="00073D22" w:rsidRDefault="00073D22" w:rsidP="003F01B9">
      <w:pPr>
        <w:spacing w:after="0" w:line="240" w:lineRule="auto"/>
        <w:jc w:val="both"/>
        <w:rPr>
          <w:rFonts w:ascii="Times New Roman" w:hAnsi="Times New Roman" w:cs="Times New Roman"/>
        </w:rPr>
      </w:pPr>
    </w:p>
    <w:p w:rsidR="003F01B9" w:rsidRPr="00031C40" w:rsidRDefault="00761DEF" w:rsidP="003F01B9">
      <w:pPr>
        <w:spacing w:after="0" w:line="240" w:lineRule="auto"/>
        <w:jc w:val="both"/>
        <w:rPr>
          <w:rFonts w:ascii="Times New Roman" w:hAnsi="Times New Roman" w:cs="Times New Roman"/>
        </w:rPr>
      </w:pPr>
      <w:r w:rsidRPr="00031C40">
        <w:rPr>
          <w:rFonts w:ascii="Times New Roman" w:hAnsi="Times New Roman" w:cs="Times New Roman"/>
        </w:rPr>
        <w:t>NECAL20</w:t>
      </w:r>
      <w:r w:rsidR="002A21E3" w:rsidRPr="00031C40">
        <w:rPr>
          <w:rFonts w:ascii="Times New Roman" w:hAnsi="Times New Roman" w:cs="Times New Roman"/>
        </w:rPr>
        <w:t>6</w:t>
      </w:r>
      <w:r w:rsidRPr="00031C40">
        <w:rPr>
          <w:rFonts w:ascii="Times New Roman" w:hAnsi="Times New Roman" w:cs="Times New Roman"/>
        </w:rPr>
        <w:t xml:space="preserve">0 </w:t>
      </w:r>
      <w:r w:rsidR="008449BA" w:rsidRPr="00031C40">
        <w:rPr>
          <w:rFonts w:ascii="Times New Roman" w:hAnsi="Times New Roman" w:cs="Times New Roman"/>
        </w:rPr>
        <w:t>is a transparent and open source model of energy, GHG emissions (CO</w:t>
      </w:r>
      <w:r w:rsidR="008449BA" w:rsidRPr="00031C40">
        <w:rPr>
          <w:rFonts w:ascii="Times New Roman" w:hAnsi="Times New Roman" w:cs="Times New Roman"/>
          <w:vertAlign w:val="subscript"/>
        </w:rPr>
        <w:t>2</w:t>
      </w:r>
      <w:r w:rsidR="008449BA" w:rsidRPr="00031C40">
        <w:rPr>
          <w:rFonts w:ascii="Times New Roman" w:hAnsi="Times New Roman" w:cs="Times New Roman"/>
        </w:rPr>
        <w:t>, CH</w:t>
      </w:r>
      <w:r w:rsidR="008449BA" w:rsidRPr="00031C40">
        <w:rPr>
          <w:rFonts w:ascii="Times New Roman" w:hAnsi="Times New Roman" w:cs="Times New Roman"/>
          <w:vertAlign w:val="subscript"/>
        </w:rPr>
        <w:t>4</w:t>
      </w:r>
      <w:r w:rsidR="008449BA" w:rsidRPr="00031C40">
        <w:rPr>
          <w:rFonts w:ascii="Times New Roman" w:hAnsi="Times New Roman" w:cs="Times New Roman"/>
        </w:rPr>
        <w:t>, N</w:t>
      </w:r>
      <w:r w:rsidR="008449BA" w:rsidRPr="00031C40">
        <w:rPr>
          <w:rFonts w:ascii="Times New Roman" w:hAnsi="Times New Roman" w:cs="Times New Roman"/>
          <w:vertAlign w:val="subscript"/>
        </w:rPr>
        <w:t>2</w:t>
      </w:r>
      <w:r w:rsidR="008449BA" w:rsidRPr="00031C40">
        <w:rPr>
          <w:rFonts w:ascii="Times New Roman" w:hAnsi="Times New Roman" w:cs="Times New Roman"/>
        </w:rPr>
        <w:t>O, HFCs, PFCs, SF</w:t>
      </w:r>
      <w:r w:rsidR="008449BA" w:rsidRPr="00031C40">
        <w:rPr>
          <w:rFonts w:ascii="Times New Roman" w:hAnsi="Times New Roman" w:cs="Times New Roman"/>
          <w:vertAlign w:val="subscript"/>
        </w:rPr>
        <w:t>6</w:t>
      </w:r>
      <w:r w:rsidR="008449BA" w:rsidRPr="00031C40">
        <w:rPr>
          <w:rFonts w:ascii="Times New Roman" w:hAnsi="Times New Roman" w:cs="Times New Roman"/>
        </w:rPr>
        <w:t xml:space="preserve">), and land use. </w:t>
      </w:r>
      <w:r w:rsidRPr="00031C40">
        <w:rPr>
          <w:rFonts w:ascii="Times New Roman" w:hAnsi="Times New Roman" w:cs="Times New Roman"/>
        </w:rPr>
        <w:t>The model also accounts for</w:t>
      </w:r>
      <w:r w:rsidR="008449BA" w:rsidRPr="00031C40">
        <w:rPr>
          <w:rFonts w:ascii="Times New Roman" w:hAnsi="Times New Roman" w:cs="Times New Roman"/>
        </w:rPr>
        <w:t xml:space="preserve"> emissions of </w:t>
      </w:r>
      <w:r w:rsidRPr="00031C40">
        <w:rPr>
          <w:rFonts w:ascii="Times New Roman" w:hAnsi="Times New Roman" w:cs="Times New Roman"/>
        </w:rPr>
        <w:t>air pollutant</w:t>
      </w:r>
      <w:r w:rsidR="008449BA" w:rsidRPr="00031C40">
        <w:rPr>
          <w:rFonts w:ascii="Times New Roman" w:hAnsi="Times New Roman" w:cs="Times New Roman"/>
        </w:rPr>
        <w:t>s</w:t>
      </w:r>
      <w:r w:rsidRPr="00031C40">
        <w:rPr>
          <w:rFonts w:ascii="Times New Roman" w:hAnsi="Times New Roman" w:cs="Times New Roman"/>
        </w:rPr>
        <w:t xml:space="preserve"> such as PM10, NO</w:t>
      </w:r>
      <w:r w:rsidR="00A11739" w:rsidRPr="00031C40">
        <w:rPr>
          <w:rFonts w:ascii="Times New Roman" w:hAnsi="Times New Roman" w:cs="Times New Roman"/>
          <w:vertAlign w:val="subscript"/>
        </w:rPr>
        <w:t>X</w:t>
      </w:r>
      <w:r w:rsidRPr="00031C40">
        <w:rPr>
          <w:rFonts w:ascii="Times New Roman" w:hAnsi="Times New Roman" w:cs="Times New Roman"/>
        </w:rPr>
        <w:t>, SO</w:t>
      </w:r>
      <w:r w:rsidRPr="00031C40">
        <w:rPr>
          <w:rFonts w:ascii="Times New Roman" w:hAnsi="Times New Roman" w:cs="Times New Roman"/>
          <w:vertAlign w:val="subscript"/>
        </w:rPr>
        <w:t>2</w:t>
      </w:r>
      <w:r w:rsidRPr="00031C40">
        <w:rPr>
          <w:rFonts w:ascii="Times New Roman" w:hAnsi="Times New Roman" w:cs="Times New Roman"/>
        </w:rPr>
        <w:t>, and NMVOC (Non-methane volatile organic com- pounds).</w:t>
      </w:r>
      <w:r w:rsidR="008449BA" w:rsidRPr="00031C40">
        <w:rPr>
          <w:rFonts w:ascii="Times New Roman" w:hAnsi="Times New Roman" w:cs="Times New Roman"/>
        </w:rPr>
        <w:t xml:space="preserve"> It uses a set of existing and future technologies to ensure that energy supply satisfies the varying </w:t>
      </w:r>
      <w:r w:rsidR="00A11739" w:rsidRPr="00031C40">
        <w:rPr>
          <w:rFonts w:ascii="Times New Roman" w:hAnsi="Times New Roman" w:cs="Times New Roman"/>
        </w:rPr>
        <w:t xml:space="preserve">energy </w:t>
      </w:r>
      <w:r w:rsidR="008449BA" w:rsidRPr="00031C40">
        <w:rPr>
          <w:rFonts w:ascii="Times New Roman" w:hAnsi="Times New Roman" w:cs="Times New Roman"/>
        </w:rPr>
        <w:t xml:space="preserve">demands. Two versions of the model were </w:t>
      </w:r>
      <w:r w:rsidRPr="00031C40">
        <w:rPr>
          <w:rFonts w:ascii="Times New Roman" w:hAnsi="Times New Roman" w:cs="Times New Roman"/>
        </w:rPr>
        <w:t>developed</w:t>
      </w:r>
      <w:r w:rsidR="008449BA" w:rsidRPr="00031C40">
        <w:rPr>
          <w:rFonts w:ascii="Times New Roman" w:hAnsi="Times New Roman" w:cs="Times New Roman"/>
        </w:rPr>
        <w:t xml:space="preserve"> by the Energy Commission</w:t>
      </w:r>
      <w:r w:rsidR="00F310EC" w:rsidRPr="00031C40">
        <w:rPr>
          <w:rFonts w:ascii="Times New Roman" w:hAnsi="Times New Roman" w:cs="Times New Roman"/>
        </w:rPr>
        <w:t xml:space="preserve"> of Nigeria (ECN)</w:t>
      </w:r>
      <w:r w:rsidRPr="00031C40">
        <w:rPr>
          <w:rFonts w:ascii="Times New Roman" w:hAnsi="Times New Roman" w:cs="Times New Roman"/>
        </w:rPr>
        <w:t>: the MS Excel-based type and the Web-based type. In this paper, the MS Excel version was employed. As an integrated model, NECAL20</w:t>
      </w:r>
      <w:r w:rsidR="008449BA" w:rsidRPr="00031C40">
        <w:rPr>
          <w:rFonts w:ascii="Times New Roman" w:hAnsi="Times New Roman" w:cs="Times New Roman"/>
        </w:rPr>
        <w:t>6</w:t>
      </w:r>
      <w:r w:rsidRPr="00031C40">
        <w:rPr>
          <w:rFonts w:ascii="Times New Roman" w:hAnsi="Times New Roman" w:cs="Times New Roman"/>
        </w:rPr>
        <w:t xml:space="preserve">0 aims to identify secured pathways for energy supply </w:t>
      </w:r>
      <w:r w:rsidR="003F01B9" w:rsidRPr="00031C40">
        <w:rPr>
          <w:rFonts w:ascii="Times New Roman" w:hAnsi="Times New Roman" w:cs="Times New Roman"/>
        </w:rPr>
        <w:t xml:space="preserve">and demand at minimal or net-zero GHG emissions level from 2015 to 2060. </w:t>
      </w:r>
    </w:p>
    <w:p w:rsidR="00761DEF" w:rsidRPr="00031C40" w:rsidRDefault="00761DEF" w:rsidP="00031C40">
      <w:pPr>
        <w:spacing w:after="0" w:line="240" w:lineRule="auto"/>
        <w:jc w:val="both"/>
        <w:rPr>
          <w:rFonts w:ascii="Times New Roman" w:hAnsi="Times New Roman" w:cs="Times New Roman"/>
        </w:rPr>
      </w:pPr>
    </w:p>
    <w:p w:rsidR="00311F13" w:rsidRPr="00031C40" w:rsidRDefault="00761DEF" w:rsidP="00031C40">
      <w:pPr>
        <w:spacing w:before="240" w:after="0" w:line="240" w:lineRule="auto"/>
        <w:jc w:val="both"/>
        <w:rPr>
          <w:rFonts w:ascii="Times New Roman" w:hAnsi="Times New Roman" w:cs="Times New Roman"/>
        </w:rPr>
      </w:pPr>
      <w:r w:rsidRPr="00031C40">
        <w:rPr>
          <w:rFonts w:ascii="Times New Roman" w:hAnsi="Times New Roman" w:cs="Times New Roman"/>
        </w:rPr>
        <w:t>NECAL20</w:t>
      </w:r>
      <w:r w:rsidR="002A21E3" w:rsidRPr="00031C40">
        <w:rPr>
          <w:rFonts w:ascii="Times New Roman" w:hAnsi="Times New Roman" w:cs="Times New Roman"/>
        </w:rPr>
        <w:t>6</w:t>
      </w:r>
      <w:r w:rsidRPr="00031C40">
        <w:rPr>
          <w:rFonts w:ascii="Times New Roman" w:hAnsi="Times New Roman" w:cs="Times New Roman"/>
        </w:rPr>
        <w:t xml:space="preserve">0 is split into </w:t>
      </w:r>
      <w:r w:rsidR="00AA1C75" w:rsidRPr="00031C40">
        <w:rPr>
          <w:rFonts w:ascii="Times New Roman" w:hAnsi="Times New Roman" w:cs="Times New Roman"/>
        </w:rPr>
        <w:t>six</w:t>
      </w:r>
      <w:r w:rsidRPr="00031C40">
        <w:rPr>
          <w:rFonts w:ascii="Times New Roman" w:hAnsi="Times New Roman" w:cs="Times New Roman"/>
        </w:rPr>
        <w:t xml:space="preserve"> sectors; </w:t>
      </w:r>
      <w:r w:rsidR="00451FDB" w:rsidRPr="00031C40">
        <w:rPr>
          <w:rFonts w:ascii="Times New Roman" w:hAnsi="Times New Roman" w:cs="Times New Roman"/>
        </w:rPr>
        <w:t>(</w:t>
      </w:r>
      <w:proofErr w:type="spellStart"/>
      <w:r w:rsidRPr="00031C40">
        <w:rPr>
          <w:rFonts w:ascii="Times New Roman" w:hAnsi="Times New Roman" w:cs="Times New Roman"/>
        </w:rPr>
        <w:t>i</w:t>
      </w:r>
      <w:proofErr w:type="spellEnd"/>
      <w:r w:rsidRPr="00031C40">
        <w:rPr>
          <w:rFonts w:ascii="Times New Roman" w:hAnsi="Times New Roman" w:cs="Times New Roman"/>
        </w:rPr>
        <w:t>) industry</w:t>
      </w:r>
      <w:r w:rsidR="00451FDB" w:rsidRPr="00031C40">
        <w:rPr>
          <w:rFonts w:ascii="Times New Roman" w:hAnsi="Times New Roman" w:cs="Times New Roman"/>
        </w:rPr>
        <w:t>,</w:t>
      </w:r>
      <w:r w:rsidRPr="00031C40">
        <w:rPr>
          <w:rFonts w:ascii="Times New Roman" w:hAnsi="Times New Roman" w:cs="Times New Roman"/>
        </w:rPr>
        <w:t xml:space="preserve"> (ii) </w:t>
      </w:r>
      <w:r w:rsidR="00451FDB" w:rsidRPr="00031C40">
        <w:rPr>
          <w:rFonts w:ascii="Times New Roman" w:hAnsi="Times New Roman" w:cs="Times New Roman"/>
        </w:rPr>
        <w:t xml:space="preserve">building, (iii) transport, </w:t>
      </w:r>
      <w:proofErr w:type="gramStart"/>
      <w:r w:rsidR="00451FDB" w:rsidRPr="00031C40">
        <w:rPr>
          <w:rFonts w:ascii="Times New Roman" w:hAnsi="Times New Roman" w:cs="Times New Roman"/>
        </w:rPr>
        <w:t>(iv) electricity</w:t>
      </w:r>
      <w:proofErr w:type="gramEnd"/>
      <w:r w:rsidR="00451FDB" w:rsidRPr="00031C40">
        <w:rPr>
          <w:rFonts w:ascii="Times New Roman" w:hAnsi="Times New Roman" w:cs="Times New Roman"/>
        </w:rPr>
        <w:t>, (v) land use and waste (AFOLU)</w:t>
      </w:r>
      <w:r w:rsidR="00B540B1" w:rsidRPr="00031C40">
        <w:rPr>
          <w:rFonts w:ascii="Times New Roman" w:hAnsi="Times New Roman" w:cs="Times New Roman"/>
        </w:rPr>
        <w:t xml:space="preserve"> and, (</w:t>
      </w:r>
      <w:r w:rsidR="00451FDB" w:rsidRPr="00031C40">
        <w:rPr>
          <w:rFonts w:ascii="Times New Roman" w:hAnsi="Times New Roman" w:cs="Times New Roman"/>
        </w:rPr>
        <w:t xml:space="preserve">vi) </w:t>
      </w:r>
      <w:r w:rsidR="00B540B1" w:rsidRPr="00031C40">
        <w:rPr>
          <w:rFonts w:ascii="Times New Roman" w:hAnsi="Times New Roman" w:cs="Times New Roman"/>
        </w:rPr>
        <w:t>C</w:t>
      </w:r>
      <w:r w:rsidR="00451FDB" w:rsidRPr="00031C40">
        <w:rPr>
          <w:rFonts w:ascii="Times New Roman" w:hAnsi="Times New Roman" w:cs="Times New Roman"/>
        </w:rPr>
        <w:t>O</w:t>
      </w:r>
      <w:r w:rsidR="00451FDB" w:rsidRPr="00031C40">
        <w:rPr>
          <w:rFonts w:ascii="Times New Roman" w:hAnsi="Times New Roman" w:cs="Times New Roman"/>
          <w:vertAlign w:val="subscript"/>
        </w:rPr>
        <w:t>2</w:t>
      </w:r>
      <w:r w:rsidR="00451FDB" w:rsidRPr="00031C40">
        <w:rPr>
          <w:rFonts w:ascii="Times New Roman" w:hAnsi="Times New Roman" w:cs="Times New Roman"/>
        </w:rPr>
        <w:t xml:space="preserve"> removal and other gases</w:t>
      </w:r>
      <w:r w:rsidRPr="00031C40">
        <w:rPr>
          <w:rFonts w:ascii="Times New Roman" w:hAnsi="Times New Roman" w:cs="Times New Roman"/>
        </w:rPr>
        <w:t>. The demand is determined by the user</w:t>
      </w:r>
      <w:r w:rsidR="00B540B1" w:rsidRPr="00031C40">
        <w:rPr>
          <w:rFonts w:ascii="Times New Roman" w:hAnsi="Times New Roman" w:cs="Times New Roman"/>
        </w:rPr>
        <w:t xml:space="preserve">’s </w:t>
      </w:r>
      <w:r w:rsidRPr="00031C40">
        <w:rPr>
          <w:rFonts w:ascii="Times New Roman" w:hAnsi="Times New Roman" w:cs="Times New Roman"/>
        </w:rPr>
        <w:t xml:space="preserve">choices </w:t>
      </w:r>
      <w:r w:rsidR="00B540B1" w:rsidRPr="00031C40">
        <w:rPr>
          <w:rFonts w:ascii="Times New Roman" w:hAnsi="Times New Roman" w:cs="Times New Roman"/>
        </w:rPr>
        <w:t xml:space="preserve">from </w:t>
      </w:r>
      <w:r w:rsidRPr="00031C40">
        <w:rPr>
          <w:rFonts w:ascii="Times New Roman" w:hAnsi="Times New Roman" w:cs="Times New Roman"/>
        </w:rPr>
        <w:t xml:space="preserve">each </w:t>
      </w:r>
      <w:r w:rsidR="00B540B1" w:rsidRPr="00031C40">
        <w:rPr>
          <w:rFonts w:ascii="Times New Roman" w:hAnsi="Times New Roman" w:cs="Times New Roman"/>
        </w:rPr>
        <w:t xml:space="preserve">of the </w:t>
      </w:r>
      <w:r w:rsidRPr="00031C40">
        <w:rPr>
          <w:rFonts w:ascii="Times New Roman" w:hAnsi="Times New Roman" w:cs="Times New Roman"/>
        </w:rPr>
        <w:t>demand sector</w:t>
      </w:r>
      <w:r w:rsidR="008C0A7C" w:rsidRPr="00031C40">
        <w:rPr>
          <w:rFonts w:ascii="Times New Roman" w:hAnsi="Times New Roman" w:cs="Times New Roman"/>
        </w:rPr>
        <w:t>s</w:t>
      </w:r>
      <w:r w:rsidR="00F46972" w:rsidRPr="00031C40">
        <w:rPr>
          <w:rFonts w:ascii="Times New Roman" w:hAnsi="Times New Roman" w:cs="Times New Roman"/>
        </w:rPr>
        <w:t xml:space="preserve"> (industry, building, transport and land-use)</w:t>
      </w:r>
      <w:r w:rsidRPr="00031C40">
        <w:rPr>
          <w:rFonts w:ascii="Times New Roman" w:hAnsi="Times New Roman" w:cs="Times New Roman"/>
        </w:rPr>
        <w:t>. Then the user also determines how the energy supply would be and then NECAL20</w:t>
      </w:r>
      <w:r w:rsidR="00AA1C75" w:rsidRPr="00031C40">
        <w:rPr>
          <w:rFonts w:ascii="Times New Roman" w:hAnsi="Times New Roman" w:cs="Times New Roman"/>
        </w:rPr>
        <w:t>6</w:t>
      </w:r>
      <w:r w:rsidRPr="00031C40">
        <w:rPr>
          <w:rFonts w:ascii="Times New Roman" w:hAnsi="Times New Roman" w:cs="Times New Roman"/>
        </w:rPr>
        <w:t>0 compares the demand-supply figures based on the user</w:t>
      </w:r>
      <w:r w:rsidR="00B540B1" w:rsidRPr="00031C40">
        <w:rPr>
          <w:rFonts w:ascii="Times New Roman" w:hAnsi="Times New Roman" w:cs="Times New Roman"/>
        </w:rPr>
        <w:t xml:space="preserve">’s </w:t>
      </w:r>
      <w:r w:rsidRPr="00031C40">
        <w:rPr>
          <w:rFonts w:ascii="Times New Roman" w:hAnsi="Times New Roman" w:cs="Times New Roman"/>
        </w:rPr>
        <w:t xml:space="preserve">choices. When the supply is higher than demand, it is assumed that the domestic energy resources are sufficient to match the demand </w:t>
      </w:r>
      <w:r w:rsidRPr="00031C40">
        <w:rPr>
          <w:rFonts w:ascii="Times New Roman" w:hAnsi="Times New Roman" w:cs="Times New Roman"/>
        </w:rPr>
        <w:fldChar w:fldCharType="begin" w:fldLock="1"/>
      </w:r>
      <w:r w:rsidR="00FD4911" w:rsidRPr="00031C40">
        <w:rPr>
          <w:rFonts w:ascii="Times New Roman" w:hAnsi="Times New Roman" w:cs="Times New Roman"/>
        </w:rPr>
        <w:instrText>ADDIN CSL_CITATION {"citationItems":[{"id":"ITEM-1","itemData":{"DOI":"10.1016/j.ref.2019.02.004","ISSN":"1755-0084","author":[{"dropping-particle":"","family":"Dioha","given":"Michael O","non-dropping-particle":"","parse-names":false,"suffix":""},{"dropping-particle":"V","family":"Emodi","given":"Nnaemeka","non-dropping-particle":"","parse-names":false,"suffix":""},{"dropping-particle":"","family":"Dioha","given":"Emmanuel C","non-dropping-particle":"","parse-names":false,"suffix":""}],"container-title":"Renewable Energy Focus","id":"ITEM-1","issue":"00","issued":{"date-parts":[["2019"]]},"page":"63-77","publisher":"Elsevier Ltd","title":"Pathways for low carbon Nigeria in 2050 by using NECAL2050","type":"article-journal","volume":"29"},"uris":["http://www.mendeley.com/documents/?uuid=bad9a0ff-ade0-4465-81c9-6860e2a75663"]}],"mendeley":{"formattedCitation":"(Dioha et al., 2019)","plainTextFormattedCitation":"(Dioha et al., 2019)","previouslyFormattedCitation":"(Dioha et al., 2019)"},"properties":{"noteIndex":0},"schema":"https://github.com/citation-style-language/schema/raw/master/csl-citation.json"}</w:instrText>
      </w:r>
      <w:r w:rsidRPr="00031C40">
        <w:rPr>
          <w:rFonts w:ascii="Times New Roman" w:hAnsi="Times New Roman" w:cs="Times New Roman"/>
        </w:rPr>
        <w:fldChar w:fldCharType="separate"/>
      </w:r>
      <w:r w:rsidRPr="00031C40">
        <w:rPr>
          <w:rFonts w:ascii="Times New Roman" w:hAnsi="Times New Roman" w:cs="Times New Roman"/>
          <w:noProof/>
        </w:rPr>
        <w:t>(Dioha et al., 2019)</w:t>
      </w:r>
      <w:r w:rsidRPr="00031C40">
        <w:rPr>
          <w:rFonts w:ascii="Times New Roman" w:hAnsi="Times New Roman" w:cs="Times New Roman"/>
        </w:rPr>
        <w:fldChar w:fldCharType="end"/>
      </w:r>
      <w:r w:rsidRPr="00031C40">
        <w:rPr>
          <w:rFonts w:ascii="Times New Roman" w:hAnsi="Times New Roman" w:cs="Times New Roman"/>
        </w:rPr>
        <w:t xml:space="preserve">. In this </w:t>
      </w:r>
      <w:r w:rsidRPr="00EA3EE1">
        <w:rPr>
          <w:rFonts w:ascii="Times New Roman" w:hAnsi="Times New Roman" w:cs="Times New Roman"/>
        </w:rPr>
        <w:t xml:space="preserve">research, </w:t>
      </w:r>
      <w:r w:rsidR="00F46972" w:rsidRPr="00EA3EE1">
        <w:rPr>
          <w:rFonts w:ascii="Times New Roman" w:hAnsi="Times New Roman" w:cs="Times New Roman"/>
        </w:rPr>
        <w:t>two</w:t>
      </w:r>
      <w:r w:rsidRPr="00EA3EE1">
        <w:rPr>
          <w:rFonts w:ascii="Times New Roman" w:hAnsi="Times New Roman" w:cs="Times New Roman"/>
        </w:rPr>
        <w:t xml:space="preserve"> </w:t>
      </w:r>
      <w:r w:rsidR="003203CE" w:rsidRPr="00EA3EE1">
        <w:rPr>
          <w:rFonts w:ascii="Times New Roman" w:hAnsi="Times New Roman" w:cs="Times New Roman"/>
        </w:rPr>
        <w:t xml:space="preserve">out of four </w:t>
      </w:r>
      <w:r w:rsidRPr="00EA3EE1">
        <w:rPr>
          <w:rFonts w:ascii="Times New Roman" w:hAnsi="Times New Roman" w:cs="Times New Roman"/>
        </w:rPr>
        <w:t>scenarios were</w:t>
      </w:r>
      <w:r w:rsidRPr="00031C40">
        <w:rPr>
          <w:rFonts w:ascii="Times New Roman" w:hAnsi="Times New Roman" w:cs="Times New Roman"/>
        </w:rPr>
        <w:t xml:space="preserve"> examined and compare for </w:t>
      </w:r>
      <w:r w:rsidR="003203CE" w:rsidRPr="00031C40">
        <w:rPr>
          <w:rFonts w:ascii="Times New Roman" w:hAnsi="Times New Roman" w:cs="Times New Roman"/>
        </w:rPr>
        <w:t xml:space="preserve">electricity access and </w:t>
      </w:r>
      <w:r w:rsidRPr="00031C40">
        <w:rPr>
          <w:rFonts w:ascii="Times New Roman" w:hAnsi="Times New Roman" w:cs="Times New Roman"/>
        </w:rPr>
        <w:t>l</w:t>
      </w:r>
      <w:r w:rsidR="00F46972" w:rsidRPr="00031C40">
        <w:rPr>
          <w:rFonts w:ascii="Times New Roman" w:hAnsi="Times New Roman" w:cs="Times New Roman"/>
        </w:rPr>
        <w:t xml:space="preserve">ow carbon development in Nigeria; the </w:t>
      </w:r>
      <w:r w:rsidR="00F46972" w:rsidRPr="00031C40">
        <w:rPr>
          <w:rFonts w:ascii="Times New Roman" w:hAnsi="Times New Roman" w:cs="Times New Roman"/>
        </w:rPr>
        <w:lastRenderedPageBreak/>
        <w:t xml:space="preserve">Business-as-Usual </w:t>
      </w:r>
      <w:r w:rsidR="00093A36" w:rsidRPr="00031C40">
        <w:rPr>
          <w:rFonts w:ascii="Times New Roman" w:hAnsi="Times New Roman" w:cs="Times New Roman"/>
        </w:rPr>
        <w:t xml:space="preserve">(BAU) </w:t>
      </w:r>
      <w:r w:rsidR="00F46972" w:rsidRPr="00031C40">
        <w:rPr>
          <w:rFonts w:ascii="Times New Roman" w:hAnsi="Times New Roman" w:cs="Times New Roman"/>
        </w:rPr>
        <w:t xml:space="preserve">scenario and Most Ambitious </w:t>
      </w:r>
      <w:r w:rsidR="00093A36" w:rsidRPr="00031C40">
        <w:rPr>
          <w:rFonts w:ascii="Times New Roman" w:hAnsi="Times New Roman" w:cs="Times New Roman"/>
        </w:rPr>
        <w:t xml:space="preserve">Level (MAL) </w:t>
      </w:r>
      <w:r w:rsidR="00F46972" w:rsidRPr="00031C40">
        <w:rPr>
          <w:rFonts w:ascii="Times New Roman" w:hAnsi="Times New Roman" w:cs="Times New Roman"/>
        </w:rPr>
        <w:t>scenario, targeting utmost determination of GHG removals whilst meeting-up adequate energy supplies for the demand.</w:t>
      </w:r>
    </w:p>
    <w:p w:rsidR="00366E1C" w:rsidRPr="00031C40" w:rsidRDefault="00366E1C" w:rsidP="00B72D4E"/>
    <w:p w:rsidR="00366E1C" w:rsidRPr="00031C40" w:rsidRDefault="00366E1C" w:rsidP="00031C40">
      <w:pPr>
        <w:pStyle w:val="Heading2"/>
        <w:spacing w:before="0" w:line="240" w:lineRule="auto"/>
        <w:jc w:val="both"/>
        <w:rPr>
          <w:rFonts w:cs="Times New Roman"/>
          <w:sz w:val="22"/>
          <w:szCs w:val="22"/>
        </w:rPr>
      </w:pPr>
      <w:r w:rsidRPr="00031C40">
        <w:rPr>
          <w:rFonts w:cs="Times New Roman"/>
          <w:sz w:val="22"/>
          <w:szCs w:val="22"/>
        </w:rPr>
        <w:t>Results</w:t>
      </w:r>
    </w:p>
    <w:p w:rsidR="00093A36" w:rsidRDefault="00093A36" w:rsidP="00031C40">
      <w:pPr>
        <w:spacing w:after="0" w:line="240" w:lineRule="auto"/>
        <w:jc w:val="both"/>
        <w:rPr>
          <w:rFonts w:ascii="Times New Roman" w:hAnsi="Times New Roman" w:cs="Times New Roman"/>
        </w:rPr>
      </w:pPr>
      <w:r w:rsidRPr="00031C40">
        <w:rPr>
          <w:rFonts w:ascii="Times New Roman" w:hAnsi="Times New Roman" w:cs="Times New Roman"/>
        </w:rPr>
        <w:t>Nigeria’s peak power demand was computed, and projected to 2060 using NECAL2060 with the key power demand drivers, demography, socio-economy and technology. The two selected scenarios, BAU and MAL,</w:t>
      </w:r>
      <w:r w:rsidR="007F214F" w:rsidRPr="00031C40">
        <w:rPr>
          <w:rFonts w:ascii="Times New Roman" w:hAnsi="Times New Roman" w:cs="Times New Roman"/>
        </w:rPr>
        <w:t xml:space="preserve"> were analyzed</w:t>
      </w:r>
      <w:r w:rsidRPr="00031C40">
        <w:rPr>
          <w:rFonts w:ascii="Times New Roman" w:hAnsi="Times New Roman" w:cs="Times New Roman"/>
        </w:rPr>
        <w:t xml:space="preserve"> for the application of power in to agriculture, industries, building heat and building others (specific electricity use, cooling and cooking).</w:t>
      </w:r>
      <w:r w:rsidR="007F214F" w:rsidRPr="00031C40">
        <w:rPr>
          <w:rFonts w:ascii="Times New Roman" w:hAnsi="Times New Roman" w:cs="Times New Roman"/>
        </w:rPr>
        <w:t xml:space="preserve"> The year 2015 was s</w:t>
      </w:r>
      <w:r w:rsidRPr="00031C40">
        <w:rPr>
          <w:rFonts w:ascii="Times New Roman" w:hAnsi="Times New Roman" w:cs="Times New Roman"/>
        </w:rPr>
        <w:t>elect</w:t>
      </w:r>
      <w:r w:rsidR="007F214F" w:rsidRPr="00031C40">
        <w:rPr>
          <w:rFonts w:ascii="Times New Roman" w:hAnsi="Times New Roman" w:cs="Times New Roman"/>
        </w:rPr>
        <w:t xml:space="preserve">ed </w:t>
      </w:r>
      <w:r w:rsidRPr="00031C40">
        <w:rPr>
          <w:rFonts w:ascii="Times New Roman" w:hAnsi="Times New Roman" w:cs="Times New Roman"/>
        </w:rPr>
        <w:t>the base year</w:t>
      </w:r>
      <w:r w:rsidR="007F214F" w:rsidRPr="00031C40">
        <w:rPr>
          <w:rFonts w:ascii="Times New Roman" w:hAnsi="Times New Roman" w:cs="Times New Roman"/>
        </w:rPr>
        <w:t xml:space="preserve"> in this study </w:t>
      </w:r>
      <w:r w:rsidRPr="00031C40">
        <w:rPr>
          <w:rFonts w:ascii="Times New Roman" w:hAnsi="Times New Roman" w:cs="Times New Roman"/>
        </w:rPr>
        <w:t>on the basis of availability of data</w:t>
      </w:r>
      <w:r w:rsidR="007F214F" w:rsidRPr="00031C40">
        <w:rPr>
          <w:rFonts w:ascii="Times New Roman" w:hAnsi="Times New Roman" w:cs="Times New Roman"/>
        </w:rPr>
        <w:t xml:space="preserve"> that represented the country’s steady economic and ene</w:t>
      </w:r>
      <w:r w:rsidRPr="00031C40">
        <w:rPr>
          <w:rFonts w:ascii="Times New Roman" w:hAnsi="Times New Roman" w:cs="Times New Roman"/>
        </w:rPr>
        <w:t>rgy situation</w:t>
      </w:r>
      <w:r w:rsidR="007F214F" w:rsidRPr="00031C40">
        <w:rPr>
          <w:rFonts w:ascii="Times New Roman" w:hAnsi="Times New Roman" w:cs="Times New Roman"/>
        </w:rPr>
        <w:t xml:space="preserve">. </w:t>
      </w:r>
    </w:p>
    <w:p w:rsidR="00AB7BA1" w:rsidRPr="00031C40" w:rsidRDefault="00AB7BA1" w:rsidP="00031C40">
      <w:pPr>
        <w:spacing w:after="0" w:line="240" w:lineRule="auto"/>
        <w:jc w:val="both"/>
        <w:rPr>
          <w:rFonts w:ascii="Times New Roman" w:hAnsi="Times New Roman" w:cs="Times New Roman"/>
        </w:rPr>
      </w:pPr>
    </w:p>
    <w:p w:rsidR="00AB7BA1" w:rsidRPr="00031C40" w:rsidRDefault="00AB7BA1" w:rsidP="00AB7BA1">
      <w:pPr>
        <w:spacing w:after="0" w:line="240" w:lineRule="auto"/>
        <w:jc w:val="both"/>
        <w:rPr>
          <w:rFonts w:ascii="Times New Roman" w:hAnsi="Times New Roman" w:cs="Times New Roman"/>
        </w:rPr>
      </w:pPr>
      <w:r w:rsidRPr="00031C40">
        <w:rPr>
          <w:rFonts w:ascii="Times New Roman" w:hAnsi="Times New Roman" w:cs="Times New Roman"/>
        </w:rPr>
        <w:t>Table 1: Peak Power Demand, BAU (GW)</w:t>
      </w:r>
    </w:p>
    <w:p w:rsidR="007F214F" w:rsidRPr="00031C40" w:rsidRDefault="007F214F" w:rsidP="00031C40">
      <w:pPr>
        <w:spacing w:after="0" w:line="240" w:lineRule="auto"/>
        <w:jc w:val="both"/>
        <w:rPr>
          <w:rFonts w:ascii="Times New Roman" w:hAnsi="Times New Roman" w:cs="Times New Roman"/>
        </w:rPr>
      </w:pPr>
    </w:p>
    <w:p w:rsidR="008A4C48" w:rsidRPr="00031C40" w:rsidRDefault="008A4C48" w:rsidP="00031C40">
      <w:pPr>
        <w:jc w:val="both"/>
        <w:rPr>
          <w:rFonts w:ascii="Times New Roman" w:hAnsi="Times New Roman" w:cs="Times New Roman"/>
        </w:rPr>
      </w:pPr>
      <w:r w:rsidRPr="00031C40">
        <w:rPr>
          <w:rFonts w:ascii="Times New Roman" w:hAnsi="Times New Roman" w:cs="Times New Roman"/>
        </w:rPr>
        <w:t xml:space="preserve">The structure of the nation’s economy and climate change mitigation are the major driving parameters in </w:t>
      </w:r>
      <w:r w:rsidR="00267C25" w:rsidRPr="00031C40">
        <w:rPr>
          <w:rFonts w:ascii="Times New Roman" w:hAnsi="Times New Roman" w:cs="Times New Roman"/>
        </w:rPr>
        <w:t>these selected</w:t>
      </w:r>
      <w:r w:rsidRPr="00031C40">
        <w:rPr>
          <w:rFonts w:ascii="Times New Roman" w:hAnsi="Times New Roman" w:cs="Times New Roman"/>
        </w:rPr>
        <w:t xml:space="preserve"> two scenarios. Projected electricity demand has been translated into demand for grid electricity and peak demand on the bases of assumptions made for T&amp;D losses, auxiliary consumption, load factor and declining non-grid generation.</w:t>
      </w:r>
      <w:r w:rsidR="00EB7B6D" w:rsidRPr="00031C40">
        <w:rPr>
          <w:rFonts w:ascii="Times New Roman" w:hAnsi="Times New Roman" w:cs="Times New Roman"/>
        </w:rPr>
        <w:t xml:space="preserve"> </w:t>
      </w:r>
    </w:p>
    <w:p w:rsidR="008A4C48" w:rsidRPr="00031C40" w:rsidRDefault="008A4C48" w:rsidP="00031C40">
      <w:pPr>
        <w:jc w:val="both"/>
        <w:rPr>
          <w:rFonts w:ascii="Times New Roman" w:hAnsi="Times New Roman" w:cs="Times New Roman"/>
        </w:rPr>
      </w:pPr>
    </w:p>
    <w:p w:rsidR="007F214F" w:rsidRPr="00031C40" w:rsidRDefault="007F214F" w:rsidP="00031C40">
      <w:pPr>
        <w:spacing w:after="0" w:line="240" w:lineRule="auto"/>
        <w:jc w:val="both"/>
        <w:rPr>
          <w:rFonts w:ascii="Times New Roman" w:hAnsi="Times New Roman" w:cs="Times New Roman"/>
        </w:rPr>
      </w:pPr>
      <w:r w:rsidRPr="00031C40">
        <w:rPr>
          <w:rFonts w:ascii="Times New Roman" w:hAnsi="Times New Roman" w:cs="Times New Roman"/>
          <w:noProof/>
        </w:rPr>
        <w:drawing>
          <wp:inline distT="0" distB="0" distL="0" distR="0" wp14:anchorId="06D18D2F" wp14:editId="3021F24E">
            <wp:extent cx="5891917" cy="2250219"/>
            <wp:effectExtent l="0" t="0" r="1397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A4C48" w:rsidRPr="00031C40" w:rsidRDefault="008A4C48" w:rsidP="00031C40">
      <w:pPr>
        <w:spacing w:after="0" w:line="240" w:lineRule="auto"/>
        <w:jc w:val="both"/>
        <w:rPr>
          <w:rFonts w:ascii="Times New Roman" w:hAnsi="Times New Roman" w:cs="Times New Roman"/>
        </w:rPr>
      </w:pPr>
      <w:r w:rsidRPr="00031C40">
        <w:rPr>
          <w:rFonts w:ascii="Times New Roman" w:hAnsi="Times New Roman" w:cs="Times New Roman"/>
        </w:rPr>
        <w:t>Fig. 1: Power Peak Demand (GW)</w:t>
      </w:r>
      <w:r w:rsidR="009B1A0A" w:rsidRPr="00031C40">
        <w:rPr>
          <w:rFonts w:ascii="Times New Roman" w:hAnsi="Times New Roman" w:cs="Times New Roman"/>
        </w:rPr>
        <w:t>,</w:t>
      </w:r>
      <w:r w:rsidRPr="00031C40">
        <w:rPr>
          <w:rFonts w:ascii="Times New Roman" w:hAnsi="Times New Roman" w:cs="Times New Roman"/>
        </w:rPr>
        <w:t xml:space="preserve"> BAU. </w:t>
      </w:r>
    </w:p>
    <w:p w:rsidR="00C756E6" w:rsidRPr="00031C40" w:rsidRDefault="00C756E6" w:rsidP="00031C40">
      <w:pPr>
        <w:spacing w:after="0" w:line="240" w:lineRule="auto"/>
        <w:jc w:val="both"/>
        <w:rPr>
          <w:rFonts w:ascii="Times New Roman" w:hAnsi="Times New Roman" w:cs="Times New Roman"/>
        </w:rPr>
      </w:pPr>
    </w:p>
    <w:p w:rsidR="00093A36" w:rsidRPr="00031C40" w:rsidRDefault="007F214F" w:rsidP="00031C40">
      <w:pPr>
        <w:jc w:val="both"/>
        <w:rPr>
          <w:rFonts w:ascii="Times New Roman" w:hAnsi="Times New Roman" w:cs="Times New Roman"/>
        </w:rPr>
      </w:pPr>
      <w:r w:rsidRPr="00031C40">
        <w:rPr>
          <w:rFonts w:ascii="Times New Roman" w:hAnsi="Times New Roman" w:cs="Times New Roman"/>
        </w:rPr>
        <w:t xml:space="preserve">Table 1 shows the electricity </w:t>
      </w:r>
      <w:r w:rsidR="008A4C48" w:rsidRPr="00031C40">
        <w:rPr>
          <w:rFonts w:ascii="Times New Roman" w:hAnsi="Times New Roman" w:cs="Times New Roman"/>
        </w:rPr>
        <w:t xml:space="preserve">peak </w:t>
      </w:r>
      <w:r w:rsidRPr="00031C40">
        <w:rPr>
          <w:rFonts w:ascii="Times New Roman" w:hAnsi="Times New Roman" w:cs="Times New Roman"/>
        </w:rPr>
        <w:t xml:space="preserve">demand projections for </w:t>
      </w:r>
      <w:r w:rsidR="00D07D22" w:rsidRPr="00031C40">
        <w:rPr>
          <w:rFonts w:ascii="Times New Roman" w:hAnsi="Times New Roman" w:cs="Times New Roman"/>
        </w:rPr>
        <w:t>BAU scenario</w:t>
      </w:r>
      <w:r w:rsidRPr="00031C40">
        <w:rPr>
          <w:rFonts w:ascii="Times New Roman" w:hAnsi="Times New Roman" w:cs="Times New Roman"/>
        </w:rPr>
        <w:t xml:space="preserve">. It must be emphasized that </w:t>
      </w:r>
      <w:r w:rsidR="00A21553" w:rsidRPr="00031C40">
        <w:rPr>
          <w:rFonts w:ascii="Times New Roman" w:hAnsi="Times New Roman" w:cs="Times New Roman"/>
        </w:rPr>
        <w:t xml:space="preserve">despite </w:t>
      </w:r>
      <w:r w:rsidRPr="00031C40">
        <w:rPr>
          <w:rFonts w:ascii="Times New Roman" w:hAnsi="Times New Roman" w:cs="Times New Roman"/>
        </w:rPr>
        <w:t>suppressed demand</w:t>
      </w:r>
      <w:r w:rsidR="00267C25" w:rsidRPr="00031C40">
        <w:rPr>
          <w:rFonts w:ascii="Times New Roman" w:hAnsi="Times New Roman" w:cs="Times New Roman"/>
        </w:rPr>
        <w:t xml:space="preserve"> being </w:t>
      </w:r>
      <w:r w:rsidR="00A21553" w:rsidRPr="00031C40">
        <w:rPr>
          <w:rFonts w:ascii="Times New Roman" w:hAnsi="Times New Roman" w:cs="Times New Roman"/>
        </w:rPr>
        <w:t>experienced in the country since 2015</w:t>
      </w:r>
      <w:r w:rsidRPr="00031C40">
        <w:rPr>
          <w:rFonts w:ascii="Times New Roman" w:hAnsi="Times New Roman" w:cs="Times New Roman"/>
        </w:rPr>
        <w:t xml:space="preserve"> due to inadequate generation, transmission, distribut</w:t>
      </w:r>
      <w:r w:rsidR="00A21553" w:rsidRPr="00031C40">
        <w:rPr>
          <w:rFonts w:ascii="Times New Roman" w:hAnsi="Times New Roman" w:cs="Times New Roman"/>
        </w:rPr>
        <w:t>ion</w:t>
      </w:r>
      <w:r w:rsidR="00267C25" w:rsidRPr="00031C40">
        <w:rPr>
          <w:rFonts w:ascii="Times New Roman" w:hAnsi="Times New Roman" w:cs="Times New Roman"/>
        </w:rPr>
        <w:t xml:space="preserve"> facilities</w:t>
      </w:r>
      <w:r w:rsidRPr="00031C40">
        <w:rPr>
          <w:rFonts w:ascii="Times New Roman" w:hAnsi="Times New Roman" w:cs="Times New Roman"/>
        </w:rPr>
        <w:t>.</w:t>
      </w:r>
      <w:r w:rsidR="00A21553" w:rsidRPr="00031C40">
        <w:rPr>
          <w:rFonts w:ascii="Times New Roman" w:hAnsi="Times New Roman" w:cs="Times New Roman"/>
        </w:rPr>
        <w:t xml:space="preserve"> </w:t>
      </w:r>
      <w:r w:rsidR="00721081" w:rsidRPr="00031C40">
        <w:rPr>
          <w:rFonts w:ascii="Times New Roman" w:hAnsi="Times New Roman" w:cs="Times New Roman"/>
        </w:rPr>
        <w:t xml:space="preserve"> Suppressed demand is expect</w:t>
      </w:r>
      <w:r w:rsidRPr="00031C40">
        <w:rPr>
          <w:rFonts w:ascii="Times New Roman" w:hAnsi="Times New Roman" w:cs="Times New Roman"/>
        </w:rPr>
        <w:t>ed to be non-existent by 20</w:t>
      </w:r>
      <w:r w:rsidR="00721081" w:rsidRPr="00031C40">
        <w:rPr>
          <w:rFonts w:ascii="Times New Roman" w:hAnsi="Times New Roman" w:cs="Times New Roman"/>
        </w:rPr>
        <w:t>3</w:t>
      </w:r>
      <w:r w:rsidRPr="00031C40">
        <w:rPr>
          <w:rFonts w:ascii="Times New Roman" w:hAnsi="Times New Roman" w:cs="Times New Roman"/>
        </w:rPr>
        <w:t>0.</w:t>
      </w:r>
      <w:r w:rsidR="003757E6" w:rsidRPr="00031C40">
        <w:rPr>
          <w:rFonts w:ascii="Times New Roman" w:hAnsi="Times New Roman" w:cs="Times New Roman"/>
        </w:rPr>
        <w:t xml:space="preserve"> From Table 1 above, </w:t>
      </w:r>
      <w:r w:rsidR="00416DDB" w:rsidRPr="00031C40">
        <w:rPr>
          <w:rFonts w:ascii="Times New Roman" w:hAnsi="Times New Roman" w:cs="Times New Roman"/>
        </w:rPr>
        <w:t>it indicates ever growing demand</w:t>
      </w:r>
      <w:r w:rsidR="00C5719E" w:rsidRPr="00031C40">
        <w:rPr>
          <w:rFonts w:ascii="Times New Roman" w:hAnsi="Times New Roman" w:cs="Times New Roman"/>
        </w:rPr>
        <w:t xml:space="preserve"> </w:t>
      </w:r>
      <w:r w:rsidR="006B4F1A" w:rsidRPr="00031C40">
        <w:rPr>
          <w:rFonts w:ascii="Times New Roman" w:hAnsi="Times New Roman" w:cs="Times New Roman"/>
        </w:rPr>
        <w:t xml:space="preserve">as seen in Fig. 1, from </w:t>
      </w:r>
      <w:r w:rsidR="00C5719E" w:rsidRPr="00031C40">
        <w:rPr>
          <w:rFonts w:ascii="Times New Roman" w:hAnsi="Times New Roman" w:cs="Times New Roman"/>
        </w:rPr>
        <w:t>33.5 GW in 2015 to 85.6 GW 2060</w:t>
      </w:r>
      <w:r w:rsidR="00EB7B6D" w:rsidRPr="00031C40">
        <w:rPr>
          <w:rFonts w:ascii="Times New Roman" w:hAnsi="Times New Roman" w:cs="Times New Roman"/>
        </w:rPr>
        <w:t xml:space="preserve"> for the BAU</w:t>
      </w:r>
      <w:r w:rsidR="00C5719E" w:rsidRPr="00031C40">
        <w:rPr>
          <w:rFonts w:ascii="Times New Roman" w:hAnsi="Times New Roman" w:cs="Times New Roman"/>
        </w:rPr>
        <w:t>. B</w:t>
      </w:r>
      <w:r w:rsidR="00416DDB" w:rsidRPr="00031C40">
        <w:rPr>
          <w:rFonts w:ascii="Times New Roman" w:hAnsi="Times New Roman" w:cs="Times New Roman"/>
        </w:rPr>
        <w:t>uilding sector is most demanding</w:t>
      </w:r>
      <w:r w:rsidR="000E28D8" w:rsidRPr="00031C40">
        <w:rPr>
          <w:rFonts w:ascii="Times New Roman" w:hAnsi="Times New Roman" w:cs="Times New Roman"/>
        </w:rPr>
        <w:t xml:space="preserve"> with about 53 %</w:t>
      </w:r>
      <w:r w:rsidR="00416DDB" w:rsidRPr="00031C40">
        <w:rPr>
          <w:rFonts w:ascii="Times New Roman" w:hAnsi="Times New Roman" w:cs="Times New Roman"/>
        </w:rPr>
        <w:t xml:space="preserve"> compared to industrial sector</w:t>
      </w:r>
      <w:r w:rsidR="000E28D8" w:rsidRPr="00031C40">
        <w:rPr>
          <w:rFonts w:ascii="Times New Roman" w:hAnsi="Times New Roman" w:cs="Times New Roman"/>
        </w:rPr>
        <w:t>, 4</w:t>
      </w:r>
      <w:r w:rsidR="00EB7B6D" w:rsidRPr="00031C40">
        <w:rPr>
          <w:rFonts w:ascii="Times New Roman" w:hAnsi="Times New Roman" w:cs="Times New Roman"/>
        </w:rPr>
        <w:t>6</w:t>
      </w:r>
      <w:r w:rsidR="000E28D8" w:rsidRPr="00031C40">
        <w:rPr>
          <w:rFonts w:ascii="Times New Roman" w:hAnsi="Times New Roman" w:cs="Times New Roman"/>
        </w:rPr>
        <w:t>%</w:t>
      </w:r>
      <w:r w:rsidR="00C5719E" w:rsidRPr="00031C40">
        <w:rPr>
          <w:rFonts w:ascii="Times New Roman" w:hAnsi="Times New Roman" w:cs="Times New Roman"/>
        </w:rPr>
        <w:t xml:space="preserve"> </w:t>
      </w:r>
      <w:r w:rsidR="00EB7B6D" w:rsidRPr="00031C40">
        <w:rPr>
          <w:rFonts w:ascii="Times New Roman" w:hAnsi="Times New Roman" w:cs="Times New Roman"/>
        </w:rPr>
        <w:t>while agriculture and transport wi</w:t>
      </w:r>
      <w:r w:rsidR="006B4F1A" w:rsidRPr="00031C40">
        <w:rPr>
          <w:rFonts w:ascii="Times New Roman" w:hAnsi="Times New Roman" w:cs="Times New Roman"/>
        </w:rPr>
        <w:t>th insignificant energy demands.</w:t>
      </w:r>
    </w:p>
    <w:p w:rsidR="006B4F1A" w:rsidRPr="00031C40" w:rsidRDefault="006B4F1A" w:rsidP="00031C40">
      <w:pPr>
        <w:spacing w:after="0" w:line="240" w:lineRule="auto"/>
        <w:jc w:val="both"/>
        <w:rPr>
          <w:rFonts w:ascii="Times New Roman" w:hAnsi="Times New Roman" w:cs="Times New Roman"/>
        </w:rPr>
      </w:pPr>
      <w:r w:rsidRPr="00031C40">
        <w:rPr>
          <w:rFonts w:ascii="Times New Roman" w:hAnsi="Times New Roman" w:cs="Times New Roman"/>
        </w:rPr>
        <w:t>Table 2: Peak Power Demand, MAL (GW)</w:t>
      </w:r>
    </w:p>
    <w:tbl>
      <w:tblPr>
        <w:tblW w:w="9920" w:type="dxa"/>
        <w:tblInd w:w="118" w:type="dxa"/>
        <w:tblLook w:val="04A0" w:firstRow="1" w:lastRow="0" w:firstColumn="1" w:lastColumn="0" w:noHBand="0" w:noVBand="1"/>
      </w:tblPr>
      <w:tblGrid>
        <w:gridCol w:w="1760"/>
        <w:gridCol w:w="816"/>
        <w:gridCol w:w="816"/>
        <w:gridCol w:w="816"/>
        <w:gridCol w:w="816"/>
        <w:gridCol w:w="816"/>
        <w:gridCol w:w="816"/>
        <w:gridCol w:w="816"/>
        <w:gridCol w:w="816"/>
        <w:gridCol w:w="816"/>
        <w:gridCol w:w="816"/>
      </w:tblGrid>
      <w:tr w:rsidR="006B4F1A" w:rsidRPr="00031C40" w:rsidTr="006B4F1A">
        <w:trPr>
          <w:trHeight w:val="261"/>
        </w:trPr>
        <w:tc>
          <w:tcPr>
            <w:tcW w:w="1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Year</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2015</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2020</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2025</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2030</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2035</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2040</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2045</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2050</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2055</w:t>
            </w:r>
          </w:p>
        </w:tc>
        <w:tc>
          <w:tcPr>
            <w:tcW w:w="816" w:type="dxa"/>
            <w:tcBorders>
              <w:top w:val="single" w:sz="8" w:space="0" w:color="auto"/>
              <w:left w:val="nil"/>
              <w:bottom w:val="single" w:sz="8"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2060</w:t>
            </w:r>
          </w:p>
        </w:tc>
      </w:tr>
      <w:tr w:rsidR="006B4F1A" w:rsidRPr="00031C40" w:rsidTr="006B4F1A">
        <w:trPr>
          <w:trHeight w:val="24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Agriculture</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c>
          <w:tcPr>
            <w:tcW w:w="816" w:type="dxa"/>
            <w:tcBorders>
              <w:top w:val="nil"/>
              <w:left w:val="nil"/>
              <w:bottom w:val="single" w:sz="4"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0.001233</w:t>
            </w:r>
          </w:p>
        </w:tc>
      </w:tr>
      <w:tr w:rsidR="006B4F1A" w:rsidRPr="00031C40" w:rsidTr="006B4F1A">
        <w:trPr>
          <w:trHeight w:val="24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Industry</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15.7504</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15.47554</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18.93627</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22.7078</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26.93474</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31.45823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36.63384</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42.30853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48.49473</w:t>
            </w:r>
          </w:p>
        </w:tc>
        <w:tc>
          <w:tcPr>
            <w:tcW w:w="816" w:type="dxa"/>
            <w:tcBorders>
              <w:top w:val="nil"/>
              <w:left w:val="nil"/>
              <w:bottom w:val="single" w:sz="4"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55.36861</w:t>
            </w:r>
          </w:p>
        </w:tc>
      </w:tr>
      <w:tr w:rsidR="006B4F1A" w:rsidRPr="00031C40" w:rsidTr="006B4F1A">
        <w:trPr>
          <w:trHeight w:val="24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Transport</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0.023062</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0.034071</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0.099309</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0.222201</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0.341953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4.496197</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8.683085</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12.98554</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16.51847</w:t>
            </w:r>
          </w:p>
        </w:tc>
        <w:tc>
          <w:tcPr>
            <w:tcW w:w="816" w:type="dxa"/>
            <w:tcBorders>
              <w:top w:val="nil"/>
              <w:left w:val="nil"/>
              <w:bottom w:val="single" w:sz="4"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19.65411</w:t>
            </w:r>
          </w:p>
        </w:tc>
      </w:tr>
      <w:tr w:rsidR="006B4F1A" w:rsidRPr="00031C40" w:rsidTr="006B4F1A">
        <w:trPr>
          <w:trHeight w:val="24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lastRenderedPageBreak/>
              <w:t>Buildings Other</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17.69975</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18.02948</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18.4252</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19.36006</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20.5826</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22.12842</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26.29152</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30.963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33.11525</w:t>
            </w:r>
          </w:p>
        </w:tc>
        <w:tc>
          <w:tcPr>
            <w:tcW w:w="816" w:type="dxa"/>
            <w:tcBorders>
              <w:top w:val="nil"/>
              <w:left w:val="nil"/>
              <w:bottom w:val="single" w:sz="4"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35.27584</w:t>
            </w:r>
          </w:p>
        </w:tc>
      </w:tr>
      <w:tr w:rsidR="006B4F1A" w:rsidRPr="00031C40" w:rsidTr="006B4F1A">
        <w:trPr>
          <w:trHeight w:val="24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Buildings Heat</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0.001019</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0.001037</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0.001016</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0.000993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0.00097</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0.000945</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0.00092</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0.000893</w:t>
            </w:r>
          </w:p>
        </w:tc>
        <w:tc>
          <w:tcPr>
            <w:tcW w:w="816" w:type="dxa"/>
            <w:tcBorders>
              <w:top w:val="nil"/>
              <w:left w:val="nil"/>
              <w:bottom w:val="single" w:sz="4"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0.000865</w:t>
            </w:r>
          </w:p>
        </w:tc>
        <w:tc>
          <w:tcPr>
            <w:tcW w:w="816" w:type="dxa"/>
            <w:tcBorders>
              <w:top w:val="nil"/>
              <w:left w:val="nil"/>
              <w:bottom w:val="single" w:sz="4"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0.000835</w:t>
            </w:r>
          </w:p>
        </w:tc>
      </w:tr>
      <w:tr w:rsidR="006B4F1A" w:rsidRPr="00031C40" w:rsidTr="006B4F1A">
        <w:trPr>
          <w:trHeight w:val="261"/>
        </w:trPr>
        <w:tc>
          <w:tcPr>
            <w:tcW w:w="17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Total</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33.47563</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33.54152</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37.46319</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42.29245</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47.8615</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58.08503</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76.98102</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96.97782</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112.1274</w:t>
            </w:r>
          </w:p>
        </w:tc>
        <w:tc>
          <w:tcPr>
            <w:tcW w:w="816" w:type="dxa"/>
            <w:tcBorders>
              <w:top w:val="single" w:sz="8" w:space="0" w:color="auto"/>
              <w:left w:val="nil"/>
              <w:bottom w:val="single" w:sz="8" w:space="0" w:color="auto"/>
              <w:right w:val="single" w:sz="8" w:space="0" w:color="auto"/>
            </w:tcBorders>
            <w:shd w:val="clear" w:color="auto" w:fill="auto"/>
            <w:noWrap/>
            <w:vAlign w:val="bottom"/>
            <w:hideMark/>
          </w:tcPr>
          <w:p w:rsidR="006B4F1A" w:rsidRPr="00AB7BA1" w:rsidRDefault="006B4F1A"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126.7411</w:t>
            </w:r>
          </w:p>
        </w:tc>
      </w:tr>
    </w:tbl>
    <w:p w:rsidR="006B4F1A" w:rsidRPr="00031C40" w:rsidRDefault="006B4F1A" w:rsidP="00031C40">
      <w:pPr>
        <w:jc w:val="both"/>
        <w:rPr>
          <w:rFonts w:ascii="Times New Roman" w:hAnsi="Times New Roman" w:cs="Times New Roman"/>
        </w:rPr>
      </w:pPr>
    </w:p>
    <w:p w:rsidR="007B114B" w:rsidRPr="00031C40" w:rsidRDefault="007B114B" w:rsidP="00031C40">
      <w:pPr>
        <w:jc w:val="both"/>
        <w:rPr>
          <w:rFonts w:ascii="Times New Roman" w:hAnsi="Times New Roman" w:cs="Times New Roman"/>
        </w:rPr>
      </w:pPr>
      <w:r w:rsidRPr="00031C40">
        <w:rPr>
          <w:rFonts w:ascii="Times New Roman" w:hAnsi="Times New Roman" w:cs="Times New Roman"/>
        </w:rPr>
        <w:t>Total energy demand from the projected MAL shows active economic activities that supports consumption of clean energy, as seen in Table 2</w:t>
      </w:r>
      <w:r w:rsidR="00ED7C10" w:rsidRPr="00031C40">
        <w:rPr>
          <w:rFonts w:ascii="Times New Roman" w:hAnsi="Times New Roman" w:cs="Times New Roman"/>
        </w:rPr>
        <w:t>,</w:t>
      </w:r>
      <w:r w:rsidRPr="00031C40">
        <w:rPr>
          <w:rFonts w:ascii="Times New Roman" w:hAnsi="Times New Roman" w:cs="Times New Roman"/>
        </w:rPr>
        <w:t xml:space="preserve"> the consumption of </w:t>
      </w:r>
      <w:r w:rsidR="00ED7C10" w:rsidRPr="00031C40">
        <w:rPr>
          <w:rFonts w:ascii="Times New Roman" w:hAnsi="Times New Roman" w:cs="Times New Roman"/>
        </w:rPr>
        <w:t xml:space="preserve">significant </w:t>
      </w:r>
      <w:r w:rsidRPr="00031C40">
        <w:rPr>
          <w:rFonts w:ascii="Times New Roman" w:hAnsi="Times New Roman" w:cs="Times New Roman"/>
        </w:rPr>
        <w:t>electricity by E</w:t>
      </w:r>
      <w:r w:rsidR="00ED7C10" w:rsidRPr="00031C40">
        <w:rPr>
          <w:rFonts w:ascii="Times New Roman" w:hAnsi="Times New Roman" w:cs="Times New Roman"/>
        </w:rPr>
        <w:t xml:space="preserve">lectric </w:t>
      </w:r>
      <w:r w:rsidRPr="00031C40">
        <w:rPr>
          <w:rFonts w:ascii="Times New Roman" w:hAnsi="Times New Roman" w:cs="Times New Roman"/>
        </w:rPr>
        <w:t>V</w:t>
      </w:r>
      <w:r w:rsidR="00ED7C10" w:rsidRPr="00031C40">
        <w:rPr>
          <w:rFonts w:ascii="Times New Roman" w:hAnsi="Times New Roman" w:cs="Times New Roman"/>
        </w:rPr>
        <w:t>ehicle</w:t>
      </w:r>
      <w:r w:rsidRPr="00031C40">
        <w:rPr>
          <w:rFonts w:ascii="Times New Roman" w:hAnsi="Times New Roman" w:cs="Times New Roman"/>
        </w:rPr>
        <w:t>s</w:t>
      </w:r>
      <w:r w:rsidR="00ED7C10" w:rsidRPr="00031C40">
        <w:rPr>
          <w:rFonts w:ascii="Times New Roman" w:hAnsi="Times New Roman" w:cs="Times New Roman"/>
        </w:rPr>
        <w:t xml:space="preserve"> (EVs) from 2040, while </w:t>
      </w:r>
      <w:r w:rsidR="00F4175F" w:rsidRPr="00031C40">
        <w:rPr>
          <w:rFonts w:ascii="Times New Roman" w:hAnsi="Times New Roman" w:cs="Times New Roman"/>
        </w:rPr>
        <w:t>industry</w:t>
      </w:r>
      <w:r w:rsidR="00ED7C10" w:rsidRPr="00031C40">
        <w:rPr>
          <w:rFonts w:ascii="Times New Roman" w:hAnsi="Times New Roman" w:cs="Times New Roman"/>
        </w:rPr>
        <w:t xml:space="preserve"> leads in the consu</w:t>
      </w:r>
      <w:r w:rsidR="00F4175F" w:rsidRPr="00031C40">
        <w:rPr>
          <w:rFonts w:ascii="Times New Roman" w:hAnsi="Times New Roman" w:cs="Times New Roman"/>
        </w:rPr>
        <w:t>mption of electricity from 2030. See Fig. 2.</w:t>
      </w:r>
    </w:p>
    <w:p w:rsidR="00ED7C10" w:rsidRPr="00031C40" w:rsidRDefault="00ED7C10" w:rsidP="00031C40">
      <w:pPr>
        <w:spacing w:after="0" w:line="240" w:lineRule="auto"/>
        <w:jc w:val="both"/>
        <w:rPr>
          <w:rFonts w:ascii="Times New Roman" w:hAnsi="Times New Roman" w:cs="Times New Roman"/>
        </w:rPr>
      </w:pPr>
      <w:r w:rsidRPr="00031C40">
        <w:rPr>
          <w:rFonts w:ascii="Times New Roman" w:hAnsi="Times New Roman" w:cs="Times New Roman"/>
          <w:noProof/>
        </w:rPr>
        <w:drawing>
          <wp:inline distT="0" distB="0" distL="0" distR="0" wp14:anchorId="215976F3" wp14:editId="00350F3D">
            <wp:extent cx="4162567" cy="2210937"/>
            <wp:effectExtent l="0" t="0" r="9525"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D7C10" w:rsidRPr="00031C40" w:rsidRDefault="00ED7C10" w:rsidP="00031C40">
      <w:pPr>
        <w:spacing w:after="0" w:line="240" w:lineRule="auto"/>
        <w:jc w:val="both"/>
        <w:rPr>
          <w:rFonts w:ascii="Times New Roman" w:hAnsi="Times New Roman" w:cs="Times New Roman"/>
        </w:rPr>
      </w:pPr>
      <w:r w:rsidRPr="00031C40">
        <w:rPr>
          <w:rFonts w:ascii="Times New Roman" w:hAnsi="Times New Roman" w:cs="Times New Roman"/>
        </w:rPr>
        <w:t>Fig. 2: Peak Power Demand, MAL</w:t>
      </w:r>
    </w:p>
    <w:p w:rsidR="00ED7C10" w:rsidRPr="00031C40" w:rsidRDefault="00ED7C10" w:rsidP="00031C40">
      <w:pPr>
        <w:spacing w:after="0" w:line="240" w:lineRule="auto"/>
        <w:jc w:val="both"/>
        <w:rPr>
          <w:rFonts w:ascii="Times New Roman" w:hAnsi="Times New Roman" w:cs="Times New Roman"/>
        </w:rPr>
      </w:pPr>
    </w:p>
    <w:p w:rsidR="0045681D" w:rsidRPr="00031C40" w:rsidRDefault="0045681D" w:rsidP="00031C40">
      <w:pPr>
        <w:jc w:val="both"/>
        <w:rPr>
          <w:rFonts w:ascii="Times New Roman" w:hAnsi="Times New Roman" w:cs="Times New Roman"/>
        </w:rPr>
      </w:pPr>
      <w:r w:rsidRPr="00031C40">
        <w:rPr>
          <w:rFonts w:ascii="Times New Roman" w:hAnsi="Times New Roman" w:cs="Times New Roman"/>
        </w:rPr>
        <w:t xml:space="preserve">The total energy supplies were computed using same NECAL2060. This is one of the advantages of using the tool; assessment of energy demand whilst generation </w:t>
      </w:r>
      <w:r w:rsidR="006B67B0" w:rsidRPr="00031C40">
        <w:rPr>
          <w:rFonts w:ascii="Times New Roman" w:hAnsi="Times New Roman" w:cs="Times New Roman"/>
        </w:rPr>
        <w:t xml:space="preserve">by optimization, </w:t>
      </w:r>
      <w:r w:rsidRPr="00031C40">
        <w:rPr>
          <w:rFonts w:ascii="Times New Roman" w:hAnsi="Times New Roman" w:cs="Times New Roman"/>
        </w:rPr>
        <w:t xml:space="preserve">strategic energy supply based on technology application provided which includes both </w:t>
      </w:r>
      <w:r w:rsidR="006B67B0" w:rsidRPr="00031C40">
        <w:rPr>
          <w:rFonts w:ascii="Times New Roman" w:hAnsi="Times New Roman" w:cs="Times New Roman"/>
        </w:rPr>
        <w:t>available and future technologies.</w:t>
      </w:r>
      <w:r w:rsidRPr="00031C40">
        <w:rPr>
          <w:rFonts w:ascii="Times New Roman" w:hAnsi="Times New Roman" w:cs="Times New Roman"/>
        </w:rPr>
        <w:t xml:space="preserve"> </w:t>
      </w:r>
      <w:r w:rsidR="006B67B0" w:rsidRPr="00031C40">
        <w:rPr>
          <w:rFonts w:ascii="Times New Roman" w:hAnsi="Times New Roman" w:cs="Times New Roman"/>
        </w:rPr>
        <w:t xml:space="preserve">The tool, simultaneously, assesses the </w:t>
      </w:r>
      <w:r w:rsidRPr="00031C40">
        <w:rPr>
          <w:rFonts w:ascii="Times New Roman" w:hAnsi="Times New Roman" w:cs="Times New Roman"/>
        </w:rPr>
        <w:t xml:space="preserve">environmental impacts </w:t>
      </w:r>
      <w:r w:rsidR="006B67B0" w:rsidRPr="00031C40">
        <w:rPr>
          <w:rFonts w:ascii="Times New Roman" w:hAnsi="Times New Roman" w:cs="Times New Roman"/>
        </w:rPr>
        <w:t xml:space="preserve">of the energy resources utilized </w:t>
      </w:r>
      <w:r w:rsidRPr="00031C40">
        <w:rPr>
          <w:rFonts w:ascii="Times New Roman" w:hAnsi="Times New Roman" w:cs="Times New Roman"/>
        </w:rPr>
        <w:t>for an exogenous</w:t>
      </w:r>
      <w:r w:rsidR="006B67B0" w:rsidRPr="00031C40">
        <w:rPr>
          <w:rFonts w:ascii="Times New Roman" w:hAnsi="Times New Roman" w:cs="Times New Roman"/>
        </w:rPr>
        <w:t>ly given demand of final energy, targeting net-zero emission at the determined year, 2060 in this case. Nigeria is quite blessed with a lot of resources for electricity generation</w:t>
      </w:r>
      <w:r w:rsidR="0008540B" w:rsidRPr="00031C40">
        <w:rPr>
          <w:rFonts w:ascii="Times New Roman" w:hAnsi="Times New Roman" w:cs="Times New Roman"/>
        </w:rPr>
        <w:t xml:space="preserve"> (Table 3)</w:t>
      </w:r>
      <w:r w:rsidR="006B67B0" w:rsidRPr="00031C40">
        <w:rPr>
          <w:rFonts w:ascii="Times New Roman" w:hAnsi="Times New Roman" w:cs="Times New Roman"/>
        </w:rPr>
        <w:t xml:space="preserve"> such as coal, natural gas, </w:t>
      </w:r>
      <w:r w:rsidR="0088002E" w:rsidRPr="00031C40">
        <w:rPr>
          <w:rFonts w:ascii="Times New Roman" w:hAnsi="Times New Roman" w:cs="Times New Roman"/>
        </w:rPr>
        <w:t>f</w:t>
      </w:r>
      <w:r w:rsidR="006B67B0" w:rsidRPr="00031C40">
        <w:rPr>
          <w:rFonts w:ascii="Times New Roman" w:hAnsi="Times New Roman" w:cs="Times New Roman"/>
        </w:rPr>
        <w:t>o</w:t>
      </w:r>
      <w:r w:rsidR="0088002E" w:rsidRPr="00031C40">
        <w:rPr>
          <w:rFonts w:ascii="Times New Roman" w:hAnsi="Times New Roman" w:cs="Times New Roman"/>
        </w:rPr>
        <w:t>ss</w:t>
      </w:r>
      <w:r w:rsidR="006B67B0" w:rsidRPr="00031C40">
        <w:rPr>
          <w:rFonts w:ascii="Times New Roman" w:hAnsi="Times New Roman" w:cs="Times New Roman"/>
        </w:rPr>
        <w:t>il</w:t>
      </w:r>
      <w:r w:rsidR="0088002E" w:rsidRPr="00031C40">
        <w:rPr>
          <w:rFonts w:ascii="Times New Roman" w:hAnsi="Times New Roman" w:cs="Times New Roman"/>
        </w:rPr>
        <w:t xml:space="preserve"> oils</w:t>
      </w:r>
      <w:r w:rsidR="006B67B0" w:rsidRPr="00031C40">
        <w:rPr>
          <w:rFonts w:ascii="Times New Roman" w:hAnsi="Times New Roman" w:cs="Times New Roman"/>
        </w:rPr>
        <w:t>, hydro and other renewable energy sources</w:t>
      </w:r>
      <w:r w:rsidR="0088002E" w:rsidRPr="00031C40">
        <w:rPr>
          <w:rFonts w:ascii="Times New Roman" w:hAnsi="Times New Roman" w:cs="Times New Roman"/>
        </w:rPr>
        <w:t xml:space="preserve">. </w:t>
      </w:r>
    </w:p>
    <w:p w:rsidR="006B67B0" w:rsidRPr="00031C40" w:rsidRDefault="006B67B0" w:rsidP="00031C40">
      <w:pPr>
        <w:spacing w:after="0" w:line="240" w:lineRule="auto"/>
        <w:jc w:val="both"/>
        <w:rPr>
          <w:rFonts w:ascii="Times New Roman" w:hAnsi="Times New Roman" w:cs="Times New Roman"/>
          <w:noProof/>
        </w:rPr>
      </w:pPr>
    </w:p>
    <w:p w:rsidR="006B67B0" w:rsidRPr="00031C40" w:rsidRDefault="006B67B0" w:rsidP="00031C40">
      <w:pPr>
        <w:spacing w:after="0" w:line="240" w:lineRule="auto"/>
        <w:jc w:val="both"/>
        <w:rPr>
          <w:rFonts w:ascii="Times New Roman" w:hAnsi="Times New Roman" w:cs="Times New Roman"/>
          <w:noProof/>
        </w:rPr>
      </w:pPr>
    </w:p>
    <w:p w:rsidR="00C80554" w:rsidRPr="00031C40" w:rsidRDefault="00C80554" w:rsidP="00031C40">
      <w:pPr>
        <w:spacing w:after="0" w:line="240" w:lineRule="auto"/>
        <w:jc w:val="both"/>
        <w:rPr>
          <w:rFonts w:ascii="Times New Roman" w:hAnsi="Times New Roman" w:cs="Times New Roman"/>
          <w:noProof/>
        </w:rPr>
      </w:pPr>
      <w:r w:rsidRPr="00031C40">
        <w:rPr>
          <w:rFonts w:ascii="Times New Roman" w:hAnsi="Times New Roman" w:cs="Times New Roman"/>
          <w:noProof/>
        </w:rPr>
        <w:t>Table 3: Available Non-renewable sorces of electricity and status of use</w:t>
      </w:r>
    </w:p>
    <w:tbl>
      <w:tblPr>
        <w:tblStyle w:val="TableGrid"/>
        <w:tblW w:w="0" w:type="auto"/>
        <w:tblLook w:val="04A0" w:firstRow="1" w:lastRow="0" w:firstColumn="1" w:lastColumn="0" w:noHBand="0" w:noVBand="1"/>
      </w:tblPr>
      <w:tblGrid>
        <w:gridCol w:w="479"/>
        <w:gridCol w:w="1968"/>
        <w:gridCol w:w="2341"/>
        <w:gridCol w:w="2340"/>
        <w:gridCol w:w="2448"/>
      </w:tblGrid>
      <w:tr w:rsidR="00552CB5" w:rsidRPr="00AA3C78" w:rsidTr="006C4195">
        <w:tc>
          <w:tcPr>
            <w:tcW w:w="479" w:type="dxa"/>
          </w:tcPr>
          <w:p w:rsidR="00552CB5" w:rsidRPr="00AA3C78" w:rsidRDefault="00552CB5" w:rsidP="00031C40">
            <w:pPr>
              <w:jc w:val="both"/>
              <w:rPr>
                <w:rFonts w:ascii="Times New Roman" w:hAnsi="Times New Roman" w:cs="Times New Roman"/>
                <w:noProof/>
                <w:sz w:val="18"/>
                <w:szCs w:val="18"/>
              </w:rPr>
            </w:pPr>
          </w:p>
        </w:tc>
        <w:tc>
          <w:tcPr>
            <w:tcW w:w="1968" w:type="dxa"/>
          </w:tcPr>
          <w:p w:rsidR="00552CB5" w:rsidRPr="00AA3C78" w:rsidRDefault="00552CB5" w:rsidP="00031C40">
            <w:pPr>
              <w:jc w:val="both"/>
              <w:rPr>
                <w:rFonts w:ascii="Times New Roman" w:hAnsi="Times New Roman" w:cs="Times New Roman"/>
                <w:b/>
                <w:noProof/>
                <w:sz w:val="18"/>
                <w:szCs w:val="18"/>
              </w:rPr>
            </w:pPr>
            <w:r w:rsidRPr="00AA3C78">
              <w:rPr>
                <w:rFonts w:ascii="Times New Roman" w:hAnsi="Times New Roman" w:cs="Times New Roman"/>
                <w:b/>
                <w:noProof/>
                <w:sz w:val="18"/>
                <w:szCs w:val="18"/>
              </w:rPr>
              <w:t>Resource Type</w:t>
            </w:r>
          </w:p>
        </w:tc>
        <w:tc>
          <w:tcPr>
            <w:tcW w:w="2341" w:type="dxa"/>
          </w:tcPr>
          <w:p w:rsidR="00552CB5" w:rsidRPr="00AA3C78" w:rsidRDefault="00552CB5" w:rsidP="00031C40">
            <w:pPr>
              <w:jc w:val="both"/>
              <w:rPr>
                <w:rFonts w:ascii="Times New Roman" w:hAnsi="Times New Roman" w:cs="Times New Roman"/>
                <w:noProof/>
                <w:sz w:val="18"/>
                <w:szCs w:val="18"/>
              </w:rPr>
            </w:pPr>
            <w:r w:rsidRPr="00AA3C78">
              <w:rPr>
                <w:rFonts w:ascii="Times New Roman" w:hAnsi="Times New Roman" w:cs="Times New Roman"/>
                <w:b/>
                <w:bCs/>
                <w:noProof/>
                <w:sz w:val="18"/>
                <w:szCs w:val="18"/>
              </w:rPr>
              <w:t>Reserves: 2019 (Natural Units)</w:t>
            </w:r>
          </w:p>
          <w:p w:rsidR="00552CB5" w:rsidRPr="00AA3C78" w:rsidRDefault="00552CB5" w:rsidP="00031C40">
            <w:pPr>
              <w:jc w:val="both"/>
              <w:rPr>
                <w:rFonts w:ascii="Times New Roman" w:hAnsi="Times New Roman" w:cs="Times New Roman"/>
                <w:noProof/>
                <w:sz w:val="18"/>
                <w:szCs w:val="18"/>
              </w:rPr>
            </w:pPr>
          </w:p>
        </w:tc>
        <w:tc>
          <w:tcPr>
            <w:tcW w:w="2340" w:type="dxa"/>
          </w:tcPr>
          <w:p w:rsidR="00552CB5" w:rsidRPr="00AA3C78" w:rsidRDefault="00552CB5" w:rsidP="00031C40">
            <w:pPr>
              <w:jc w:val="both"/>
              <w:rPr>
                <w:rFonts w:ascii="Times New Roman" w:hAnsi="Times New Roman" w:cs="Times New Roman"/>
                <w:noProof/>
                <w:sz w:val="18"/>
                <w:szCs w:val="18"/>
              </w:rPr>
            </w:pPr>
            <w:r w:rsidRPr="00AA3C78">
              <w:rPr>
                <w:rFonts w:ascii="Times New Roman" w:hAnsi="Times New Roman" w:cs="Times New Roman"/>
                <w:b/>
                <w:bCs/>
                <w:noProof/>
                <w:sz w:val="18"/>
                <w:szCs w:val="18"/>
              </w:rPr>
              <w:t>Production Level: 2019 (natural units)</w:t>
            </w:r>
          </w:p>
          <w:p w:rsidR="00552CB5" w:rsidRPr="00AA3C78" w:rsidRDefault="00552CB5" w:rsidP="00031C40">
            <w:pPr>
              <w:jc w:val="both"/>
              <w:rPr>
                <w:rFonts w:ascii="Times New Roman" w:hAnsi="Times New Roman" w:cs="Times New Roman"/>
                <w:noProof/>
                <w:sz w:val="18"/>
                <w:szCs w:val="18"/>
              </w:rPr>
            </w:pPr>
          </w:p>
        </w:tc>
        <w:tc>
          <w:tcPr>
            <w:tcW w:w="2448" w:type="dxa"/>
          </w:tcPr>
          <w:p w:rsidR="00552CB5" w:rsidRPr="00AA3C78" w:rsidRDefault="00552CB5" w:rsidP="00031C40">
            <w:pPr>
              <w:jc w:val="both"/>
              <w:rPr>
                <w:rFonts w:ascii="Times New Roman" w:hAnsi="Times New Roman" w:cs="Times New Roman"/>
                <w:noProof/>
                <w:sz w:val="18"/>
                <w:szCs w:val="18"/>
              </w:rPr>
            </w:pPr>
            <w:r w:rsidRPr="00AA3C78">
              <w:rPr>
                <w:rFonts w:ascii="Times New Roman" w:hAnsi="Times New Roman" w:cs="Times New Roman"/>
                <w:b/>
                <w:bCs/>
                <w:noProof/>
                <w:sz w:val="18"/>
                <w:szCs w:val="18"/>
              </w:rPr>
              <w:t>Utilization: 2019 (natural units)</w:t>
            </w:r>
          </w:p>
          <w:p w:rsidR="00552CB5" w:rsidRPr="00AA3C78" w:rsidRDefault="00552CB5" w:rsidP="00031C40">
            <w:pPr>
              <w:jc w:val="both"/>
              <w:rPr>
                <w:rFonts w:ascii="Times New Roman" w:hAnsi="Times New Roman" w:cs="Times New Roman"/>
                <w:noProof/>
                <w:sz w:val="18"/>
                <w:szCs w:val="18"/>
              </w:rPr>
            </w:pPr>
          </w:p>
        </w:tc>
      </w:tr>
      <w:tr w:rsidR="00552CB5" w:rsidRPr="00AA3C78" w:rsidTr="006C4195">
        <w:tc>
          <w:tcPr>
            <w:tcW w:w="479" w:type="dxa"/>
          </w:tcPr>
          <w:p w:rsidR="00552CB5"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1</w:t>
            </w:r>
          </w:p>
        </w:tc>
        <w:tc>
          <w:tcPr>
            <w:tcW w:w="196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Crude Oil</w:t>
            </w:r>
          </w:p>
          <w:p w:rsidR="00552CB5" w:rsidRPr="00AA3C78" w:rsidRDefault="00552CB5" w:rsidP="00031C40">
            <w:pPr>
              <w:jc w:val="both"/>
              <w:rPr>
                <w:rFonts w:ascii="Times New Roman" w:hAnsi="Times New Roman" w:cs="Times New Roman"/>
                <w:noProof/>
                <w:sz w:val="18"/>
                <w:szCs w:val="18"/>
              </w:rPr>
            </w:pPr>
          </w:p>
        </w:tc>
        <w:tc>
          <w:tcPr>
            <w:tcW w:w="2341"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37.062 billion barrels</w:t>
            </w:r>
          </w:p>
          <w:p w:rsidR="00552CB5" w:rsidRPr="00AA3C78" w:rsidRDefault="00552CB5" w:rsidP="00031C40">
            <w:pPr>
              <w:jc w:val="both"/>
              <w:rPr>
                <w:rFonts w:ascii="Times New Roman" w:hAnsi="Times New Roman" w:cs="Times New Roman"/>
                <w:noProof/>
                <w:sz w:val="18"/>
                <w:szCs w:val="18"/>
              </w:rPr>
            </w:pPr>
          </w:p>
        </w:tc>
        <w:tc>
          <w:tcPr>
            <w:tcW w:w="2340"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0.723 billion barrels</w:t>
            </w:r>
          </w:p>
          <w:p w:rsidR="00552CB5" w:rsidRPr="00AA3C78" w:rsidRDefault="00552CB5" w:rsidP="00031C40">
            <w:pPr>
              <w:jc w:val="both"/>
              <w:rPr>
                <w:rFonts w:ascii="Times New Roman" w:hAnsi="Times New Roman" w:cs="Times New Roman"/>
                <w:noProof/>
                <w:sz w:val="18"/>
                <w:szCs w:val="18"/>
              </w:rPr>
            </w:pPr>
          </w:p>
        </w:tc>
        <w:tc>
          <w:tcPr>
            <w:tcW w:w="244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Domestic: 0.162 bbd (22%) </w:t>
            </w:r>
          </w:p>
          <w:p w:rsidR="00552CB5"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Export: 0.561 bbd (78%)</w:t>
            </w:r>
          </w:p>
        </w:tc>
      </w:tr>
      <w:tr w:rsidR="00552CB5" w:rsidRPr="00AA3C78" w:rsidTr="006C4195">
        <w:tc>
          <w:tcPr>
            <w:tcW w:w="479" w:type="dxa"/>
          </w:tcPr>
          <w:p w:rsidR="00552CB5"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2</w:t>
            </w:r>
          </w:p>
        </w:tc>
        <w:tc>
          <w:tcPr>
            <w:tcW w:w="196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Natural Gas</w:t>
            </w:r>
          </w:p>
          <w:p w:rsidR="00552CB5" w:rsidRPr="00AA3C78" w:rsidRDefault="00552CB5" w:rsidP="00031C40">
            <w:pPr>
              <w:jc w:val="both"/>
              <w:rPr>
                <w:rFonts w:ascii="Times New Roman" w:hAnsi="Times New Roman" w:cs="Times New Roman"/>
                <w:noProof/>
                <w:sz w:val="18"/>
                <w:szCs w:val="18"/>
              </w:rPr>
            </w:pPr>
          </w:p>
        </w:tc>
        <w:tc>
          <w:tcPr>
            <w:tcW w:w="2341"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203 trillion scf</w:t>
            </w:r>
          </w:p>
          <w:p w:rsidR="00552CB5" w:rsidRPr="00AA3C78" w:rsidRDefault="00552CB5" w:rsidP="00031C40">
            <w:pPr>
              <w:jc w:val="both"/>
              <w:rPr>
                <w:rFonts w:ascii="Times New Roman" w:hAnsi="Times New Roman" w:cs="Times New Roman"/>
                <w:noProof/>
                <w:sz w:val="18"/>
                <w:szCs w:val="18"/>
              </w:rPr>
            </w:pPr>
          </w:p>
        </w:tc>
        <w:tc>
          <w:tcPr>
            <w:tcW w:w="2340"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2.94  trillion scf</w:t>
            </w:r>
          </w:p>
          <w:p w:rsidR="00552CB5" w:rsidRPr="00AA3C78" w:rsidRDefault="00552CB5" w:rsidP="00031C40">
            <w:pPr>
              <w:jc w:val="both"/>
              <w:rPr>
                <w:rFonts w:ascii="Times New Roman" w:hAnsi="Times New Roman" w:cs="Times New Roman"/>
                <w:noProof/>
                <w:sz w:val="18"/>
                <w:szCs w:val="18"/>
              </w:rPr>
            </w:pPr>
          </w:p>
        </w:tc>
        <w:tc>
          <w:tcPr>
            <w:tcW w:w="244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90%: Utilized  –  41% Export</w:t>
            </w:r>
          </w:p>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                          -  16% (Domestic use, power/</w:t>
            </w:r>
          </w:p>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                             Industry/commercial     </w:t>
            </w:r>
          </w:p>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                          - 33% Field use</w:t>
            </w:r>
          </w:p>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                              (fuels/gas lift/re-injection)</w:t>
            </w:r>
          </w:p>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10%: flared </w:t>
            </w:r>
          </w:p>
          <w:p w:rsidR="00552CB5" w:rsidRPr="00AA3C78" w:rsidRDefault="00552CB5" w:rsidP="00031C40">
            <w:pPr>
              <w:jc w:val="both"/>
              <w:rPr>
                <w:rFonts w:ascii="Times New Roman" w:hAnsi="Times New Roman" w:cs="Times New Roman"/>
                <w:noProof/>
                <w:sz w:val="18"/>
                <w:szCs w:val="18"/>
              </w:rPr>
            </w:pPr>
          </w:p>
        </w:tc>
      </w:tr>
      <w:tr w:rsidR="00552CB5" w:rsidRPr="00AA3C78" w:rsidTr="006C4195">
        <w:tc>
          <w:tcPr>
            <w:tcW w:w="479" w:type="dxa"/>
          </w:tcPr>
          <w:p w:rsidR="00552CB5"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3</w:t>
            </w:r>
          </w:p>
        </w:tc>
        <w:tc>
          <w:tcPr>
            <w:tcW w:w="196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Coal and lignite</w:t>
            </w:r>
          </w:p>
          <w:p w:rsidR="00552CB5" w:rsidRPr="00AA3C78" w:rsidRDefault="00552CB5" w:rsidP="00031C40">
            <w:pPr>
              <w:jc w:val="both"/>
              <w:rPr>
                <w:rFonts w:ascii="Times New Roman" w:hAnsi="Times New Roman" w:cs="Times New Roman"/>
                <w:noProof/>
                <w:sz w:val="18"/>
                <w:szCs w:val="18"/>
              </w:rPr>
            </w:pPr>
          </w:p>
        </w:tc>
        <w:tc>
          <w:tcPr>
            <w:tcW w:w="2341"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lastRenderedPageBreak/>
              <w:t>2.7 billion tonnes</w:t>
            </w:r>
          </w:p>
          <w:p w:rsidR="00552CB5" w:rsidRPr="00AA3C78" w:rsidRDefault="00552CB5" w:rsidP="00031C40">
            <w:pPr>
              <w:jc w:val="both"/>
              <w:rPr>
                <w:rFonts w:ascii="Times New Roman" w:hAnsi="Times New Roman" w:cs="Times New Roman"/>
                <w:noProof/>
                <w:sz w:val="18"/>
                <w:szCs w:val="18"/>
              </w:rPr>
            </w:pPr>
          </w:p>
        </w:tc>
        <w:tc>
          <w:tcPr>
            <w:tcW w:w="2340"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lastRenderedPageBreak/>
              <w:t>810,171 tonnes</w:t>
            </w:r>
          </w:p>
          <w:p w:rsidR="00552CB5" w:rsidRPr="00AA3C78" w:rsidRDefault="00552CB5" w:rsidP="00031C40">
            <w:pPr>
              <w:jc w:val="both"/>
              <w:rPr>
                <w:rFonts w:ascii="Times New Roman" w:hAnsi="Times New Roman" w:cs="Times New Roman"/>
                <w:noProof/>
                <w:sz w:val="18"/>
                <w:szCs w:val="18"/>
              </w:rPr>
            </w:pPr>
          </w:p>
        </w:tc>
        <w:tc>
          <w:tcPr>
            <w:tcW w:w="2448" w:type="dxa"/>
          </w:tcPr>
          <w:p w:rsidR="00C80554" w:rsidRPr="00AA3C78" w:rsidRDefault="006C4195"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lastRenderedPageBreak/>
              <w:t>Not applicable</w:t>
            </w:r>
            <w:r w:rsidR="0034746B" w:rsidRPr="00AA3C78">
              <w:rPr>
                <w:rFonts w:ascii="Times New Roman" w:hAnsi="Times New Roman" w:cs="Times New Roman"/>
                <w:bCs/>
                <w:noProof/>
                <w:sz w:val="18"/>
                <w:szCs w:val="18"/>
              </w:rPr>
              <w:t xml:space="preserve"> (as at 2015)</w:t>
            </w:r>
          </w:p>
          <w:p w:rsidR="00552CB5" w:rsidRPr="00AA3C78" w:rsidRDefault="00552CB5" w:rsidP="00031C40">
            <w:pPr>
              <w:jc w:val="both"/>
              <w:rPr>
                <w:rFonts w:ascii="Times New Roman" w:hAnsi="Times New Roman" w:cs="Times New Roman"/>
                <w:noProof/>
                <w:sz w:val="18"/>
                <w:szCs w:val="18"/>
              </w:rPr>
            </w:pPr>
          </w:p>
        </w:tc>
      </w:tr>
      <w:tr w:rsidR="0034746B" w:rsidRPr="00AA3C78" w:rsidTr="006C4195">
        <w:tc>
          <w:tcPr>
            <w:tcW w:w="479"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lastRenderedPageBreak/>
              <w:t>4</w:t>
            </w:r>
          </w:p>
        </w:tc>
        <w:tc>
          <w:tcPr>
            <w:tcW w:w="1968"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Tar Sands</w:t>
            </w:r>
          </w:p>
          <w:p w:rsidR="0034746B" w:rsidRPr="00AA3C78" w:rsidRDefault="0034746B" w:rsidP="00031C40">
            <w:pPr>
              <w:jc w:val="both"/>
              <w:rPr>
                <w:rFonts w:ascii="Times New Roman" w:hAnsi="Times New Roman" w:cs="Times New Roman"/>
                <w:noProof/>
                <w:sz w:val="18"/>
                <w:szCs w:val="18"/>
              </w:rPr>
            </w:pPr>
          </w:p>
        </w:tc>
        <w:tc>
          <w:tcPr>
            <w:tcW w:w="2341"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31 billion barrels of oil equivalent</w:t>
            </w:r>
          </w:p>
          <w:p w:rsidR="0034746B" w:rsidRPr="00AA3C78" w:rsidRDefault="0034746B" w:rsidP="00031C40">
            <w:pPr>
              <w:jc w:val="both"/>
              <w:rPr>
                <w:rFonts w:ascii="Times New Roman" w:hAnsi="Times New Roman" w:cs="Times New Roman"/>
                <w:noProof/>
                <w:sz w:val="18"/>
                <w:szCs w:val="18"/>
              </w:rPr>
            </w:pPr>
          </w:p>
        </w:tc>
        <w:tc>
          <w:tcPr>
            <w:tcW w:w="2340"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0</w:t>
            </w:r>
          </w:p>
        </w:tc>
        <w:tc>
          <w:tcPr>
            <w:tcW w:w="2448"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Not applicable (as at 2015)</w:t>
            </w:r>
          </w:p>
          <w:p w:rsidR="0034746B" w:rsidRPr="00AA3C78" w:rsidRDefault="0034746B" w:rsidP="00031C40">
            <w:pPr>
              <w:jc w:val="both"/>
              <w:rPr>
                <w:rFonts w:ascii="Times New Roman" w:hAnsi="Times New Roman" w:cs="Times New Roman"/>
                <w:noProof/>
                <w:sz w:val="18"/>
                <w:szCs w:val="18"/>
              </w:rPr>
            </w:pPr>
          </w:p>
        </w:tc>
      </w:tr>
      <w:tr w:rsidR="00552CB5" w:rsidRPr="00AA3C78" w:rsidTr="006C4195">
        <w:tc>
          <w:tcPr>
            <w:tcW w:w="479" w:type="dxa"/>
          </w:tcPr>
          <w:p w:rsidR="00552CB5"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5</w:t>
            </w:r>
          </w:p>
        </w:tc>
        <w:tc>
          <w:tcPr>
            <w:tcW w:w="196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Nuclear Element</w:t>
            </w:r>
          </w:p>
          <w:p w:rsidR="00552CB5" w:rsidRPr="00AA3C78" w:rsidRDefault="00552CB5" w:rsidP="00031C40">
            <w:pPr>
              <w:jc w:val="both"/>
              <w:rPr>
                <w:rFonts w:ascii="Times New Roman" w:hAnsi="Times New Roman" w:cs="Times New Roman"/>
                <w:noProof/>
                <w:sz w:val="18"/>
                <w:szCs w:val="18"/>
              </w:rPr>
            </w:pPr>
          </w:p>
        </w:tc>
        <w:tc>
          <w:tcPr>
            <w:tcW w:w="2341"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Yet to be quantified</w:t>
            </w:r>
          </w:p>
          <w:p w:rsidR="00552CB5" w:rsidRPr="00AA3C78" w:rsidRDefault="00552CB5" w:rsidP="00031C40">
            <w:pPr>
              <w:jc w:val="both"/>
              <w:rPr>
                <w:rFonts w:ascii="Times New Roman" w:hAnsi="Times New Roman" w:cs="Times New Roman"/>
                <w:noProof/>
                <w:sz w:val="18"/>
                <w:szCs w:val="18"/>
              </w:rPr>
            </w:pPr>
          </w:p>
        </w:tc>
        <w:tc>
          <w:tcPr>
            <w:tcW w:w="2340" w:type="dxa"/>
          </w:tcPr>
          <w:p w:rsidR="00552CB5"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0</w:t>
            </w:r>
          </w:p>
        </w:tc>
        <w:tc>
          <w:tcPr>
            <w:tcW w:w="2448" w:type="dxa"/>
          </w:tcPr>
          <w:p w:rsidR="00C80554" w:rsidRPr="00AA3C78" w:rsidRDefault="00C80554"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30kW experimental nuclear reactor</w:t>
            </w:r>
          </w:p>
          <w:p w:rsidR="00552CB5" w:rsidRPr="00AA3C78" w:rsidRDefault="00552CB5" w:rsidP="00031C40">
            <w:pPr>
              <w:jc w:val="both"/>
              <w:rPr>
                <w:rFonts w:ascii="Times New Roman" w:hAnsi="Times New Roman" w:cs="Times New Roman"/>
                <w:noProof/>
                <w:sz w:val="18"/>
                <w:szCs w:val="18"/>
              </w:rPr>
            </w:pPr>
          </w:p>
        </w:tc>
      </w:tr>
    </w:tbl>
    <w:p w:rsidR="006B67B0" w:rsidRPr="00AA3C78" w:rsidRDefault="006B67B0" w:rsidP="00031C40">
      <w:pPr>
        <w:spacing w:after="0" w:line="240" w:lineRule="auto"/>
        <w:jc w:val="both"/>
        <w:rPr>
          <w:rFonts w:ascii="Times New Roman" w:hAnsi="Times New Roman" w:cs="Times New Roman"/>
          <w:noProof/>
          <w:sz w:val="18"/>
          <w:szCs w:val="18"/>
        </w:rPr>
      </w:pPr>
    </w:p>
    <w:p w:rsidR="006B67B0" w:rsidRPr="00AA3C78" w:rsidRDefault="006B67B0" w:rsidP="00031C40">
      <w:pPr>
        <w:spacing w:after="0" w:line="240" w:lineRule="auto"/>
        <w:jc w:val="both"/>
        <w:rPr>
          <w:rFonts w:ascii="Times New Roman" w:hAnsi="Times New Roman" w:cs="Times New Roman"/>
          <w:noProof/>
          <w:sz w:val="18"/>
          <w:szCs w:val="18"/>
        </w:rPr>
      </w:pPr>
    </w:p>
    <w:p w:rsidR="006C4195" w:rsidRPr="00AA3C78" w:rsidRDefault="006C4195" w:rsidP="00031C40">
      <w:pPr>
        <w:spacing w:after="0" w:line="240" w:lineRule="auto"/>
        <w:jc w:val="both"/>
        <w:rPr>
          <w:rFonts w:ascii="Times New Roman" w:hAnsi="Times New Roman" w:cs="Times New Roman"/>
          <w:noProof/>
          <w:sz w:val="18"/>
          <w:szCs w:val="18"/>
        </w:rPr>
      </w:pPr>
      <w:r w:rsidRPr="00AA3C78">
        <w:rPr>
          <w:rFonts w:ascii="Times New Roman" w:hAnsi="Times New Roman" w:cs="Times New Roman"/>
          <w:noProof/>
          <w:sz w:val="18"/>
          <w:szCs w:val="18"/>
        </w:rPr>
        <w:t>Table 4: Available renewable so</w:t>
      </w:r>
      <w:r w:rsidR="00354C70">
        <w:rPr>
          <w:rFonts w:ascii="Times New Roman" w:hAnsi="Times New Roman" w:cs="Times New Roman"/>
          <w:noProof/>
          <w:sz w:val="18"/>
          <w:szCs w:val="18"/>
        </w:rPr>
        <w:t>u</w:t>
      </w:r>
      <w:r w:rsidRPr="00AA3C78">
        <w:rPr>
          <w:rFonts w:ascii="Times New Roman" w:hAnsi="Times New Roman" w:cs="Times New Roman"/>
          <w:noProof/>
          <w:sz w:val="18"/>
          <w:szCs w:val="18"/>
        </w:rPr>
        <w:t>rces of electricity and status of use</w:t>
      </w:r>
    </w:p>
    <w:tbl>
      <w:tblPr>
        <w:tblStyle w:val="TableGrid"/>
        <w:tblW w:w="9648" w:type="dxa"/>
        <w:tblLook w:val="04A0" w:firstRow="1" w:lastRow="0" w:firstColumn="1" w:lastColumn="0" w:noHBand="0" w:noVBand="1"/>
      </w:tblPr>
      <w:tblGrid>
        <w:gridCol w:w="472"/>
        <w:gridCol w:w="982"/>
        <w:gridCol w:w="1624"/>
        <w:gridCol w:w="2070"/>
        <w:gridCol w:w="1170"/>
        <w:gridCol w:w="3330"/>
      </w:tblGrid>
      <w:tr w:rsidR="006C4195" w:rsidRPr="00AA3C78" w:rsidTr="006C4195">
        <w:tc>
          <w:tcPr>
            <w:tcW w:w="472" w:type="dxa"/>
          </w:tcPr>
          <w:p w:rsidR="006C4195" w:rsidRPr="00AA3C78" w:rsidRDefault="006C4195" w:rsidP="00031C40">
            <w:pPr>
              <w:jc w:val="both"/>
              <w:rPr>
                <w:rFonts w:ascii="Times New Roman" w:hAnsi="Times New Roman" w:cs="Times New Roman"/>
                <w:noProof/>
                <w:sz w:val="18"/>
                <w:szCs w:val="18"/>
              </w:rPr>
            </w:pPr>
          </w:p>
        </w:tc>
        <w:tc>
          <w:tcPr>
            <w:tcW w:w="2606" w:type="dxa"/>
            <w:gridSpan w:val="2"/>
          </w:tcPr>
          <w:p w:rsidR="006C4195" w:rsidRPr="00AA3C78" w:rsidRDefault="006C4195" w:rsidP="00031C40">
            <w:pPr>
              <w:jc w:val="both"/>
              <w:rPr>
                <w:rFonts w:ascii="Times New Roman" w:hAnsi="Times New Roman" w:cs="Times New Roman"/>
                <w:b/>
                <w:noProof/>
                <w:sz w:val="18"/>
                <w:szCs w:val="18"/>
              </w:rPr>
            </w:pPr>
            <w:r w:rsidRPr="00AA3C78">
              <w:rPr>
                <w:rFonts w:ascii="Times New Roman" w:hAnsi="Times New Roman" w:cs="Times New Roman"/>
                <w:b/>
                <w:noProof/>
                <w:sz w:val="18"/>
                <w:szCs w:val="18"/>
              </w:rPr>
              <w:t>Resource Type</w:t>
            </w:r>
          </w:p>
        </w:tc>
        <w:tc>
          <w:tcPr>
            <w:tcW w:w="3240" w:type="dxa"/>
            <w:gridSpan w:val="2"/>
          </w:tcPr>
          <w:p w:rsidR="006C4195" w:rsidRPr="00AA3C78" w:rsidRDefault="006C4195" w:rsidP="00031C40">
            <w:pPr>
              <w:jc w:val="both"/>
              <w:rPr>
                <w:rFonts w:ascii="Times New Roman" w:hAnsi="Times New Roman" w:cs="Times New Roman"/>
                <w:b/>
                <w:noProof/>
                <w:sz w:val="18"/>
                <w:szCs w:val="18"/>
              </w:rPr>
            </w:pPr>
            <w:r w:rsidRPr="00AA3C78">
              <w:rPr>
                <w:rFonts w:ascii="Times New Roman" w:hAnsi="Times New Roman" w:cs="Times New Roman"/>
                <w:b/>
                <w:bCs/>
                <w:noProof/>
                <w:sz w:val="18"/>
                <w:szCs w:val="18"/>
              </w:rPr>
              <w:t>Reserves: 2019 (Natural Units)</w:t>
            </w:r>
          </w:p>
          <w:p w:rsidR="006C4195" w:rsidRPr="00AA3C78" w:rsidRDefault="006C4195" w:rsidP="00031C40">
            <w:pPr>
              <w:jc w:val="both"/>
              <w:rPr>
                <w:rFonts w:ascii="Times New Roman" w:hAnsi="Times New Roman" w:cs="Times New Roman"/>
                <w:b/>
                <w:noProof/>
                <w:sz w:val="18"/>
                <w:szCs w:val="18"/>
              </w:rPr>
            </w:pPr>
          </w:p>
        </w:tc>
        <w:tc>
          <w:tcPr>
            <w:tcW w:w="3330" w:type="dxa"/>
          </w:tcPr>
          <w:p w:rsidR="006C4195" w:rsidRPr="00AA3C78" w:rsidRDefault="006C4195" w:rsidP="00031C40">
            <w:pPr>
              <w:jc w:val="both"/>
              <w:rPr>
                <w:rFonts w:ascii="Times New Roman" w:hAnsi="Times New Roman" w:cs="Times New Roman"/>
                <w:b/>
                <w:noProof/>
                <w:sz w:val="18"/>
                <w:szCs w:val="18"/>
              </w:rPr>
            </w:pPr>
            <w:r w:rsidRPr="00AA3C78">
              <w:rPr>
                <w:rFonts w:ascii="Times New Roman" w:hAnsi="Times New Roman" w:cs="Times New Roman"/>
                <w:b/>
                <w:bCs/>
                <w:noProof/>
                <w:sz w:val="18"/>
                <w:szCs w:val="18"/>
              </w:rPr>
              <w:t>Production Level: 2019 (natural units)</w:t>
            </w:r>
          </w:p>
          <w:p w:rsidR="006C4195" w:rsidRPr="00AA3C78" w:rsidRDefault="006C4195" w:rsidP="00031C40">
            <w:pPr>
              <w:jc w:val="both"/>
              <w:rPr>
                <w:rFonts w:ascii="Times New Roman" w:hAnsi="Times New Roman" w:cs="Times New Roman"/>
                <w:b/>
                <w:noProof/>
                <w:sz w:val="18"/>
                <w:szCs w:val="18"/>
              </w:rPr>
            </w:pPr>
          </w:p>
        </w:tc>
      </w:tr>
      <w:tr w:rsidR="006C4195" w:rsidRPr="00AA3C78" w:rsidTr="006C4195">
        <w:tc>
          <w:tcPr>
            <w:tcW w:w="472" w:type="dxa"/>
          </w:tcPr>
          <w:p w:rsidR="006C4195" w:rsidRPr="00AA3C78" w:rsidRDefault="006C4195"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1</w:t>
            </w:r>
          </w:p>
        </w:tc>
        <w:tc>
          <w:tcPr>
            <w:tcW w:w="2606"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Large hydro power</w:t>
            </w:r>
          </w:p>
          <w:p w:rsidR="006C4195" w:rsidRPr="00AA3C78" w:rsidRDefault="006C4195" w:rsidP="00031C40">
            <w:pPr>
              <w:jc w:val="both"/>
              <w:rPr>
                <w:rFonts w:ascii="Times New Roman" w:hAnsi="Times New Roman" w:cs="Times New Roman"/>
                <w:noProof/>
                <w:sz w:val="18"/>
                <w:szCs w:val="18"/>
              </w:rPr>
            </w:pPr>
          </w:p>
        </w:tc>
        <w:tc>
          <w:tcPr>
            <w:tcW w:w="3240"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24,000MW</w:t>
            </w:r>
          </w:p>
          <w:p w:rsidR="006C4195" w:rsidRPr="00AA3C78" w:rsidRDefault="006C4195" w:rsidP="00031C40">
            <w:pPr>
              <w:jc w:val="both"/>
              <w:rPr>
                <w:rFonts w:ascii="Times New Roman" w:hAnsi="Times New Roman" w:cs="Times New Roman"/>
                <w:noProof/>
                <w:sz w:val="18"/>
                <w:szCs w:val="18"/>
              </w:rPr>
            </w:pPr>
          </w:p>
        </w:tc>
        <w:tc>
          <w:tcPr>
            <w:tcW w:w="3330" w:type="dxa"/>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2,630MW</w:t>
            </w:r>
          </w:p>
          <w:p w:rsidR="006C4195" w:rsidRPr="00AA3C78" w:rsidRDefault="006C4195" w:rsidP="00031C40">
            <w:pPr>
              <w:jc w:val="both"/>
              <w:rPr>
                <w:rFonts w:ascii="Times New Roman" w:hAnsi="Times New Roman" w:cs="Times New Roman"/>
                <w:noProof/>
                <w:sz w:val="18"/>
                <w:szCs w:val="18"/>
              </w:rPr>
            </w:pPr>
          </w:p>
        </w:tc>
      </w:tr>
      <w:tr w:rsidR="006C4195" w:rsidRPr="00AA3C78" w:rsidTr="006C4195">
        <w:tc>
          <w:tcPr>
            <w:tcW w:w="472" w:type="dxa"/>
          </w:tcPr>
          <w:p w:rsidR="006C4195" w:rsidRPr="00AA3C78" w:rsidRDefault="006C4195"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2</w:t>
            </w:r>
          </w:p>
        </w:tc>
        <w:tc>
          <w:tcPr>
            <w:tcW w:w="2606"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Small Hydro power</w:t>
            </w:r>
          </w:p>
          <w:p w:rsidR="006C4195" w:rsidRPr="00AA3C78" w:rsidRDefault="006C4195" w:rsidP="00031C40">
            <w:pPr>
              <w:jc w:val="both"/>
              <w:rPr>
                <w:rFonts w:ascii="Times New Roman" w:hAnsi="Times New Roman" w:cs="Times New Roman"/>
                <w:noProof/>
                <w:sz w:val="18"/>
                <w:szCs w:val="18"/>
              </w:rPr>
            </w:pPr>
          </w:p>
        </w:tc>
        <w:tc>
          <w:tcPr>
            <w:tcW w:w="3240"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3,500MW</w:t>
            </w:r>
          </w:p>
          <w:p w:rsidR="006C4195" w:rsidRPr="00AA3C78" w:rsidRDefault="006C4195" w:rsidP="00031C40">
            <w:pPr>
              <w:jc w:val="both"/>
              <w:rPr>
                <w:rFonts w:ascii="Times New Roman" w:hAnsi="Times New Roman" w:cs="Times New Roman"/>
                <w:noProof/>
                <w:sz w:val="18"/>
                <w:szCs w:val="18"/>
              </w:rPr>
            </w:pPr>
          </w:p>
        </w:tc>
        <w:tc>
          <w:tcPr>
            <w:tcW w:w="3330" w:type="dxa"/>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64.2MW</w:t>
            </w:r>
          </w:p>
          <w:p w:rsidR="006C4195" w:rsidRPr="00AA3C78" w:rsidRDefault="006C4195" w:rsidP="00031C40">
            <w:pPr>
              <w:jc w:val="both"/>
              <w:rPr>
                <w:rFonts w:ascii="Times New Roman" w:hAnsi="Times New Roman" w:cs="Times New Roman"/>
                <w:noProof/>
                <w:sz w:val="18"/>
                <w:szCs w:val="18"/>
              </w:rPr>
            </w:pPr>
          </w:p>
        </w:tc>
      </w:tr>
      <w:tr w:rsidR="006C4195" w:rsidRPr="00AA3C78" w:rsidTr="006C4195">
        <w:tc>
          <w:tcPr>
            <w:tcW w:w="472" w:type="dxa"/>
          </w:tcPr>
          <w:p w:rsidR="006C4195" w:rsidRPr="00AA3C78" w:rsidRDefault="006C4195"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3</w:t>
            </w:r>
          </w:p>
        </w:tc>
        <w:tc>
          <w:tcPr>
            <w:tcW w:w="2606"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Solar Energy</w:t>
            </w:r>
          </w:p>
          <w:p w:rsidR="006C4195" w:rsidRPr="00AA3C78" w:rsidRDefault="006C4195" w:rsidP="00031C40">
            <w:pPr>
              <w:jc w:val="both"/>
              <w:rPr>
                <w:rFonts w:ascii="Times New Roman" w:hAnsi="Times New Roman" w:cs="Times New Roman"/>
                <w:noProof/>
                <w:sz w:val="18"/>
                <w:szCs w:val="18"/>
              </w:rPr>
            </w:pPr>
          </w:p>
        </w:tc>
        <w:tc>
          <w:tcPr>
            <w:tcW w:w="3240"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4.0 kWh/m</w:t>
            </w:r>
            <w:r w:rsidRPr="00AA3C78">
              <w:rPr>
                <w:rFonts w:ascii="Times New Roman" w:hAnsi="Times New Roman" w:cs="Times New Roman"/>
                <w:bCs/>
                <w:noProof/>
                <w:sz w:val="18"/>
                <w:szCs w:val="18"/>
                <w:vertAlign w:val="superscript"/>
              </w:rPr>
              <w:t>2</w:t>
            </w:r>
            <w:r w:rsidRPr="00AA3C78">
              <w:rPr>
                <w:rFonts w:ascii="Times New Roman" w:hAnsi="Times New Roman" w:cs="Times New Roman"/>
                <w:bCs/>
                <w:noProof/>
                <w:sz w:val="18"/>
                <w:szCs w:val="18"/>
              </w:rPr>
              <w:t>/day - 6.5kWh/m2/day</w:t>
            </w:r>
          </w:p>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 xml:space="preserve">(a) *210,000 MW solar PV @ 1% of </w:t>
            </w:r>
          </w:p>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 xml:space="preserve">        suitable land</w:t>
            </w:r>
          </w:p>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 xml:space="preserve">(b) *88,700 MW CSP @ 1% suitable land </w:t>
            </w:r>
          </w:p>
          <w:p w:rsidR="006C4195" w:rsidRPr="00AA3C78" w:rsidRDefault="006C4195" w:rsidP="00031C40">
            <w:pPr>
              <w:jc w:val="both"/>
              <w:rPr>
                <w:rFonts w:ascii="Times New Roman" w:hAnsi="Times New Roman" w:cs="Times New Roman"/>
                <w:noProof/>
                <w:sz w:val="18"/>
                <w:szCs w:val="18"/>
              </w:rPr>
            </w:pPr>
          </w:p>
        </w:tc>
        <w:tc>
          <w:tcPr>
            <w:tcW w:w="3330" w:type="dxa"/>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About 1000MW solar PV off-grid; 1 MW grid connected PV;  No solar thermal electricity</w:t>
            </w:r>
          </w:p>
          <w:p w:rsidR="006C4195" w:rsidRPr="00AA3C78" w:rsidRDefault="006C4195" w:rsidP="00031C40">
            <w:pPr>
              <w:jc w:val="both"/>
              <w:rPr>
                <w:rFonts w:ascii="Times New Roman" w:hAnsi="Times New Roman" w:cs="Times New Roman"/>
                <w:noProof/>
                <w:sz w:val="18"/>
                <w:szCs w:val="18"/>
              </w:rPr>
            </w:pPr>
          </w:p>
        </w:tc>
      </w:tr>
      <w:tr w:rsidR="006C4195" w:rsidRPr="00AA3C78" w:rsidTr="006C4195">
        <w:tc>
          <w:tcPr>
            <w:tcW w:w="472" w:type="dxa"/>
          </w:tcPr>
          <w:p w:rsidR="006C4195" w:rsidRPr="00AA3C78" w:rsidRDefault="006C4195"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4</w:t>
            </w:r>
          </w:p>
        </w:tc>
        <w:tc>
          <w:tcPr>
            <w:tcW w:w="2606" w:type="dxa"/>
            <w:gridSpan w:val="2"/>
          </w:tcPr>
          <w:p w:rsidR="006C4195" w:rsidRPr="00AA3C78" w:rsidRDefault="006C4195"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Wind</w:t>
            </w:r>
          </w:p>
          <w:p w:rsidR="006C4195" w:rsidRPr="00AA3C78" w:rsidRDefault="006C4195" w:rsidP="00031C40">
            <w:pPr>
              <w:jc w:val="both"/>
              <w:rPr>
                <w:rFonts w:ascii="Times New Roman" w:hAnsi="Times New Roman" w:cs="Times New Roman"/>
                <w:noProof/>
                <w:sz w:val="18"/>
                <w:szCs w:val="18"/>
              </w:rPr>
            </w:pPr>
          </w:p>
        </w:tc>
        <w:tc>
          <w:tcPr>
            <w:tcW w:w="3240" w:type="dxa"/>
            <w:gridSpan w:val="2"/>
          </w:tcPr>
          <w:p w:rsidR="006C4195" w:rsidRPr="00AA3C78" w:rsidRDefault="006C4195"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3,200 MW at 10m height with wind speeds of 2-4m/s </w:t>
            </w:r>
          </w:p>
        </w:tc>
        <w:tc>
          <w:tcPr>
            <w:tcW w:w="3330" w:type="dxa"/>
          </w:tcPr>
          <w:p w:rsidR="006C4195"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Still under search (as at 2015)</w:t>
            </w:r>
          </w:p>
        </w:tc>
      </w:tr>
      <w:tr w:rsidR="0034746B" w:rsidRPr="00AA3C78" w:rsidTr="006C4195">
        <w:trPr>
          <w:trHeight w:val="144"/>
        </w:trPr>
        <w:tc>
          <w:tcPr>
            <w:tcW w:w="472" w:type="dxa"/>
            <w:vMerge w:val="restart"/>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noProof/>
                <w:sz w:val="18"/>
                <w:szCs w:val="18"/>
              </w:rPr>
              <w:t>5</w:t>
            </w:r>
          </w:p>
        </w:tc>
        <w:tc>
          <w:tcPr>
            <w:tcW w:w="982" w:type="dxa"/>
            <w:vMerge w:val="restart"/>
          </w:tcPr>
          <w:p w:rsidR="0034746B" w:rsidRPr="00AA3C78" w:rsidRDefault="0034746B"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Biomass</w:t>
            </w:r>
          </w:p>
          <w:p w:rsidR="0034746B" w:rsidRPr="00AA3C78" w:rsidRDefault="0034746B" w:rsidP="00031C40">
            <w:pPr>
              <w:jc w:val="both"/>
              <w:rPr>
                <w:rFonts w:ascii="Times New Roman" w:hAnsi="Times New Roman" w:cs="Times New Roman"/>
                <w:noProof/>
                <w:sz w:val="18"/>
                <w:szCs w:val="18"/>
              </w:rPr>
            </w:pPr>
          </w:p>
        </w:tc>
        <w:tc>
          <w:tcPr>
            <w:tcW w:w="1624"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Fuel wood</w:t>
            </w:r>
          </w:p>
          <w:p w:rsidR="0034746B" w:rsidRPr="00AA3C78" w:rsidRDefault="0034746B" w:rsidP="00031C40">
            <w:pPr>
              <w:jc w:val="both"/>
              <w:rPr>
                <w:rFonts w:ascii="Times New Roman" w:hAnsi="Times New Roman" w:cs="Times New Roman"/>
                <w:noProof/>
                <w:sz w:val="18"/>
                <w:szCs w:val="18"/>
              </w:rPr>
            </w:pPr>
          </w:p>
        </w:tc>
        <w:tc>
          <w:tcPr>
            <w:tcW w:w="2070"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11 million hectares of  forest and woodlands</w:t>
            </w:r>
          </w:p>
          <w:p w:rsidR="0034746B" w:rsidRPr="00AA3C78" w:rsidRDefault="0034746B" w:rsidP="00031C40">
            <w:pPr>
              <w:jc w:val="both"/>
              <w:rPr>
                <w:rFonts w:ascii="Times New Roman" w:hAnsi="Times New Roman" w:cs="Times New Roman"/>
                <w:noProof/>
                <w:sz w:val="18"/>
                <w:szCs w:val="18"/>
              </w:rPr>
            </w:pPr>
          </w:p>
        </w:tc>
        <w:tc>
          <w:tcPr>
            <w:tcW w:w="1170" w:type="dxa"/>
            <w:vMerge w:val="restart"/>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29,800 PJ*</w:t>
            </w:r>
          </w:p>
          <w:p w:rsidR="0034746B" w:rsidRPr="00AA3C78" w:rsidRDefault="0034746B" w:rsidP="00031C40">
            <w:pPr>
              <w:jc w:val="both"/>
              <w:rPr>
                <w:rFonts w:ascii="Times New Roman" w:hAnsi="Times New Roman" w:cs="Times New Roman"/>
                <w:noProof/>
                <w:sz w:val="18"/>
                <w:szCs w:val="18"/>
              </w:rPr>
            </w:pPr>
          </w:p>
        </w:tc>
        <w:tc>
          <w:tcPr>
            <w:tcW w:w="3330"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Not applicable (as at 2015)</w:t>
            </w:r>
          </w:p>
          <w:p w:rsidR="0034746B" w:rsidRPr="00AA3C78" w:rsidRDefault="0034746B" w:rsidP="00031C40">
            <w:pPr>
              <w:jc w:val="both"/>
              <w:rPr>
                <w:rFonts w:ascii="Times New Roman" w:hAnsi="Times New Roman" w:cs="Times New Roman"/>
                <w:noProof/>
                <w:sz w:val="18"/>
                <w:szCs w:val="18"/>
              </w:rPr>
            </w:pPr>
          </w:p>
        </w:tc>
      </w:tr>
      <w:tr w:rsidR="0034746B" w:rsidRPr="00AA3C78" w:rsidTr="006C4195">
        <w:trPr>
          <w:trHeight w:val="144"/>
        </w:trPr>
        <w:tc>
          <w:tcPr>
            <w:tcW w:w="472" w:type="dxa"/>
            <w:vMerge/>
          </w:tcPr>
          <w:p w:rsidR="0034746B" w:rsidRPr="00AA3C78" w:rsidRDefault="0034746B" w:rsidP="00031C40">
            <w:pPr>
              <w:jc w:val="both"/>
              <w:rPr>
                <w:rFonts w:ascii="Times New Roman" w:hAnsi="Times New Roman" w:cs="Times New Roman"/>
                <w:noProof/>
                <w:sz w:val="18"/>
                <w:szCs w:val="18"/>
              </w:rPr>
            </w:pPr>
          </w:p>
        </w:tc>
        <w:tc>
          <w:tcPr>
            <w:tcW w:w="982" w:type="dxa"/>
            <w:vMerge/>
          </w:tcPr>
          <w:p w:rsidR="0034746B" w:rsidRPr="00AA3C78" w:rsidRDefault="0034746B" w:rsidP="00031C40">
            <w:pPr>
              <w:jc w:val="both"/>
              <w:rPr>
                <w:rFonts w:ascii="Times New Roman" w:hAnsi="Times New Roman" w:cs="Times New Roman"/>
                <w:noProof/>
                <w:sz w:val="18"/>
                <w:szCs w:val="18"/>
              </w:rPr>
            </w:pPr>
          </w:p>
        </w:tc>
        <w:tc>
          <w:tcPr>
            <w:tcW w:w="1624"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Municipal waste</w:t>
            </w:r>
          </w:p>
          <w:p w:rsidR="0034746B" w:rsidRPr="00AA3C78" w:rsidRDefault="0034746B" w:rsidP="00031C40">
            <w:pPr>
              <w:jc w:val="both"/>
              <w:rPr>
                <w:rFonts w:ascii="Times New Roman" w:hAnsi="Times New Roman" w:cs="Times New Roman"/>
                <w:noProof/>
                <w:sz w:val="18"/>
                <w:szCs w:val="18"/>
              </w:rPr>
            </w:pPr>
          </w:p>
        </w:tc>
        <w:tc>
          <w:tcPr>
            <w:tcW w:w="2070" w:type="dxa"/>
          </w:tcPr>
          <w:p w:rsidR="0034746B" w:rsidRPr="00AA3C78" w:rsidRDefault="0034746B"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 xml:space="preserve">-   18.3 million tonnes in 2005* </w:t>
            </w:r>
          </w:p>
          <w:p w:rsidR="0034746B" w:rsidRPr="00AA3C78" w:rsidRDefault="0034746B" w:rsidP="00031C40">
            <w:pPr>
              <w:jc w:val="both"/>
              <w:rPr>
                <w:rFonts w:ascii="Times New Roman" w:hAnsi="Times New Roman" w:cs="Times New Roman"/>
                <w:bCs/>
                <w:noProof/>
                <w:sz w:val="18"/>
                <w:szCs w:val="18"/>
              </w:rPr>
            </w:pPr>
          </w:p>
        </w:tc>
        <w:tc>
          <w:tcPr>
            <w:tcW w:w="1170" w:type="dxa"/>
            <w:vMerge/>
          </w:tcPr>
          <w:p w:rsidR="0034746B" w:rsidRPr="00AA3C78" w:rsidRDefault="0034746B" w:rsidP="00031C40">
            <w:pPr>
              <w:jc w:val="both"/>
              <w:rPr>
                <w:rFonts w:ascii="Times New Roman" w:hAnsi="Times New Roman" w:cs="Times New Roman"/>
                <w:bCs/>
                <w:noProof/>
                <w:sz w:val="18"/>
                <w:szCs w:val="18"/>
              </w:rPr>
            </w:pPr>
          </w:p>
        </w:tc>
        <w:tc>
          <w:tcPr>
            <w:tcW w:w="3330"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Not applicable (as at 2015)</w:t>
            </w:r>
          </w:p>
          <w:p w:rsidR="0034746B" w:rsidRPr="00AA3C78" w:rsidRDefault="0034746B" w:rsidP="00031C40">
            <w:pPr>
              <w:jc w:val="both"/>
              <w:rPr>
                <w:rFonts w:ascii="Times New Roman" w:hAnsi="Times New Roman" w:cs="Times New Roman"/>
                <w:noProof/>
                <w:sz w:val="18"/>
                <w:szCs w:val="18"/>
              </w:rPr>
            </w:pPr>
          </w:p>
        </w:tc>
      </w:tr>
      <w:tr w:rsidR="0034746B" w:rsidRPr="00AA3C78" w:rsidTr="006C4195">
        <w:trPr>
          <w:trHeight w:val="144"/>
        </w:trPr>
        <w:tc>
          <w:tcPr>
            <w:tcW w:w="472" w:type="dxa"/>
            <w:vMerge/>
          </w:tcPr>
          <w:p w:rsidR="0034746B" w:rsidRPr="00AA3C78" w:rsidRDefault="0034746B" w:rsidP="00031C40">
            <w:pPr>
              <w:jc w:val="both"/>
              <w:rPr>
                <w:rFonts w:ascii="Times New Roman" w:hAnsi="Times New Roman" w:cs="Times New Roman"/>
                <w:noProof/>
                <w:sz w:val="18"/>
                <w:szCs w:val="18"/>
              </w:rPr>
            </w:pPr>
          </w:p>
        </w:tc>
        <w:tc>
          <w:tcPr>
            <w:tcW w:w="982" w:type="dxa"/>
            <w:vMerge/>
          </w:tcPr>
          <w:p w:rsidR="0034746B" w:rsidRPr="00AA3C78" w:rsidRDefault="0034746B" w:rsidP="00031C40">
            <w:pPr>
              <w:jc w:val="both"/>
              <w:rPr>
                <w:rFonts w:ascii="Times New Roman" w:hAnsi="Times New Roman" w:cs="Times New Roman"/>
                <w:noProof/>
                <w:sz w:val="18"/>
                <w:szCs w:val="18"/>
              </w:rPr>
            </w:pPr>
          </w:p>
        </w:tc>
        <w:tc>
          <w:tcPr>
            <w:tcW w:w="1624"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 xml:space="preserve">Animal waste </w:t>
            </w:r>
          </w:p>
          <w:p w:rsidR="0034746B" w:rsidRPr="00AA3C78" w:rsidRDefault="0034746B" w:rsidP="00031C40">
            <w:pPr>
              <w:jc w:val="both"/>
              <w:rPr>
                <w:rFonts w:ascii="Times New Roman" w:hAnsi="Times New Roman" w:cs="Times New Roman"/>
                <w:noProof/>
                <w:sz w:val="18"/>
                <w:szCs w:val="18"/>
              </w:rPr>
            </w:pPr>
          </w:p>
        </w:tc>
        <w:tc>
          <w:tcPr>
            <w:tcW w:w="2070" w:type="dxa"/>
          </w:tcPr>
          <w:p w:rsidR="0034746B" w:rsidRPr="00AA3C78" w:rsidRDefault="0034746B"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243 million  assorted animals in 2001</w:t>
            </w:r>
          </w:p>
        </w:tc>
        <w:tc>
          <w:tcPr>
            <w:tcW w:w="1170" w:type="dxa"/>
            <w:vMerge/>
          </w:tcPr>
          <w:p w:rsidR="0034746B" w:rsidRPr="00AA3C78" w:rsidRDefault="0034746B" w:rsidP="00031C40">
            <w:pPr>
              <w:jc w:val="both"/>
              <w:rPr>
                <w:rFonts w:ascii="Times New Roman" w:hAnsi="Times New Roman" w:cs="Times New Roman"/>
                <w:bCs/>
                <w:noProof/>
                <w:sz w:val="18"/>
                <w:szCs w:val="18"/>
              </w:rPr>
            </w:pPr>
          </w:p>
        </w:tc>
        <w:tc>
          <w:tcPr>
            <w:tcW w:w="3330"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Not applicable (as at 2015)</w:t>
            </w:r>
          </w:p>
          <w:p w:rsidR="0034746B" w:rsidRPr="00AA3C78" w:rsidRDefault="0034746B" w:rsidP="00031C40">
            <w:pPr>
              <w:jc w:val="both"/>
              <w:rPr>
                <w:rFonts w:ascii="Times New Roman" w:hAnsi="Times New Roman" w:cs="Times New Roman"/>
                <w:noProof/>
                <w:sz w:val="18"/>
                <w:szCs w:val="18"/>
              </w:rPr>
            </w:pPr>
          </w:p>
        </w:tc>
      </w:tr>
      <w:tr w:rsidR="0034746B" w:rsidRPr="00AA3C78" w:rsidTr="006C4195">
        <w:trPr>
          <w:trHeight w:val="144"/>
        </w:trPr>
        <w:tc>
          <w:tcPr>
            <w:tcW w:w="472" w:type="dxa"/>
            <w:vMerge/>
          </w:tcPr>
          <w:p w:rsidR="0034746B" w:rsidRPr="00AA3C78" w:rsidRDefault="0034746B" w:rsidP="00031C40">
            <w:pPr>
              <w:jc w:val="both"/>
              <w:rPr>
                <w:rFonts w:ascii="Times New Roman" w:hAnsi="Times New Roman" w:cs="Times New Roman"/>
                <w:noProof/>
                <w:sz w:val="18"/>
                <w:szCs w:val="18"/>
              </w:rPr>
            </w:pPr>
          </w:p>
        </w:tc>
        <w:tc>
          <w:tcPr>
            <w:tcW w:w="982" w:type="dxa"/>
            <w:vMerge/>
          </w:tcPr>
          <w:p w:rsidR="0034746B" w:rsidRPr="00AA3C78" w:rsidRDefault="0034746B" w:rsidP="00031C40">
            <w:pPr>
              <w:jc w:val="both"/>
              <w:rPr>
                <w:rFonts w:ascii="Times New Roman" w:hAnsi="Times New Roman" w:cs="Times New Roman"/>
                <w:noProof/>
                <w:sz w:val="18"/>
                <w:szCs w:val="18"/>
              </w:rPr>
            </w:pPr>
          </w:p>
        </w:tc>
        <w:tc>
          <w:tcPr>
            <w:tcW w:w="1624"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Energy Crops and Agric. waste</w:t>
            </w:r>
          </w:p>
          <w:p w:rsidR="0034746B" w:rsidRPr="00AA3C78" w:rsidRDefault="0034746B" w:rsidP="00031C40">
            <w:pPr>
              <w:jc w:val="both"/>
              <w:rPr>
                <w:rFonts w:ascii="Times New Roman" w:hAnsi="Times New Roman" w:cs="Times New Roman"/>
                <w:noProof/>
                <w:sz w:val="18"/>
                <w:szCs w:val="18"/>
              </w:rPr>
            </w:pPr>
          </w:p>
        </w:tc>
        <w:tc>
          <w:tcPr>
            <w:tcW w:w="2070" w:type="dxa"/>
          </w:tcPr>
          <w:p w:rsidR="0034746B" w:rsidRPr="00AA3C78" w:rsidRDefault="0034746B" w:rsidP="00031C40">
            <w:pPr>
              <w:jc w:val="both"/>
              <w:rPr>
                <w:rFonts w:ascii="Times New Roman" w:hAnsi="Times New Roman" w:cs="Times New Roman"/>
                <w:bCs/>
                <w:noProof/>
                <w:sz w:val="18"/>
                <w:szCs w:val="18"/>
              </w:rPr>
            </w:pPr>
            <w:r w:rsidRPr="00AA3C78">
              <w:rPr>
                <w:rFonts w:ascii="Times New Roman" w:hAnsi="Times New Roman" w:cs="Times New Roman"/>
                <w:bCs/>
                <w:noProof/>
                <w:sz w:val="18"/>
                <w:szCs w:val="18"/>
              </w:rPr>
              <w:t>72 million hectares of Agricultural  land</w:t>
            </w:r>
          </w:p>
          <w:p w:rsidR="0034746B" w:rsidRPr="00AA3C78" w:rsidRDefault="0034746B" w:rsidP="00031C40">
            <w:pPr>
              <w:jc w:val="both"/>
              <w:rPr>
                <w:rFonts w:ascii="Times New Roman" w:hAnsi="Times New Roman" w:cs="Times New Roman"/>
                <w:bCs/>
                <w:noProof/>
                <w:sz w:val="18"/>
                <w:szCs w:val="18"/>
              </w:rPr>
            </w:pPr>
          </w:p>
        </w:tc>
        <w:tc>
          <w:tcPr>
            <w:tcW w:w="1170" w:type="dxa"/>
            <w:vMerge/>
          </w:tcPr>
          <w:p w:rsidR="0034746B" w:rsidRPr="00AA3C78" w:rsidRDefault="0034746B" w:rsidP="00031C40">
            <w:pPr>
              <w:jc w:val="both"/>
              <w:rPr>
                <w:rFonts w:ascii="Times New Roman" w:hAnsi="Times New Roman" w:cs="Times New Roman"/>
                <w:bCs/>
                <w:noProof/>
                <w:sz w:val="18"/>
                <w:szCs w:val="18"/>
              </w:rPr>
            </w:pPr>
          </w:p>
        </w:tc>
        <w:tc>
          <w:tcPr>
            <w:tcW w:w="3330" w:type="dxa"/>
          </w:tcPr>
          <w:p w:rsidR="0034746B" w:rsidRPr="00AA3C78" w:rsidRDefault="0034746B" w:rsidP="00031C40">
            <w:pPr>
              <w:jc w:val="both"/>
              <w:rPr>
                <w:rFonts w:ascii="Times New Roman" w:hAnsi="Times New Roman" w:cs="Times New Roman"/>
                <w:noProof/>
                <w:sz w:val="18"/>
                <w:szCs w:val="18"/>
              </w:rPr>
            </w:pPr>
            <w:r w:rsidRPr="00AA3C78">
              <w:rPr>
                <w:rFonts w:ascii="Times New Roman" w:hAnsi="Times New Roman" w:cs="Times New Roman"/>
                <w:bCs/>
                <w:noProof/>
                <w:sz w:val="18"/>
                <w:szCs w:val="18"/>
              </w:rPr>
              <w:t>Not applicable (as at 2015)</w:t>
            </w:r>
          </w:p>
          <w:p w:rsidR="0034746B" w:rsidRPr="00AA3C78" w:rsidRDefault="0034746B" w:rsidP="00031C40">
            <w:pPr>
              <w:jc w:val="both"/>
              <w:rPr>
                <w:rFonts w:ascii="Times New Roman" w:hAnsi="Times New Roman" w:cs="Times New Roman"/>
                <w:noProof/>
                <w:sz w:val="18"/>
                <w:szCs w:val="18"/>
              </w:rPr>
            </w:pPr>
          </w:p>
        </w:tc>
      </w:tr>
    </w:tbl>
    <w:p w:rsidR="00AA3C78" w:rsidRDefault="00AA3C78" w:rsidP="00031C40">
      <w:pPr>
        <w:spacing w:after="0" w:line="240" w:lineRule="auto"/>
        <w:jc w:val="both"/>
        <w:rPr>
          <w:rFonts w:ascii="Times New Roman" w:hAnsi="Times New Roman" w:cs="Times New Roman"/>
        </w:rPr>
      </w:pPr>
    </w:p>
    <w:p w:rsidR="006B67B0" w:rsidRPr="00031C40" w:rsidRDefault="00161326" w:rsidP="00031C40">
      <w:pPr>
        <w:spacing w:after="0" w:line="240" w:lineRule="auto"/>
        <w:jc w:val="both"/>
        <w:rPr>
          <w:rFonts w:ascii="Times New Roman" w:hAnsi="Times New Roman" w:cs="Times New Roman"/>
          <w:noProof/>
          <w:color w:val="FF0000"/>
        </w:rPr>
      </w:pPr>
      <w:r w:rsidRPr="00031C40">
        <w:rPr>
          <w:rFonts w:ascii="Times New Roman" w:hAnsi="Times New Roman" w:cs="Times New Roman"/>
        </w:rPr>
        <w:t xml:space="preserve">The Nigeria’s electricity supply, </w:t>
      </w:r>
      <w:r w:rsidR="00C57D7C" w:rsidRPr="00031C40">
        <w:rPr>
          <w:rFonts w:ascii="Times New Roman" w:hAnsi="Times New Roman" w:cs="Times New Roman"/>
        </w:rPr>
        <w:t>b</w:t>
      </w:r>
      <w:r w:rsidRPr="00031C40">
        <w:rPr>
          <w:rFonts w:ascii="Times New Roman" w:hAnsi="Times New Roman" w:cs="Times New Roman"/>
        </w:rPr>
        <w:t xml:space="preserve">oth national grid and off-grid, </w:t>
      </w:r>
      <w:r w:rsidR="00C57D7C" w:rsidRPr="00031C40">
        <w:rPr>
          <w:rFonts w:ascii="Times New Roman" w:hAnsi="Times New Roman" w:cs="Times New Roman"/>
        </w:rPr>
        <w:t xml:space="preserve">are </w:t>
      </w:r>
      <w:r w:rsidRPr="00031C40">
        <w:rPr>
          <w:rFonts w:ascii="Times New Roman" w:hAnsi="Times New Roman" w:cs="Times New Roman"/>
        </w:rPr>
        <w:t>present</w:t>
      </w:r>
      <w:r w:rsidR="00C57D7C" w:rsidRPr="00031C40">
        <w:rPr>
          <w:rFonts w:ascii="Times New Roman" w:hAnsi="Times New Roman" w:cs="Times New Roman"/>
        </w:rPr>
        <w:t>ly</w:t>
      </w:r>
      <w:r w:rsidRPr="00031C40">
        <w:rPr>
          <w:rFonts w:ascii="Times New Roman" w:hAnsi="Times New Roman" w:cs="Times New Roman"/>
        </w:rPr>
        <w:t xml:space="preserve"> entirely dependent on fossil based </w:t>
      </w:r>
      <w:r w:rsidR="00C57D7C" w:rsidRPr="00031C40">
        <w:rPr>
          <w:rFonts w:ascii="Times New Roman" w:hAnsi="Times New Roman" w:cs="Times New Roman"/>
        </w:rPr>
        <w:t xml:space="preserve">(natural gas, PMS, AGO) </w:t>
      </w:r>
      <w:r w:rsidRPr="00031C40">
        <w:rPr>
          <w:rFonts w:ascii="Times New Roman" w:hAnsi="Times New Roman" w:cs="Times New Roman"/>
        </w:rPr>
        <w:t xml:space="preserve">fuels about 99 % (Table 5), which are highly polluting and the resources are fast depleting. </w:t>
      </w:r>
      <w:r w:rsidR="00117F69" w:rsidRPr="00031C40">
        <w:rPr>
          <w:rFonts w:ascii="Times New Roman" w:hAnsi="Times New Roman" w:cs="Times New Roman"/>
        </w:rPr>
        <w:t xml:space="preserve">The </w:t>
      </w:r>
      <w:r w:rsidRPr="00031C40">
        <w:rPr>
          <w:rFonts w:ascii="Times New Roman" w:hAnsi="Times New Roman" w:cs="Times New Roman"/>
        </w:rPr>
        <w:t xml:space="preserve">current nation’s electricity provision </w:t>
      </w:r>
      <w:r w:rsidR="00117F69" w:rsidRPr="00031C40">
        <w:rPr>
          <w:rFonts w:ascii="Times New Roman" w:hAnsi="Times New Roman" w:cs="Times New Roman"/>
        </w:rPr>
        <w:t>is short of the electricity demand in t</w:t>
      </w:r>
      <w:r w:rsidRPr="00031C40">
        <w:rPr>
          <w:rFonts w:ascii="Times New Roman" w:hAnsi="Times New Roman" w:cs="Times New Roman"/>
        </w:rPr>
        <w:t xml:space="preserve">he country. The present average </w:t>
      </w:r>
      <w:r w:rsidR="00117F69" w:rsidRPr="00031C40">
        <w:rPr>
          <w:rFonts w:ascii="Times New Roman" w:hAnsi="Times New Roman" w:cs="Times New Roman"/>
        </w:rPr>
        <w:t xml:space="preserve">national grid </w:t>
      </w:r>
      <w:r w:rsidRPr="00031C40">
        <w:rPr>
          <w:rFonts w:ascii="Times New Roman" w:hAnsi="Times New Roman" w:cs="Times New Roman"/>
        </w:rPr>
        <w:t xml:space="preserve">power </w:t>
      </w:r>
      <w:r w:rsidR="00117F69" w:rsidRPr="00031C40">
        <w:rPr>
          <w:rFonts w:ascii="Times New Roman" w:hAnsi="Times New Roman" w:cs="Times New Roman"/>
        </w:rPr>
        <w:t xml:space="preserve">generation is </w:t>
      </w:r>
      <w:r w:rsidR="00C57D7C" w:rsidRPr="00031C40">
        <w:rPr>
          <w:rFonts w:ascii="Times New Roman" w:hAnsi="Times New Roman" w:cs="Times New Roman"/>
        </w:rPr>
        <w:t xml:space="preserve">about </w:t>
      </w:r>
      <w:r w:rsidR="007D2AA1" w:rsidRPr="00031C40">
        <w:rPr>
          <w:rFonts w:ascii="Times New Roman" w:hAnsi="Times New Roman" w:cs="Times New Roman"/>
        </w:rPr>
        <w:t xml:space="preserve">21 </w:t>
      </w:r>
      <w:r w:rsidRPr="00031C40">
        <w:rPr>
          <w:rFonts w:ascii="Times New Roman" w:hAnsi="Times New Roman" w:cs="Times New Roman"/>
        </w:rPr>
        <w:t>%</w:t>
      </w:r>
      <w:r w:rsidR="007D2AA1" w:rsidRPr="00031C40">
        <w:rPr>
          <w:rFonts w:ascii="Times New Roman" w:hAnsi="Times New Roman" w:cs="Times New Roman"/>
        </w:rPr>
        <w:t xml:space="preserve"> (</w:t>
      </w:r>
      <w:r w:rsidR="00117F69" w:rsidRPr="00031C40">
        <w:rPr>
          <w:rFonts w:ascii="Times New Roman" w:hAnsi="Times New Roman" w:cs="Times New Roman"/>
        </w:rPr>
        <w:t>7 GW</w:t>
      </w:r>
      <w:r w:rsidR="007D2AA1" w:rsidRPr="00031C40">
        <w:rPr>
          <w:rFonts w:ascii="Times New Roman" w:hAnsi="Times New Roman" w:cs="Times New Roman"/>
        </w:rPr>
        <w:t>) of the entire electricity consumption as at 2015 to 2020 (Table 1)</w:t>
      </w:r>
      <w:r w:rsidR="00117F69" w:rsidRPr="00031C40">
        <w:rPr>
          <w:rFonts w:ascii="Times New Roman" w:hAnsi="Times New Roman" w:cs="Times New Roman"/>
        </w:rPr>
        <w:t xml:space="preserve">. Growing or sustaining the available </w:t>
      </w:r>
      <w:r w:rsidR="007D2AA1" w:rsidRPr="00031C40">
        <w:rPr>
          <w:rFonts w:ascii="Times New Roman" w:hAnsi="Times New Roman" w:cs="Times New Roman"/>
        </w:rPr>
        <w:t xml:space="preserve">national grid </w:t>
      </w:r>
      <w:r w:rsidR="00117F69" w:rsidRPr="00031C40">
        <w:rPr>
          <w:rFonts w:ascii="Times New Roman" w:hAnsi="Times New Roman" w:cs="Times New Roman"/>
        </w:rPr>
        <w:t>capacity has been very difficult</w:t>
      </w:r>
      <w:r w:rsidR="00C57D7C" w:rsidRPr="00031C40">
        <w:rPr>
          <w:rFonts w:ascii="Times New Roman" w:hAnsi="Times New Roman" w:cs="Times New Roman"/>
        </w:rPr>
        <w:t xml:space="preserve"> due to i</w:t>
      </w:r>
      <w:r w:rsidR="00117F69" w:rsidRPr="00031C40">
        <w:rPr>
          <w:rFonts w:ascii="Times New Roman" w:hAnsi="Times New Roman" w:cs="Times New Roman"/>
        </w:rPr>
        <w:t xml:space="preserve">nadequate supply of </w:t>
      </w:r>
      <w:r w:rsidR="00C57D7C" w:rsidRPr="00031C40">
        <w:rPr>
          <w:rFonts w:ascii="Times New Roman" w:hAnsi="Times New Roman" w:cs="Times New Roman"/>
        </w:rPr>
        <w:t xml:space="preserve">natural </w:t>
      </w:r>
      <w:r w:rsidR="00117F69" w:rsidRPr="00031C40">
        <w:rPr>
          <w:rFonts w:ascii="Times New Roman" w:hAnsi="Times New Roman" w:cs="Times New Roman"/>
        </w:rPr>
        <w:t>gas</w:t>
      </w:r>
      <w:r w:rsidR="00C57D7C" w:rsidRPr="00031C40">
        <w:rPr>
          <w:rFonts w:ascii="Times New Roman" w:hAnsi="Times New Roman" w:cs="Times New Roman"/>
        </w:rPr>
        <w:t>,</w:t>
      </w:r>
      <w:r w:rsidR="007D2AA1" w:rsidRPr="00031C40">
        <w:rPr>
          <w:rFonts w:ascii="Times New Roman" w:hAnsi="Times New Roman" w:cs="Times New Roman"/>
        </w:rPr>
        <w:t xml:space="preserve"> for</w:t>
      </w:r>
      <w:r w:rsidRPr="00031C40">
        <w:rPr>
          <w:rFonts w:ascii="Times New Roman" w:hAnsi="Times New Roman" w:cs="Times New Roman"/>
        </w:rPr>
        <w:t xml:space="preserve"> instance</w:t>
      </w:r>
      <w:r w:rsidR="00C57D7C" w:rsidRPr="00031C40">
        <w:rPr>
          <w:rFonts w:ascii="Times New Roman" w:hAnsi="Times New Roman" w:cs="Times New Roman"/>
        </w:rPr>
        <w:t>,</w:t>
      </w:r>
      <w:r w:rsidRPr="00031C40">
        <w:rPr>
          <w:rFonts w:ascii="Times New Roman" w:hAnsi="Times New Roman" w:cs="Times New Roman"/>
        </w:rPr>
        <w:t xml:space="preserve"> </w:t>
      </w:r>
      <w:r w:rsidR="00117F69" w:rsidRPr="00031C40">
        <w:rPr>
          <w:rFonts w:ascii="Times New Roman" w:hAnsi="Times New Roman" w:cs="Times New Roman"/>
        </w:rPr>
        <w:t xml:space="preserve">for the thermal plants due to </w:t>
      </w:r>
      <w:r w:rsidR="00117F69" w:rsidRPr="008560AA">
        <w:rPr>
          <w:rFonts w:ascii="Times New Roman" w:hAnsi="Times New Roman" w:cs="Times New Roman"/>
        </w:rPr>
        <w:t xml:space="preserve">either shortage </w:t>
      </w:r>
      <w:r w:rsidR="00C57D7C" w:rsidRPr="008560AA">
        <w:rPr>
          <w:rFonts w:ascii="Times New Roman" w:hAnsi="Times New Roman" w:cs="Times New Roman"/>
        </w:rPr>
        <w:t xml:space="preserve">of </w:t>
      </w:r>
      <w:r w:rsidR="007D2AA1" w:rsidRPr="008560AA">
        <w:rPr>
          <w:rFonts w:ascii="Times New Roman" w:hAnsi="Times New Roman" w:cs="Times New Roman"/>
        </w:rPr>
        <w:t xml:space="preserve">gas </w:t>
      </w:r>
      <w:r w:rsidR="00117F69" w:rsidRPr="008560AA">
        <w:rPr>
          <w:rFonts w:ascii="Times New Roman" w:hAnsi="Times New Roman" w:cs="Times New Roman"/>
        </w:rPr>
        <w:t xml:space="preserve">or </w:t>
      </w:r>
      <w:r w:rsidR="007D2AA1" w:rsidRPr="008560AA">
        <w:rPr>
          <w:rFonts w:ascii="Times New Roman" w:hAnsi="Times New Roman" w:cs="Times New Roman"/>
        </w:rPr>
        <w:t xml:space="preserve">gas </w:t>
      </w:r>
      <w:r w:rsidR="00117F69" w:rsidRPr="008560AA">
        <w:rPr>
          <w:rFonts w:ascii="Times New Roman" w:hAnsi="Times New Roman" w:cs="Times New Roman"/>
        </w:rPr>
        <w:t>pipeline</w:t>
      </w:r>
      <w:r w:rsidR="007D2AA1" w:rsidRPr="008560AA">
        <w:rPr>
          <w:rFonts w:ascii="Times New Roman" w:hAnsi="Times New Roman" w:cs="Times New Roman"/>
        </w:rPr>
        <w:t>s</w:t>
      </w:r>
      <w:r w:rsidR="00117F69" w:rsidRPr="008560AA">
        <w:rPr>
          <w:rFonts w:ascii="Times New Roman" w:hAnsi="Times New Roman" w:cs="Times New Roman"/>
        </w:rPr>
        <w:t xml:space="preserve"> vandalization</w:t>
      </w:r>
      <w:r w:rsidR="00C57D7C" w:rsidRPr="008560AA">
        <w:rPr>
          <w:rFonts w:ascii="Times New Roman" w:hAnsi="Times New Roman" w:cs="Times New Roman"/>
        </w:rPr>
        <w:t>,</w:t>
      </w:r>
      <w:r w:rsidR="00117F69" w:rsidRPr="008560AA">
        <w:rPr>
          <w:rFonts w:ascii="Times New Roman" w:hAnsi="Times New Roman" w:cs="Times New Roman"/>
        </w:rPr>
        <w:t xml:space="preserve"> has not allowed full utilization of </w:t>
      </w:r>
      <w:r w:rsidR="00024D8F" w:rsidRPr="008560AA">
        <w:rPr>
          <w:rFonts w:ascii="Times New Roman" w:hAnsi="Times New Roman" w:cs="Times New Roman"/>
        </w:rPr>
        <w:t xml:space="preserve">total installed </w:t>
      </w:r>
      <w:r w:rsidR="00117F69" w:rsidRPr="008560AA">
        <w:rPr>
          <w:rFonts w:ascii="Times New Roman" w:hAnsi="Times New Roman" w:cs="Times New Roman"/>
        </w:rPr>
        <w:t>capacity</w:t>
      </w:r>
      <w:r w:rsidR="00024D8F" w:rsidRPr="008560AA">
        <w:rPr>
          <w:rFonts w:ascii="Times New Roman" w:hAnsi="Times New Roman" w:cs="Times New Roman"/>
        </w:rPr>
        <w:t xml:space="preserve"> of 18 GW</w:t>
      </w:r>
      <w:r w:rsidR="00117F69" w:rsidRPr="008560AA">
        <w:rPr>
          <w:rFonts w:ascii="Times New Roman" w:hAnsi="Times New Roman" w:cs="Times New Roman"/>
        </w:rPr>
        <w:t xml:space="preserve">. </w:t>
      </w:r>
    </w:p>
    <w:p w:rsidR="006B67B0" w:rsidRPr="00031C40" w:rsidRDefault="006B67B0" w:rsidP="00031C40">
      <w:pPr>
        <w:spacing w:after="0" w:line="240" w:lineRule="auto"/>
        <w:jc w:val="both"/>
        <w:rPr>
          <w:rFonts w:ascii="Times New Roman" w:hAnsi="Times New Roman" w:cs="Times New Roman"/>
          <w:noProof/>
        </w:rPr>
      </w:pPr>
    </w:p>
    <w:p w:rsidR="0032428E" w:rsidRPr="00031C40" w:rsidRDefault="00366E1C" w:rsidP="00031C40">
      <w:pPr>
        <w:spacing w:after="0" w:line="240" w:lineRule="auto"/>
        <w:jc w:val="both"/>
        <w:rPr>
          <w:rFonts w:ascii="Times New Roman" w:hAnsi="Times New Roman" w:cs="Times New Roman"/>
        </w:rPr>
      </w:pPr>
      <w:r w:rsidRPr="00031C40">
        <w:rPr>
          <w:rFonts w:ascii="Times New Roman" w:hAnsi="Times New Roman" w:cs="Times New Roman"/>
          <w:noProof/>
        </w:rPr>
        <w:t xml:space="preserve">Table </w:t>
      </w:r>
      <w:r w:rsidR="00161326" w:rsidRPr="00031C40">
        <w:rPr>
          <w:rFonts w:ascii="Times New Roman" w:hAnsi="Times New Roman" w:cs="Times New Roman"/>
          <w:noProof/>
        </w:rPr>
        <w:t>5</w:t>
      </w:r>
      <w:r w:rsidRPr="00031C40">
        <w:rPr>
          <w:rFonts w:ascii="Times New Roman" w:hAnsi="Times New Roman" w:cs="Times New Roman"/>
          <w:noProof/>
        </w:rPr>
        <w:t xml:space="preserve">: </w:t>
      </w:r>
      <w:r w:rsidRPr="00031C40">
        <w:rPr>
          <w:rFonts w:ascii="Times New Roman" w:hAnsi="Times New Roman" w:cs="Times New Roman"/>
        </w:rPr>
        <w:t>Electricity supply, BAU</w:t>
      </w:r>
    </w:p>
    <w:tbl>
      <w:tblPr>
        <w:tblStyle w:val="TableGrid"/>
        <w:tblpPr w:leftFromText="180" w:rightFromText="180" w:vertAnchor="text" w:horzAnchor="margin" w:tblpY="20"/>
        <w:tblW w:w="10118" w:type="dxa"/>
        <w:tblLook w:val="04A0" w:firstRow="1" w:lastRow="0" w:firstColumn="1" w:lastColumn="0" w:noHBand="0" w:noVBand="1"/>
      </w:tblPr>
      <w:tblGrid>
        <w:gridCol w:w="1958"/>
        <w:gridCol w:w="816"/>
        <w:gridCol w:w="816"/>
        <w:gridCol w:w="816"/>
        <w:gridCol w:w="816"/>
        <w:gridCol w:w="816"/>
        <w:gridCol w:w="816"/>
        <w:gridCol w:w="816"/>
        <w:gridCol w:w="816"/>
        <w:gridCol w:w="816"/>
        <w:gridCol w:w="816"/>
      </w:tblGrid>
      <w:tr w:rsidR="002B4745" w:rsidRPr="00AB7BA1" w:rsidTr="002B4745">
        <w:trPr>
          <w:trHeight w:val="242"/>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Year</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2015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2030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2035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2040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2045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2060</w:t>
            </w:r>
          </w:p>
        </w:tc>
      </w:tr>
      <w:tr w:rsidR="002B4745" w:rsidRPr="00AB7BA1" w:rsidTr="002B4745">
        <w:trPr>
          <w:trHeight w:val="224"/>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Biomass &amp; Waste CCS</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3.87E-08</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r>
      <w:tr w:rsidR="002B4745" w:rsidRPr="00AB7BA1" w:rsidTr="002B4745">
        <w:trPr>
          <w:trHeight w:val="178"/>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Nuclear</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19.50435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31.20696</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46.81044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62.41392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62.41392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78.0174</w:t>
            </w:r>
          </w:p>
        </w:tc>
      </w:tr>
      <w:tr w:rsidR="002B4745" w:rsidRPr="00AB7BA1" w:rsidTr="002B4745">
        <w:trPr>
          <w:trHeight w:val="168"/>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Wind</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0.000111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0.00036</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1.014136</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1.390682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2.398041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2.516061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3.237975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4.121431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4.945717</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5.770004</w:t>
            </w:r>
          </w:p>
        </w:tc>
      </w:tr>
      <w:tr w:rsidR="002B4745" w:rsidRPr="00AB7BA1" w:rsidTr="002B4745">
        <w:trPr>
          <w:trHeight w:val="252"/>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Solar</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0.009529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0.963105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12.03857</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21.66943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25.41218</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25.253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31.17655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37.41186</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43.64717</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49.88248</w:t>
            </w:r>
          </w:p>
        </w:tc>
      </w:tr>
      <w:tr w:rsidR="002B4745" w:rsidRPr="00AB7BA1" w:rsidTr="002B4745">
        <w:trPr>
          <w:trHeight w:val="199"/>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Hydro</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1.562774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6.122405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8.984029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12.80564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17.19775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23.69449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23.46668</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22.74129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24.75353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22.28738</w:t>
            </w:r>
          </w:p>
        </w:tc>
      </w:tr>
      <w:tr w:rsidR="002B4745" w:rsidRPr="00AB7BA1" w:rsidTr="002B4745">
        <w:trPr>
          <w:trHeight w:val="178"/>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Biomass &amp; Waste</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7.550094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7.360938</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8.19022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7.300199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7.23945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7.876351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9.125747</w:t>
            </w:r>
          </w:p>
        </w:tc>
      </w:tr>
      <w:tr w:rsidR="002B4745" w:rsidRPr="00AB7BA1" w:rsidTr="002B4745">
        <w:trPr>
          <w:trHeight w:val="263"/>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Hydrogen</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r>
      <w:tr w:rsidR="002B4745" w:rsidRPr="00AB7BA1" w:rsidTr="002B4745">
        <w:trPr>
          <w:trHeight w:val="210"/>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Gas CCS</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r>
      <w:tr w:rsidR="002B4745" w:rsidRPr="00AB7BA1" w:rsidTr="002B4745">
        <w:trPr>
          <w:trHeight w:val="161"/>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proofErr w:type="spellStart"/>
            <w:r w:rsidRPr="00AB7BA1">
              <w:rPr>
                <w:rFonts w:ascii="Times New Roman" w:eastAsia="Times New Roman" w:hAnsi="Times New Roman" w:cs="Times New Roman"/>
                <w:color w:val="000000"/>
                <w:sz w:val="16"/>
                <w:szCs w:val="16"/>
              </w:rPr>
              <w:t>Liguid</w:t>
            </w:r>
            <w:proofErr w:type="spellEnd"/>
            <w:r w:rsidRPr="00AB7BA1">
              <w:rPr>
                <w:rFonts w:ascii="Times New Roman" w:eastAsia="Times New Roman" w:hAnsi="Times New Roman" w:cs="Times New Roman"/>
                <w:color w:val="000000"/>
                <w:sz w:val="16"/>
                <w:szCs w:val="16"/>
              </w:rPr>
              <w:t xml:space="preserve"> &amp; Gaseous Fossils </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173.2963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167.4825</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158.0391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172.6561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190.2106</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207.7372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237.9202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270.5437</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295.576</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309.5511</w:t>
            </w:r>
          </w:p>
        </w:tc>
      </w:tr>
      <w:tr w:rsidR="002B4745" w:rsidRPr="00AB7BA1" w:rsidTr="002B4745">
        <w:trPr>
          <w:trHeight w:val="199"/>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Net Imports</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23.54232</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15.69488</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7.84744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r>
      <w:tr w:rsidR="002B4745" w:rsidRPr="00AB7BA1" w:rsidTr="002B4745">
        <w:trPr>
          <w:trHeight w:val="231"/>
        </w:trPr>
        <w:tc>
          <w:tcPr>
            <w:tcW w:w="1958"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Total</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174.891</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174.5683</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180.0758</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216.0719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285.6374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314.304</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357.7707</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404.4829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439.2239</w:t>
            </w:r>
          </w:p>
        </w:tc>
        <w:tc>
          <w:tcPr>
            <w:tcW w:w="816" w:type="dxa"/>
            <w:noWrap/>
            <w:hideMark/>
          </w:tcPr>
          <w:p w:rsidR="002B4745" w:rsidRPr="00AB7BA1" w:rsidRDefault="002B4745" w:rsidP="00031C40">
            <w:pPr>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474.6453</w:t>
            </w:r>
          </w:p>
        </w:tc>
      </w:tr>
    </w:tbl>
    <w:p w:rsidR="0032428E" w:rsidRPr="00AB7BA1" w:rsidRDefault="0032428E" w:rsidP="00031C40">
      <w:pPr>
        <w:spacing w:after="0" w:line="240" w:lineRule="auto"/>
        <w:jc w:val="both"/>
        <w:rPr>
          <w:rFonts w:ascii="Times New Roman" w:hAnsi="Times New Roman" w:cs="Times New Roman"/>
          <w:noProof/>
          <w:sz w:val="16"/>
          <w:szCs w:val="16"/>
        </w:rPr>
      </w:pPr>
    </w:p>
    <w:p w:rsidR="00031C40" w:rsidRPr="00AB7BA1" w:rsidRDefault="00031C40" w:rsidP="00031C40">
      <w:pPr>
        <w:jc w:val="both"/>
        <w:rPr>
          <w:rFonts w:ascii="Times New Roman" w:hAnsi="Times New Roman" w:cs="Times New Roman"/>
          <w:sz w:val="16"/>
          <w:szCs w:val="16"/>
        </w:rPr>
      </w:pPr>
    </w:p>
    <w:p w:rsidR="00031C40" w:rsidRPr="00031C40" w:rsidRDefault="00031C40" w:rsidP="00031C40">
      <w:pPr>
        <w:spacing w:after="0" w:line="240" w:lineRule="auto"/>
        <w:jc w:val="both"/>
        <w:rPr>
          <w:rFonts w:ascii="Times New Roman" w:hAnsi="Times New Roman" w:cs="Times New Roman"/>
        </w:rPr>
      </w:pPr>
      <w:r w:rsidRPr="00031C40">
        <w:rPr>
          <w:rFonts w:ascii="Times New Roman" w:hAnsi="Times New Roman" w:cs="Times New Roman"/>
          <w:noProof/>
        </w:rPr>
        <w:drawing>
          <wp:inline distT="0" distB="0" distL="0" distR="0" wp14:anchorId="0E964B2A" wp14:editId="36CE3FFC">
            <wp:extent cx="5290457" cy="2351314"/>
            <wp:effectExtent l="0" t="0" r="571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1C40" w:rsidRPr="00031C40" w:rsidRDefault="00031C40" w:rsidP="00031C40">
      <w:pPr>
        <w:spacing w:after="0" w:line="240" w:lineRule="auto"/>
        <w:jc w:val="both"/>
        <w:rPr>
          <w:rFonts w:ascii="Times New Roman" w:eastAsia="Calibri" w:hAnsi="Times New Roman" w:cs="Times New Roman"/>
        </w:rPr>
      </w:pPr>
      <w:r w:rsidRPr="00031C40">
        <w:rPr>
          <w:rFonts w:ascii="Times New Roman" w:eastAsia="Calibri" w:hAnsi="Times New Roman" w:cs="Times New Roman"/>
        </w:rPr>
        <w:t>Fig. 4: Electricity Supply, BAU</w:t>
      </w:r>
    </w:p>
    <w:p w:rsidR="00031C40" w:rsidRPr="00031C40" w:rsidRDefault="00031C40" w:rsidP="00031C40">
      <w:pPr>
        <w:jc w:val="both"/>
        <w:rPr>
          <w:rFonts w:ascii="Times New Roman" w:hAnsi="Times New Roman" w:cs="Times New Roman"/>
        </w:rPr>
      </w:pPr>
    </w:p>
    <w:p w:rsidR="00031C40" w:rsidRPr="00031C40" w:rsidRDefault="005B2C9B" w:rsidP="00031C40">
      <w:pPr>
        <w:jc w:val="both"/>
        <w:rPr>
          <w:rFonts w:ascii="Times New Roman" w:hAnsi="Times New Roman" w:cs="Times New Roman"/>
        </w:rPr>
      </w:pPr>
      <w:r w:rsidRPr="00031C40">
        <w:rPr>
          <w:rFonts w:ascii="Times New Roman" w:hAnsi="Times New Roman" w:cs="Times New Roman"/>
        </w:rPr>
        <w:t>Table 5 is a summary of the Electricity supply strategies based on economic activities at business as usual 7% growth rate, demand for electricity is expected to vary from 174.8 TWh in the base year to 474.6 TWh by 2060</w:t>
      </w:r>
      <w:r w:rsidR="003961F7" w:rsidRPr="00031C40">
        <w:rPr>
          <w:rFonts w:ascii="Times New Roman" w:hAnsi="Times New Roman" w:cs="Times New Roman"/>
        </w:rPr>
        <w:t xml:space="preserve">. Electricity generation in this scenario will be </w:t>
      </w:r>
      <w:r w:rsidR="004F7149" w:rsidRPr="00031C40">
        <w:rPr>
          <w:rFonts w:ascii="Times New Roman" w:hAnsi="Times New Roman" w:cs="Times New Roman"/>
        </w:rPr>
        <w:t xml:space="preserve">of </w:t>
      </w:r>
      <w:r w:rsidR="003961F7" w:rsidRPr="00031C40">
        <w:rPr>
          <w:rFonts w:ascii="Times New Roman" w:hAnsi="Times New Roman" w:cs="Times New Roman"/>
        </w:rPr>
        <w:t>highly CO</w:t>
      </w:r>
      <w:r w:rsidR="003961F7" w:rsidRPr="00031C40">
        <w:rPr>
          <w:rFonts w:ascii="Times New Roman" w:hAnsi="Times New Roman" w:cs="Times New Roman"/>
          <w:vertAlign w:val="subscript"/>
        </w:rPr>
        <w:t>2</w:t>
      </w:r>
      <w:r w:rsidR="003961F7" w:rsidRPr="00031C40">
        <w:rPr>
          <w:rFonts w:ascii="Times New Roman" w:hAnsi="Times New Roman" w:cs="Times New Roman"/>
          <w:vertAlign w:val="subscript"/>
        </w:rPr>
        <w:softHyphen/>
        <w:t xml:space="preserve"> </w:t>
      </w:r>
      <w:r w:rsidR="003961F7" w:rsidRPr="00031C40">
        <w:rPr>
          <w:rFonts w:ascii="Times New Roman" w:hAnsi="Times New Roman" w:cs="Times New Roman"/>
          <w:vertAlign w:val="subscript"/>
        </w:rPr>
        <w:softHyphen/>
      </w:r>
      <w:r w:rsidR="003961F7" w:rsidRPr="00031C40">
        <w:rPr>
          <w:rFonts w:ascii="Times New Roman" w:hAnsi="Times New Roman" w:cs="Times New Roman"/>
        </w:rPr>
        <w:t>generation, creating continues global warming at base year, there was a generation of 69 MtCO</w:t>
      </w:r>
      <w:r w:rsidR="003961F7" w:rsidRPr="00031C40">
        <w:rPr>
          <w:rFonts w:ascii="Times New Roman" w:hAnsi="Times New Roman" w:cs="Times New Roman"/>
          <w:vertAlign w:val="subscript"/>
        </w:rPr>
        <w:t xml:space="preserve">2 </w:t>
      </w:r>
      <w:r w:rsidR="003961F7" w:rsidRPr="00031C40">
        <w:rPr>
          <w:rFonts w:ascii="Times New Roman" w:hAnsi="Times New Roman" w:cs="Times New Roman"/>
        </w:rPr>
        <w:t>to the atmosphere and it will continue to rise to 130.8 MtCO</w:t>
      </w:r>
      <w:r w:rsidR="003961F7" w:rsidRPr="00031C40">
        <w:rPr>
          <w:rFonts w:ascii="Times New Roman" w:hAnsi="Times New Roman" w:cs="Times New Roman"/>
          <w:vertAlign w:val="subscript"/>
        </w:rPr>
        <w:t>2</w:t>
      </w:r>
      <w:r w:rsidR="006D3D4D" w:rsidRPr="00031C40">
        <w:rPr>
          <w:rFonts w:ascii="Times New Roman" w:hAnsi="Times New Roman" w:cs="Times New Roman"/>
        </w:rPr>
        <w:t xml:space="preserve"> (Fig. 3)</w:t>
      </w:r>
      <w:r w:rsidRPr="00031C40">
        <w:rPr>
          <w:rFonts w:ascii="Times New Roman" w:hAnsi="Times New Roman" w:cs="Times New Roman"/>
        </w:rPr>
        <w:t>.</w:t>
      </w:r>
      <w:r w:rsidR="003961F7" w:rsidRPr="00031C40">
        <w:rPr>
          <w:rFonts w:ascii="Times New Roman" w:hAnsi="Times New Roman" w:cs="Times New Roman"/>
        </w:rPr>
        <w:t xml:space="preserve"> </w:t>
      </w:r>
    </w:p>
    <w:p w:rsidR="00031C40" w:rsidRPr="00031C40" w:rsidRDefault="00031C40" w:rsidP="00031C40">
      <w:pPr>
        <w:spacing w:after="0" w:line="240" w:lineRule="auto"/>
        <w:jc w:val="both"/>
        <w:rPr>
          <w:rFonts w:ascii="Times New Roman" w:hAnsi="Times New Roman" w:cs="Times New Roman"/>
        </w:rPr>
      </w:pPr>
      <w:r w:rsidRPr="00031C40">
        <w:rPr>
          <w:rFonts w:ascii="Times New Roman" w:eastAsia="Calibri" w:hAnsi="Times New Roman" w:cs="Times New Roman"/>
          <w:noProof/>
        </w:rPr>
        <w:drawing>
          <wp:inline distT="0" distB="0" distL="0" distR="0" wp14:anchorId="21797175" wp14:editId="4B02696C">
            <wp:extent cx="4986655" cy="19507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1950720"/>
                    </a:xfrm>
                    <a:prstGeom prst="rect">
                      <a:avLst/>
                    </a:prstGeom>
                    <a:noFill/>
                  </pic:spPr>
                </pic:pic>
              </a:graphicData>
            </a:graphic>
          </wp:inline>
        </w:drawing>
      </w:r>
    </w:p>
    <w:p w:rsidR="00031C40" w:rsidRPr="00031C40" w:rsidRDefault="00031C40" w:rsidP="00031C40">
      <w:pPr>
        <w:spacing w:after="0" w:line="240" w:lineRule="auto"/>
        <w:jc w:val="both"/>
        <w:rPr>
          <w:rFonts w:ascii="Times New Roman" w:eastAsia="Calibri" w:hAnsi="Times New Roman" w:cs="Times New Roman"/>
        </w:rPr>
      </w:pPr>
      <w:r w:rsidRPr="00031C40">
        <w:rPr>
          <w:rFonts w:ascii="Times New Roman" w:eastAsia="Times New Roman" w:hAnsi="Times New Roman" w:cs="Times New Roman"/>
          <w:color w:val="000000"/>
        </w:rPr>
        <w:t>Fig. 3: Emissions from Electricity Generation (MtCO</w:t>
      </w:r>
      <w:r w:rsidRPr="00031C40">
        <w:rPr>
          <w:rFonts w:ascii="Times New Roman" w:eastAsia="Times New Roman" w:hAnsi="Times New Roman" w:cs="Times New Roman"/>
          <w:color w:val="000000"/>
          <w:vertAlign w:val="subscript"/>
        </w:rPr>
        <w:t>2</w:t>
      </w:r>
      <w:r w:rsidRPr="00031C40">
        <w:rPr>
          <w:rFonts w:ascii="Times New Roman" w:eastAsia="Times New Roman" w:hAnsi="Times New Roman" w:cs="Times New Roman"/>
          <w:color w:val="000000"/>
        </w:rPr>
        <w:t>/</w:t>
      </w:r>
      <w:proofErr w:type="spellStart"/>
      <w:r w:rsidRPr="00031C40">
        <w:rPr>
          <w:rFonts w:ascii="Times New Roman" w:eastAsia="Times New Roman" w:hAnsi="Times New Roman" w:cs="Times New Roman"/>
          <w:color w:val="000000"/>
        </w:rPr>
        <w:t>yr</w:t>
      </w:r>
      <w:proofErr w:type="spellEnd"/>
      <w:r w:rsidRPr="00031C40">
        <w:rPr>
          <w:rFonts w:ascii="Times New Roman" w:eastAsia="Times New Roman" w:hAnsi="Times New Roman" w:cs="Times New Roman"/>
          <w:color w:val="000000"/>
        </w:rPr>
        <w:t>) BAU</w:t>
      </w:r>
    </w:p>
    <w:p w:rsidR="00031C40" w:rsidRPr="00031C40" w:rsidRDefault="00031C40" w:rsidP="00031C40">
      <w:pPr>
        <w:jc w:val="both"/>
        <w:rPr>
          <w:rFonts w:ascii="Times New Roman" w:hAnsi="Times New Roman" w:cs="Times New Roman"/>
        </w:rPr>
      </w:pPr>
    </w:p>
    <w:p w:rsidR="00077212" w:rsidRPr="00031C40" w:rsidRDefault="003961F7" w:rsidP="00031C40">
      <w:pPr>
        <w:jc w:val="both"/>
        <w:rPr>
          <w:rFonts w:ascii="Times New Roman" w:hAnsi="Times New Roman" w:cs="Times New Roman"/>
        </w:rPr>
      </w:pPr>
      <w:r w:rsidRPr="00031C40">
        <w:rPr>
          <w:rFonts w:ascii="Times New Roman" w:hAnsi="Times New Roman" w:cs="Times New Roman"/>
        </w:rPr>
        <w:t>It was also observed that emission of CO</w:t>
      </w:r>
      <w:r w:rsidRPr="00031C40">
        <w:rPr>
          <w:rFonts w:ascii="Times New Roman" w:hAnsi="Times New Roman" w:cs="Times New Roman"/>
          <w:vertAlign w:val="subscript"/>
        </w:rPr>
        <w:t>2</w:t>
      </w:r>
      <w:r w:rsidRPr="00031C40">
        <w:rPr>
          <w:rFonts w:ascii="Times New Roman" w:hAnsi="Times New Roman" w:cs="Times New Roman"/>
        </w:rPr>
        <w:t xml:space="preserve"> </w:t>
      </w:r>
      <w:r w:rsidR="00425028" w:rsidRPr="00031C40">
        <w:rPr>
          <w:rFonts w:ascii="Times New Roman" w:hAnsi="Times New Roman" w:cs="Times New Roman"/>
        </w:rPr>
        <w:t xml:space="preserve">between </w:t>
      </w:r>
      <w:r w:rsidRPr="00031C40">
        <w:rPr>
          <w:rFonts w:ascii="Times New Roman" w:hAnsi="Times New Roman" w:cs="Times New Roman"/>
        </w:rPr>
        <w:t xml:space="preserve">2020 </w:t>
      </w:r>
      <w:r w:rsidR="00425028" w:rsidRPr="00031C40">
        <w:rPr>
          <w:rFonts w:ascii="Times New Roman" w:hAnsi="Times New Roman" w:cs="Times New Roman"/>
        </w:rPr>
        <w:t xml:space="preserve">and 2025 </w:t>
      </w:r>
      <w:r w:rsidRPr="00031C40">
        <w:rPr>
          <w:rFonts w:ascii="Times New Roman" w:hAnsi="Times New Roman" w:cs="Times New Roman"/>
        </w:rPr>
        <w:t>w</w:t>
      </w:r>
      <w:r w:rsidR="00425028" w:rsidRPr="00031C40">
        <w:rPr>
          <w:rFonts w:ascii="Times New Roman" w:hAnsi="Times New Roman" w:cs="Times New Roman"/>
        </w:rPr>
        <w:t xml:space="preserve">ould be </w:t>
      </w:r>
      <w:r w:rsidRPr="00031C40">
        <w:rPr>
          <w:rFonts w:ascii="Times New Roman" w:hAnsi="Times New Roman" w:cs="Times New Roman"/>
        </w:rPr>
        <w:t>reduced to 63</w:t>
      </w:r>
      <w:r w:rsidR="005B2C9B" w:rsidRPr="00031C40">
        <w:rPr>
          <w:rFonts w:ascii="Times New Roman" w:hAnsi="Times New Roman" w:cs="Times New Roman"/>
        </w:rPr>
        <w:t xml:space="preserve"> </w:t>
      </w:r>
      <w:r w:rsidRPr="00031C40">
        <w:rPr>
          <w:rFonts w:ascii="Times New Roman" w:hAnsi="Times New Roman" w:cs="Times New Roman"/>
        </w:rPr>
        <w:t>MtCO</w:t>
      </w:r>
      <w:r w:rsidRPr="00031C40">
        <w:rPr>
          <w:rFonts w:ascii="Times New Roman" w:hAnsi="Times New Roman" w:cs="Times New Roman"/>
          <w:vertAlign w:val="subscript"/>
        </w:rPr>
        <w:t>2</w:t>
      </w:r>
      <w:r w:rsidR="00425028" w:rsidRPr="00031C40">
        <w:rPr>
          <w:rFonts w:ascii="Times New Roman" w:hAnsi="Times New Roman" w:cs="Times New Roman"/>
          <w:vertAlign w:val="subscript"/>
        </w:rPr>
        <w:t xml:space="preserve"> </w:t>
      </w:r>
      <w:r w:rsidR="00425028" w:rsidRPr="00031C40">
        <w:rPr>
          <w:rFonts w:ascii="Times New Roman" w:hAnsi="Times New Roman" w:cs="Times New Roman"/>
        </w:rPr>
        <w:t>and 59.9 MtCO</w:t>
      </w:r>
      <w:r w:rsidR="00425028" w:rsidRPr="00031C40">
        <w:rPr>
          <w:rFonts w:ascii="Times New Roman" w:hAnsi="Times New Roman" w:cs="Times New Roman"/>
          <w:vertAlign w:val="subscript"/>
        </w:rPr>
        <w:t>2</w:t>
      </w:r>
      <w:r w:rsidR="008F4294" w:rsidRPr="00031C40">
        <w:rPr>
          <w:rFonts w:ascii="Times New Roman" w:hAnsi="Times New Roman" w:cs="Times New Roman"/>
        </w:rPr>
        <w:t>,</w:t>
      </w:r>
      <w:r w:rsidR="00425028" w:rsidRPr="00031C40">
        <w:rPr>
          <w:rFonts w:ascii="Times New Roman" w:hAnsi="Times New Roman" w:cs="Times New Roman"/>
        </w:rPr>
        <w:t xml:space="preserve"> respectively. This is based on shot</w:t>
      </w:r>
      <w:r w:rsidR="004B247E" w:rsidRPr="00031C40">
        <w:rPr>
          <w:rFonts w:ascii="Times New Roman" w:hAnsi="Times New Roman" w:cs="Times New Roman"/>
        </w:rPr>
        <w:t>-</w:t>
      </w:r>
      <w:r w:rsidR="00425028" w:rsidRPr="00031C40">
        <w:rPr>
          <w:rFonts w:ascii="Times New Roman" w:hAnsi="Times New Roman" w:cs="Times New Roman"/>
        </w:rPr>
        <w:t>down of activities during COVID-19</w:t>
      </w:r>
      <w:r w:rsidR="003D5FB5" w:rsidRPr="00031C40">
        <w:rPr>
          <w:rFonts w:ascii="Times New Roman" w:hAnsi="Times New Roman" w:cs="Times New Roman"/>
        </w:rPr>
        <w:t xml:space="preserve">, buy it would continue to rise after 2025 due to high involvement of fossils for </w:t>
      </w:r>
      <w:r w:rsidR="004B247E" w:rsidRPr="00031C40">
        <w:rPr>
          <w:rFonts w:ascii="Times New Roman" w:hAnsi="Times New Roman" w:cs="Times New Roman"/>
        </w:rPr>
        <w:t>business activities</w:t>
      </w:r>
      <w:r w:rsidR="006D3D4D" w:rsidRPr="00031C40">
        <w:rPr>
          <w:rFonts w:ascii="Times New Roman" w:hAnsi="Times New Roman" w:cs="Times New Roman"/>
        </w:rPr>
        <w:t xml:space="preserve"> (Fig. 3)</w:t>
      </w:r>
      <w:r w:rsidR="003D5FB5" w:rsidRPr="00031C40">
        <w:rPr>
          <w:rFonts w:ascii="Times New Roman" w:hAnsi="Times New Roman" w:cs="Times New Roman"/>
        </w:rPr>
        <w:t>. It was also observed that f</w:t>
      </w:r>
      <w:r w:rsidR="007012BE" w:rsidRPr="00031C40">
        <w:rPr>
          <w:rFonts w:ascii="Times New Roman" w:hAnsi="Times New Roman" w:cs="Times New Roman"/>
        </w:rPr>
        <w:t xml:space="preserve">ossil based fuels at base year formed 99 % of the supply while </w:t>
      </w:r>
      <w:r w:rsidR="003D5FB5" w:rsidRPr="00031C40">
        <w:rPr>
          <w:rFonts w:ascii="Times New Roman" w:hAnsi="Times New Roman" w:cs="Times New Roman"/>
        </w:rPr>
        <w:t xml:space="preserve">hydro </w:t>
      </w:r>
      <w:r w:rsidR="007012BE" w:rsidRPr="00031C40">
        <w:rPr>
          <w:rFonts w:ascii="Times New Roman" w:hAnsi="Times New Roman" w:cs="Times New Roman"/>
        </w:rPr>
        <w:t>made up the 1 %</w:t>
      </w:r>
      <w:r w:rsidRPr="00031C40">
        <w:rPr>
          <w:rFonts w:ascii="Times New Roman" w:hAnsi="Times New Roman" w:cs="Times New Roman"/>
        </w:rPr>
        <w:t xml:space="preserve">. </w:t>
      </w:r>
      <w:r w:rsidR="007012BE" w:rsidRPr="00031C40">
        <w:rPr>
          <w:rFonts w:ascii="Times New Roman" w:hAnsi="Times New Roman" w:cs="Times New Roman"/>
        </w:rPr>
        <w:t>By 2030, it is expected that</w:t>
      </w:r>
      <w:r w:rsidR="00DD67CF" w:rsidRPr="00031C40">
        <w:rPr>
          <w:rFonts w:ascii="Times New Roman" w:hAnsi="Times New Roman" w:cs="Times New Roman"/>
        </w:rPr>
        <w:t xml:space="preserve"> Fossil based electricity generation would be decreased to 67 %, hydro would improve to 6 % and other cleaner fuels would come up such as Solar, 10 %; wind, 1 %; biomass and </w:t>
      </w:r>
      <w:r w:rsidR="003D5FB5" w:rsidRPr="00031C40">
        <w:rPr>
          <w:rFonts w:ascii="Times New Roman" w:hAnsi="Times New Roman" w:cs="Times New Roman"/>
        </w:rPr>
        <w:t>wastes, 3 %</w:t>
      </w:r>
      <w:r w:rsidR="00AD4F71" w:rsidRPr="00031C40">
        <w:rPr>
          <w:rFonts w:ascii="Times New Roman" w:hAnsi="Times New Roman" w:cs="Times New Roman"/>
        </w:rPr>
        <w:t xml:space="preserve">, and by 2060, fossils based generation would be 65 %; hydro, 5 %; wind, 1%, solar, 11 %; </w:t>
      </w:r>
      <w:r w:rsidR="00944327" w:rsidRPr="00031C40">
        <w:rPr>
          <w:rFonts w:ascii="Times New Roman" w:hAnsi="Times New Roman" w:cs="Times New Roman"/>
        </w:rPr>
        <w:lastRenderedPageBreak/>
        <w:t>biomass</w:t>
      </w:r>
      <w:r w:rsidR="00AD4F71" w:rsidRPr="00031C40">
        <w:rPr>
          <w:rFonts w:ascii="Times New Roman" w:hAnsi="Times New Roman" w:cs="Times New Roman"/>
        </w:rPr>
        <w:t xml:space="preserve"> an</w:t>
      </w:r>
      <w:r w:rsidR="00944327" w:rsidRPr="00031C40">
        <w:rPr>
          <w:rFonts w:ascii="Times New Roman" w:hAnsi="Times New Roman" w:cs="Times New Roman"/>
        </w:rPr>
        <w:t>d</w:t>
      </w:r>
      <w:r w:rsidR="00AD4F71" w:rsidRPr="00031C40">
        <w:rPr>
          <w:rFonts w:ascii="Times New Roman" w:hAnsi="Times New Roman" w:cs="Times New Roman"/>
        </w:rPr>
        <w:t xml:space="preserve"> waste</w:t>
      </w:r>
      <w:r w:rsidR="00944327" w:rsidRPr="00031C40">
        <w:rPr>
          <w:rFonts w:ascii="Times New Roman" w:hAnsi="Times New Roman" w:cs="Times New Roman"/>
        </w:rPr>
        <w:t>s</w:t>
      </w:r>
      <w:r w:rsidR="00AD4F71" w:rsidRPr="00031C40">
        <w:rPr>
          <w:rFonts w:ascii="Times New Roman" w:hAnsi="Times New Roman" w:cs="Times New Roman"/>
        </w:rPr>
        <w:t xml:space="preserve">, </w:t>
      </w:r>
      <w:r w:rsidR="00944327" w:rsidRPr="00031C40">
        <w:rPr>
          <w:rFonts w:ascii="Times New Roman" w:hAnsi="Times New Roman" w:cs="Times New Roman"/>
        </w:rPr>
        <w:t>2%, this is demonstrated in Fig. . But because of volume of resources utilized, emission would continue to rise (Fig. 3)</w:t>
      </w:r>
      <w:r w:rsidR="003D5FB5" w:rsidRPr="00031C40">
        <w:rPr>
          <w:rFonts w:ascii="Times New Roman" w:hAnsi="Times New Roman" w:cs="Times New Roman"/>
        </w:rPr>
        <w:t xml:space="preserve">. </w:t>
      </w:r>
      <w:r w:rsidR="007012BE" w:rsidRPr="00031C40">
        <w:rPr>
          <w:rFonts w:ascii="Times New Roman" w:hAnsi="Times New Roman" w:cs="Times New Roman"/>
        </w:rPr>
        <w:t xml:space="preserve"> </w:t>
      </w:r>
    </w:p>
    <w:p w:rsidR="00031C40" w:rsidRPr="00031C40" w:rsidRDefault="00031C40" w:rsidP="00031C40">
      <w:pPr>
        <w:spacing w:after="0" w:line="240" w:lineRule="auto"/>
        <w:jc w:val="both"/>
        <w:rPr>
          <w:rFonts w:ascii="Times New Roman" w:eastAsia="Calibri" w:hAnsi="Times New Roman" w:cs="Times New Roman"/>
        </w:rPr>
      </w:pPr>
      <w:r w:rsidRPr="00031C40">
        <w:rPr>
          <w:rFonts w:ascii="Times New Roman" w:eastAsia="Calibri" w:hAnsi="Times New Roman" w:cs="Times New Roman"/>
        </w:rPr>
        <w:t xml:space="preserve">Table 6: </w:t>
      </w:r>
      <w:r w:rsidRPr="00031C40">
        <w:rPr>
          <w:rFonts w:ascii="Times New Roman" w:hAnsi="Times New Roman" w:cs="Times New Roman"/>
        </w:rPr>
        <w:t>Electricity supply (</w:t>
      </w:r>
      <w:proofErr w:type="spellStart"/>
      <w:r w:rsidRPr="00031C40">
        <w:rPr>
          <w:rFonts w:ascii="Times New Roman" w:hAnsi="Times New Roman" w:cs="Times New Roman"/>
        </w:rPr>
        <w:t>TWh</w:t>
      </w:r>
      <w:proofErr w:type="spellEnd"/>
      <w:r w:rsidRPr="00031C40">
        <w:rPr>
          <w:rFonts w:ascii="Times New Roman" w:hAnsi="Times New Roman" w:cs="Times New Roman"/>
        </w:rPr>
        <w:t>/</w:t>
      </w:r>
      <w:proofErr w:type="spellStart"/>
      <w:r w:rsidRPr="00031C40">
        <w:rPr>
          <w:rFonts w:ascii="Times New Roman" w:hAnsi="Times New Roman" w:cs="Times New Roman"/>
        </w:rPr>
        <w:t>yr</w:t>
      </w:r>
      <w:proofErr w:type="spellEnd"/>
      <w:r w:rsidRPr="00031C40">
        <w:rPr>
          <w:rFonts w:ascii="Times New Roman" w:hAnsi="Times New Roman" w:cs="Times New Roman"/>
        </w:rPr>
        <w:t>), Most Ambitious Level</w:t>
      </w:r>
    </w:p>
    <w:tbl>
      <w:tblPr>
        <w:tblW w:w="10164" w:type="dxa"/>
        <w:tblLook w:val="04A0" w:firstRow="1" w:lastRow="0" w:firstColumn="1" w:lastColumn="0" w:noHBand="0" w:noVBand="1"/>
      </w:tblPr>
      <w:tblGrid>
        <w:gridCol w:w="1884"/>
        <w:gridCol w:w="828"/>
        <w:gridCol w:w="828"/>
        <w:gridCol w:w="828"/>
        <w:gridCol w:w="828"/>
        <w:gridCol w:w="828"/>
        <w:gridCol w:w="828"/>
        <w:gridCol w:w="828"/>
        <w:gridCol w:w="828"/>
        <w:gridCol w:w="828"/>
        <w:gridCol w:w="828"/>
      </w:tblGrid>
      <w:tr w:rsidR="00031C40" w:rsidRPr="00031C40" w:rsidTr="00B72D4E">
        <w:trPr>
          <w:trHeight w:val="257"/>
        </w:trPr>
        <w:tc>
          <w:tcPr>
            <w:tcW w:w="18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Year</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2015</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2025</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2030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2035</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2040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2045</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2055</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2060</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Biomass &amp; Waste CCS</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4.54E-08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4.39E-08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0.007363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15.18835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30.29511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45.3302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60.29924</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75.35835</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Nuclear</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19.50435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93.62088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179.7311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266.1112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339.2905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407.978</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Wind</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0.000111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0.00036</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1.014136</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6.621789</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11.9902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11.92051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16.18987</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20.60715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24.72858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28.85001</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Solar</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0.009529</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0.963105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48.29371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80.1029</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103.9075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137.1768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171.471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205.7652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240.0594</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274.3536</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Hydro</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1.562774</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6.122403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11.27424</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20.25504</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29.23583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15.24353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17.90622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21.48742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25.06862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28.64981</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Biomass &amp; Waste</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6.229643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16.52636</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26.34029</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38.00362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49.75517</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61.58393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36.46341</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Hydrogen</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30.79296</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61.58592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92.37888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123.1718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153.9648</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Gas CCS</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0.003849</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38.4912</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76.95501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56.72141</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10.10256</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r>
      <w:tr w:rsidR="00031C40" w:rsidRPr="00031C40" w:rsidTr="00B72D4E">
        <w:trPr>
          <w:trHeight w:val="245"/>
        </w:trPr>
        <w:tc>
          <w:tcPr>
            <w:tcW w:w="1884" w:type="dxa"/>
            <w:tcBorders>
              <w:top w:val="nil"/>
              <w:left w:val="single" w:sz="8" w:space="0" w:color="auto"/>
              <w:bottom w:val="single" w:sz="4"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proofErr w:type="spellStart"/>
            <w:r w:rsidRPr="00AB7BA1">
              <w:rPr>
                <w:rFonts w:ascii="Times New Roman" w:eastAsia="Times New Roman" w:hAnsi="Times New Roman" w:cs="Times New Roman"/>
                <w:color w:val="000000"/>
                <w:sz w:val="16"/>
                <w:szCs w:val="16"/>
              </w:rPr>
              <w:t>Liguid</w:t>
            </w:r>
            <w:proofErr w:type="spellEnd"/>
            <w:r w:rsidRPr="00AB7BA1">
              <w:rPr>
                <w:rFonts w:ascii="Times New Roman" w:eastAsia="Times New Roman" w:hAnsi="Times New Roman" w:cs="Times New Roman"/>
                <w:color w:val="000000"/>
                <w:sz w:val="16"/>
                <w:szCs w:val="16"/>
              </w:rPr>
              <w:t xml:space="preserve"> &amp; Gaseous Fossils </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173.2963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167.4825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129.0405</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131.0503</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137.0718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67.24788</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r>
      <w:tr w:rsidR="00031C40" w:rsidRPr="00031C40" w:rsidTr="00B72D4E">
        <w:trPr>
          <w:trHeight w:val="257"/>
        </w:trPr>
        <w:tc>
          <w:tcPr>
            <w:tcW w:w="1884" w:type="dxa"/>
            <w:tcBorders>
              <w:top w:val="nil"/>
              <w:left w:val="single" w:sz="8" w:space="0" w:color="auto"/>
              <w:bottom w:val="nil"/>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Net Imports</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23.54232</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c>
          <w:tcPr>
            <w:tcW w:w="828" w:type="dxa"/>
            <w:tcBorders>
              <w:top w:val="nil"/>
              <w:left w:val="nil"/>
              <w:bottom w:val="nil"/>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0</w:t>
            </w:r>
          </w:p>
        </w:tc>
      </w:tr>
      <w:tr w:rsidR="00031C40" w:rsidRPr="00031C40" w:rsidTr="00B72D4E">
        <w:trPr>
          <w:trHeight w:val="257"/>
        </w:trPr>
        <w:tc>
          <w:tcPr>
            <w:tcW w:w="18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Total</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174.891</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174.5683</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189.6226</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244.2596</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341.7895</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436.0224</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592.1379</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758.1567</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884.3047</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rsidR="00031C40" w:rsidRPr="00AB7BA1" w:rsidRDefault="00031C40" w:rsidP="00031C40">
            <w:pPr>
              <w:spacing w:after="0" w:line="240" w:lineRule="auto"/>
              <w:jc w:val="both"/>
              <w:rPr>
                <w:rFonts w:ascii="Times New Roman" w:eastAsia="Times New Roman" w:hAnsi="Times New Roman" w:cs="Times New Roman"/>
                <w:color w:val="000000"/>
                <w:sz w:val="16"/>
                <w:szCs w:val="16"/>
              </w:rPr>
            </w:pPr>
            <w:r w:rsidRPr="00AB7BA1">
              <w:rPr>
                <w:rFonts w:ascii="Times New Roman" w:eastAsia="Times New Roman" w:hAnsi="Times New Roman" w:cs="Times New Roman"/>
                <w:color w:val="000000"/>
                <w:sz w:val="16"/>
                <w:szCs w:val="16"/>
              </w:rPr>
              <w:t>1005.618</w:t>
            </w:r>
          </w:p>
        </w:tc>
      </w:tr>
    </w:tbl>
    <w:p w:rsidR="00031C40" w:rsidRPr="00031C40" w:rsidRDefault="00031C40" w:rsidP="00031C40">
      <w:pPr>
        <w:spacing w:after="0" w:line="240" w:lineRule="auto"/>
        <w:jc w:val="both"/>
        <w:rPr>
          <w:rFonts w:ascii="Times New Roman" w:eastAsia="Calibri" w:hAnsi="Times New Roman" w:cs="Times New Roman"/>
        </w:rPr>
      </w:pPr>
    </w:p>
    <w:p w:rsidR="007561FC" w:rsidRPr="00031C40" w:rsidRDefault="00031C40" w:rsidP="00031C40">
      <w:pPr>
        <w:spacing w:after="0" w:line="240" w:lineRule="auto"/>
        <w:jc w:val="both"/>
        <w:rPr>
          <w:rFonts w:ascii="Times New Roman" w:eastAsia="Calibri" w:hAnsi="Times New Roman" w:cs="Times New Roman"/>
        </w:rPr>
      </w:pPr>
      <w:r w:rsidRPr="00031C40">
        <w:rPr>
          <w:rFonts w:ascii="Times New Roman" w:hAnsi="Times New Roman" w:cs="Times New Roman"/>
        </w:rPr>
        <w:t>On electricity supply strategies based on economic activities at Most Ambitious Level (MAL) growth rate, the electricity demand would be faced by the influence of technology advancements, efficiency gains and climate change mitigation, which will impact the drivers of electricity demand such as electricity access, security and climate change mitigation. From Table 6, the demand would rise from 174.8 TWh in 2015 to 1005.6 TWh by 2060.</w:t>
      </w:r>
    </w:p>
    <w:p w:rsidR="00031C40" w:rsidRPr="00031C40" w:rsidRDefault="00031C40" w:rsidP="00031C40">
      <w:pPr>
        <w:spacing w:after="0" w:line="240" w:lineRule="auto"/>
        <w:jc w:val="both"/>
        <w:rPr>
          <w:rFonts w:ascii="Times New Roman" w:hAnsi="Times New Roman" w:cs="Times New Roman"/>
          <w:noProof/>
        </w:rPr>
      </w:pPr>
    </w:p>
    <w:p w:rsidR="00031C40" w:rsidRPr="00031C40" w:rsidRDefault="00031C40" w:rsidP="00031C40">
      <w:pPr>
        <w:spacing w:after="0" w:line="240" w:lineRule="auto"/>
        <w:jc w:val="both"/>
        <w:rPr>
          <w:rFonts w:ascii="Times New Roman" w:eastAsia="Calibri" w:hAnsi="Times New Roman" w:cs="Times New Roman"/>
        </w:rPr>
      </w:pPr>
    </w:p>
    <w:p w:rsidR="00031C40" w:rsidRPr="00031C40" w:rsidRDefault="00031C40" w:rsidP="00031C40">
      <w:pPr>
        <w:spacing w:after="0" w:line="240" w:lineRule="auto"/>
        <w:jc w:val="both"/>
        <w:rPr>
          <w:rFonts w:ascii="Times New Roman" w:eastAsia="Calibri" w:hAnsi="Times New Roman" w:cs="Times New Roman"/>
        </w:rPr>
      </w:pPr>
    </w:p>
    <w:p w:rsidR="00031C40" w:rsidRPr="00031C40" w:rsidRDefault="00031C40" w:rsidP="00031C40">
      <w:pPr>
        <w:spacing w:after="0" w:line="240" w:lineRule="auto"/>
        <w:jc w:val="both"/>
        <w:rPr>
          <w:rFonts w:ascii="Times New Roman" w:hAnsi="Times New Roman" w:cs="Times New Roman"/>
        </w:rPr>
      </w:pPr>
      <w:r w:rsidRPr="00031C40">
        <w:rPr>
          <w:rFonts w:ascii="Times New Roman" w:hAnsi="Times New Roman" w:cs="Times New Roman"/>
          <w:noProof/>
        </w:rPr>
        <w:drawing>
          <wp:inline distT="0" distB="0" distL="0" distR="0" wp14:anchorId="36933EDC" wp14:editId="49DF439B">
            <wp:extent cx="4393870" cy="2428504"/>
            <wp:effectExtent l="0" t="0" r="698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1C40" w:rsidRPr="00031C40" w:rsidRDefault="00031C40" w:rsidP="00031C40">
      <w:pPr>
        <w:spacing w:after="0" w:line="240" w:lineRule="auto"/>
        <w:jc w:val="both"/>
        <w:rPr>
          <w:rFonts w:ascii="Times New Roman" w:hAnsi="Times New Roman" w:cs="Times New Roman"/>
        </w:rPr>
      </w:pPr>
      <w:r w:rsidRPr="00031C40">
        <w:rPr>
          <w:rFonts w:ascii="Times New Roman" w:hAnsi="Times New Roman" w:cs="Times New Roman"/>
        </w:rPr>
        <w:t>Fig. 5: Electricity supply, Most Ambitious Level</w:t>
      </w:r>
    </w:p>
    <w:p w:rsidR="007561FC" w:rsidRPr="00031C40" w:rsidRDefault="007561FC" w:rsidP="00031C40">
      <w:pPr>
        <w:spacing w:after="0" w:line="240" w:lineRule="auto"/>
        <w:jc w:val="both"/>
        <w:rPr>
          <w:rFonts w:ascii="Times New Roman" w:eastAsia="Calibri" w:hAnsi="Times New Roman" w:cs="Times New Roman"/>
        </w:rPr>
      </w:pPr>
    </w:p>
    <w:p w:rsidR="007561FC" w:rsidRPr="00031C40" w:rsidRDefault="007561FC" w:rsidP="00031C40">
      <w:pPr>
        <w:spacing w:after="0" w:line="240" w:lineRule="auto"/>
        <w:jc w:val="both"/>
        <w:rPr>
          <w:rFonts w:ascii="Times New Roman" w:eastAsia="Calibri" w:hAnsi="Times New Roman" w:cs="Times New Roman"/>
        </w:rPr>
      </w:pPr>
    </w:p>
    <w:p w:rsidR="00944327" w:rsidRPr="00031C40" w:rsidRDefault="00944327" w:rsidP="00031C40">
      <w:pPr>
        <w:spacing w:after="0" w:line="240" w:lineRule="auto"/>
        <w:jc w:val="both"/>
        <w:rPr>
          <w:rFonts w:ascii="Times New Roman" w:eastAsia="Calibri" w:hAnsi="Times New Roman" w:cs="Times New Roman"/>
        </w:rPr>
      </w:pPr>
    </w:p>
    <w:p w:rsidR="00A300CE" w:rsidRPr="00031C40" w:rsidRDefault="00031C40" w:rsidP="00B76D90">
      <w:pPr>
        <w:jc w:val="both"/>
        <w:rPr>
          <w:rFonts w:ascii="Times New Roman" w:hAnsi="Times New Roman" w:cs="Times New Roman"/>
        </w:rPr>
      </w:pPr>
      <w:r w:rsidRPr="00031C40">
        <w:rPr>
          <w:rFonts w:ascii="Times New Roman" w:hAnsi="Times New Roman" w:cs="Times New Roman"/>
        </w:rPr>
        <w:t xml:space="preserve">This scenario is based on providing adequate electricity access based on reduced emissions, targeting net-zero emission by 2060. From Table 6, 2015 being base year energy resources will be the same as BAU in Table 5, but from 2030, fossils would be reduced to 54 % in electricity generation, hydro would increase to 8 % and solar, 33 %; wind, 3 %. By 2040, new technologies would be introduced in the electricity generation, so Fossils would be fueling just 15 %; hydro, 3 %; wind, 3 %; solar, 31 % and Biomass and </w:t>
      </w:r>
      <w:r w:rsidRPr="00031C40">
        <w:rPr>
          <w:rFonts w:ascii="Times New Roman" w:hAnsi="Times New Roman" w:cs="Times New Roman"/>
        </w:rPr>
        <w:lastRenderedPageBreak/>
        <w:t>wastes, 6 %. New technologies like nuclear would generate 21 % of electricity; biomass and wastes with carbon capture and storage (CCS) facility, 3 % and hydrogen technology, 7 %. By 2045, fossil would stop to be used as fuel for electricity</w:t>
      </w:r>
      <w:r w:rsidR="00416BBA">
        <w:rPr>
          <w:rFonts w:ascii="Times New Roman" w:hAnsi="Times New Roman" w:cs="Times New Roman"/>
        </w:rPr>
        <w:t xml:space="preserve"> except natural gas with CCS facility at about 13 %</w:t>
      </w:r>
      <w:r w:rsidRPr="00031C40">
        <w:rPr>
          <w:rFonts w:ascii="Times New Roman" w:hAnsi="Times New Roman" w:cs="Times New Roman"/>
        </w:rPr>
        <w:t xml:space="preserve"> generation while nuclear would take the lead in fueling electricity generation with about 30 %, hydro, 3 %;</w:t>
      </w:r>
      <w:r>
        <w:rPr>
          <w:rFonts w:ascii="Times New Roman" w:hAnsi="Times New Roman" w:cs="Times New Roman"/>
        </w:rPr>
        <w:t xml:space="preserve"> wind, 3 %; solar would power substantially with 2</w:t>
      </w:r>
      <w:r w:rsidR="00416BBA">
        <w:rPr>
          <w:rFonts w:ascii="Times New Roman" w:hAnsi="Times New Roman" w:cs="Times New Roman"/>
        </w:rPr>
        <w:t>9</w:t>
      </w:r>
      <w:r>
        <w:rPr>
          <w:rFonts w:ascii="Times New Roman" w:hAnsi="Times New Roman" w:cs="Times New Roman"/>
        </w:rPr>
        <w:t xml:space="preserve"> %; biomass and wastes with CCS technology, </w:t>
      </w:r>
      <w:r w:rsidR="00416BBA">
        <w:rPr>
          <w:rFonts w:ascii="Times New Roman" w:hAnsi="Times New Roman" w:cs="Times New Roman"/>
        </w:rPr>
        <w:t>5</w:t>
      </w:r>
      <w:r>
        <w:rPr>
          <w:rFonts w:ascii="Times New Roman" w:hAnsi="Times New Roman" w:cs="Times New Roman"/>
        </w:rPr>
        <w:t xml:space="preserve"> %; biomass and wastes </w:t>
      </w:r>
      <w:r w:rsidR="00416BBA">
        <w:rPr>
          <w:rFonts w:ascii="Times New Roman" w:hAnsi="Times New Roman" w:cs="Times New Roman"/>
        </w:rPr>
        <w:t xml:space="preserve">6 %; hydrogen technology would also be substantial with about 10 %. By 2050, natural gas with CCS would generate less electricity with just 7 %; nuclear would improve to generate about 35 %; hydro, 3; wind, 3 %; solar 27 %; biomass and wastes with CCS, 6 %; biomass and wastes, 7 %; hydrogen, 12 %. Finally by 2060, fossils would be completely eliminated from the list of resources for electricity generation in the country leaving nuclear to be the major fuel for electricity generation with about 41 %; hydro, 3 %; wind, 3 %; solar, 27 %; biomass with CCS, 7 %; biomass and wastes, 4 %; and hydrogen, </w:t>
      </w:r>
      <w:r w:rsidR="00B76D90">
        <w:rPr>
          <w:rFonts w:ascii="Times New Roman" w:hAnsi="Times New Roman" w:cs="Times New Roman"/>
        </w:rPr>
        <w:t xml:space="preserve">15 %. This scenario would cost less environmental impact by generating least emission. Fig. 6 shows that right after 2025, rate of emission from electricity generation in the country would start reducing and by 2035 and 2040, the value of emission generation rate would be negative, indicating carbon sink. </w:t>
      </w:r>
    </w:p>
    <w:p w:rsidR="00A300CE" w:rsidRPr="00031C40" w:rsidRDefault="00A300CE" w:rsidP="00031C40">
      <w:pPr>
        <w:spacing w:after="0" w:line="240" w:lineRule="auto"/>
        <w:jc w:val="both"/>
        <w:rPr>
          <w:rFonts w:ascii="Times New Roman" w:hAnsi="Times New Roman" w:cs="Times New Roman"/>
        </w:rPr>
      </w:pPr>
    </w:p>
    <w:p w:rsidR="00A300CE" w:rsidRPr="00031C40" w:rsidRDefault="00B945DE" w:rsidP="00031C40">
      <w:pPr>
        <w:spacing w:after="0" w:line="240" w:lineRule="auto"/>
        <w:jc w:val="both"/>
        <w:rPr>
          <w:rFonts w:ascii="Times New Roman" w:hAnsi="Times New Roman" w:cs="Times New Roman"/>
        </w:rPr>
      </w:pPr>
      <w:r w:rsidRPr="00031C40">
        <w:rPr>
          <w:rFonts w:ascii="Times New Roman" w:hAnsi="Times New Roman" w:cs="Times New Roman"/>
          <w:noProof/>
        </w:rPr>
        <w:drawing>
          <wp:inline distT="0" distB="0" distL="0" distR="0" wp14:anchorId="1531684E" wp14:editId="237B2765">
            <wp:extent cx="4524284" cy="2011969"/>
            <wp:effectExtent l="0" t="0" r="1016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45DE" w:rsidRPr="00031C40" w:rsidRDefault="00B945DE" w:rsidP="00031C40">
      <w:pPr>
        <w:jc w:val="both"/>
        <w:rPr>
          <w:rFonts w:ascii="Times New Roman" w:hAnsi="Times New Roman" w:cs="Times New Roman"/>
        </w:rPr>
      </w:pPr>
      <w:r w:rsidRPr="00031C40">
        <w:rPr>
          <w:rFonts w:ascii="Times New Roman" w:hAnsi="Times New Roman" w:cs="Times New Roman"/>
        </w:rPr>
        <w:t>Fig. 6: Emissions from Electricity Generation (MtCO2/</w:t>
      </w:r>
      <w:proofErr w:type="spellStart"/>
      <w:r w:rsidRPr="00031C40">
        <w:rPr>
          <w:rFonts w:ascii="Times New Roman" w:hAnsi="Times New Roman" w:cs="Times New Roman"/>
        </w:rPr>
        <w:t>yr</w:t>
      </w:r>
      <w:proofErr w:type="spellEnd"/>
      <w:r w:rsidRPr="00031C40">
        <w:rPr>
          <w:rFonts w:ascii="Times New Roman" w:hAnsi="Times New Roman" w:cs="Times New Roman"/>
        </w:rPr>
        <w:t>), Most Ambitious Level</w:t>
      </w:r>
    </w:p>
    <w:p w:rsidR="00A300CE" w:rsidRPr="00031C40" w:rsidRDefault="00A300CE" w:rsidP="00031C40">
      <w:pPr>
        <w:spacing w:after="0" w:line="240" w:lineRule="auto"/>
        <w:jc w:val="both"/>
        <w:rPr>
          <w:rFonts w:ascii="Times New Roman" w:hAnsi="Times New Roman" w:cs="Times New Roman"/>
        </w:rPr>
      </w:pPr>
    </w:p>
    <w:p w:rsidR="00D526F1" w:rsidRPr="008560AA" w:rsidRDefault="00D526F1" w:rsidP="00031C40">
      <w:pPr>
        <w:pStyle w:val="Heading2"/>
        <w:spacing w:before="0" w:line="240" w:lineRule="auto"/>
        <w:jc w:val="both"/>
        <w:rPr>
          <w:rFonts w:cs="Times New Roman"/>
          <w:sz w:val="22"/>
          <w:szCs w:val="22"/>
        </w:rPr>
      </w:pPr>
      <w:r w:rsidRPr="008560AA">
        <w:rPr>
          <w:rFonts w:cs="Times New Roman"/>
          <w:sz w:val="22"/>
          <w:szCs w:val="22"/>
        </w:rPr>
        <w:t>Conclusion</w:t>
      </w:r>
    </w:p>
    <w:p w:rsidR="005D15CE" w:rsidRPr="008560AA" w:rsidRDefault="005D15CE" w:rsidP="00031C40">
      <w:pPr>
        <w:spacing w:after="0" w:line="240" w:lineRule="auto"/>
        <w:jc w:val="both"/>
        <w:rPr>
          <w:rFonts w:ascii="Times New Roman" w:hAnsi="Times New Roman" w:cs="Times New Roman"/>
        </w:rPr>
      </w:pPr>
    </w:p>
    <w:p w:rsidR="005D15CE" w:rsidRPr="008560AA" w:rsidRDefault="00A6600E" w:rsidP="00031C40">
      <w:pPr>
        <w:spacing w:after="0" w:line="240" w:lineRule="auto"/>
        <w:jc w:val="both"/>
        <w:rPr>
          <w:rFonts w:ascii="Times New Roman" w:hAnsi="Times New Roman" w:cs="Times New Roman"/>
        </w:rPr>
      </w:pPr>
      <w:r w:rsidRPr="008560AA">
        <w:rPr>
          <w:rFonts w:ascii="Times New Roman" w:hAnsi="Times New Roman" w:cs="Times New Roman"/>
        </w:rPr>
        <w:t>Nigeria is endowed with abundant energy resources, the significant ones include fossil, and numerous renewables such as; solar energy, biomass, wind, small and large hydropower with potential for hydrogen fuel, geothermal and ocean energies. However, t</w:t>
      </w:r>
      <w:r w:rsidR="00E464CC" w:rsidRPr="008560AA">
        <w:rPr>
          <w:rFonts w:ascii="Times New Roman" w:hAnsi="Times New Roman" w:cs="Times New Roman"/>
        </w:rPr>
        <w:t xml:space="preserve">he main constraints in the rapid development and diffusion of technologies for the exploitation and utilization of </w:t>
      </w:r>
      <w:r w:rsidRPr="008560AA">
        <w:rPr>
          <w:rFonts w:ascii="Times New Roman" w:hAnsi="Times New Roman" w:cs="Times New Roman"/>
        </w:rPr>
        <w:t xml:space="preserve">these </w:t>
      </w:r>
      <w:r w:rsidR="008344F8" w:rsidRPr="008560AA">
        <w:rPr>
          <w:rFonts w:ascii="Times New Roman" w:hAnsi="Times New Roman" w:cs="Times New Roman"/>
        </w:rPr>
        <w:t>different</w:t>
      </w:r>
      <w:r w:rsidR="00E464CC" w:rsidRPr="008560AA">
        <w:rPr>
          <w:rFonts w:ascii="Times New Roman" w:hAnsi="Times New Roman" w:cs="Times New Roman"/>
        </w:rPr>
        <w:t xml:space="preserve"> energy resources in the country are the absence of appropriate policy, regulatory and institutional framework to </w:t>
      </w:r>
      <w:r w:rsidRPr="008560AA">
        <w:rPr>
          <w:rFonts w:ascii="Times New Roman" w:hAnsi="Times New Roman" w:cs="Times New Roman"/>
        </w:rPr>
        <w:t>balance</w:t>
      </w:r>
      <w:r w:rsidR="00E464CC" w:rsidRPr="008560AA">
        <w:rPr>
          <w:rFonts w:ascii="Times New Roman" w:hAnsi="Times New Roman" w:cs="Times New Roman"/>
        </w:rPr>
        <w:t xml:space="preserve"> demand </w:t>
      </w:r>
      <w:r w:rsidRPr="008560AA">
        <w:rPr>
          <w:rFonts w:ascii="Times New Roman" w:hAnsi="Times New Roman" w:cs="Times New Roman"/>
        </w:rPr>
        <w:t xml:space="preserve">with supply that would </w:t>
      </w:r>
      <w:r w:rsidR="00E464CC" w:rsidRPr="008560AA">
        <w:rPr>
          <w:rFonts w:ascii="Times New Roman" w:hAnsi="Times New Roman" w:cs="Times New Roman"/>
        </w:rPr>
        <w:t xml:space="preserve">attract investors. </w:t>
      </w:r>
      <w:r w:rsidR="008344F8" w:rsidRPr="008560AA">
        <w:rPr>
          <w:rFonts w:ascii="Times New Roman" w:hAnsi="Times New Roman" w:cs="Times New Roman"/>
        </w:rPr>
        <w:t>Technical, economic, environmental, and societal energy parameters that affect energy demand and supply and how they interact to determine the quantities of energy demand and supply are of paramount importance for policy development.</w:t>
      </w:r>
      <w:r w:rsidRPr="008560AA">
        <w:rPr>
          <w:rFonts w:ascii="Times New Roman" w:hAnsi="Times New Roman" w:cs="Times New Roman"/>
        </w:rPr>
        <w:t xml:space="preserve"> </w:t>
      </w:r>
      <w:r w:rsidR="00E464CC" w:rsidRPr="008560AA">
        <w:rPr>
          <w:rFonts w:ascii="Times New Roman" w:hAnsi="Times New Roman" w:cs="Times New Roman"/>
        </w:rPr>
        <w:t xml:space="preserve">Therefore, </w:t>
      </w:r>
      <w:r w:rsidR="008344F8" w:rsidRPr="008560AA">
        <w:rPr>
          <w:rFonts w:ascii="Times New Roman" w:hAnsi="Times New Roman" w:cs="Times New Roman"/>
        </w:rPr>
        <w:t>for Nigeria</w:t>
      </w:r>
      <w:r w:rsidR="00E464CC" w:rsidRPr="008560AA">
        <w:rPr>
          <w:rFonts w:ascii="Times New Roman" w:hAnsi="Times New Roman" w:cs="Times New Roman"/>
        </w:rPr>
        <w:t xml:space="preserve"> to unleash the </w:t>
      </w:r>
      <w:r w:rsidR="008344F8" w:rsidRPr="008560AA">
        <w:rPr>
          <w:rFonts w:ascii="Times New Roman" w:hAnsi="Times New Roman" w:cs="Times New Roman"/>
        </w:rPr>
        <w:t>enormous potential of its</w:t>
      </w:r>
      <w:r w:rsidRPr="008560AA">
        <w:rPr>
          <w:rFonts w:ascii="Times New Roman" w:hAnsi="Times New Roman" w:cs="Times New Roman"/>
        </w:rPr>
        <w:t xml:space="preserve"> energy resources i</w:t>
      </w:r>
      <w:r w:rsidR="00E464CC" w:rsidRPr="008560AA">
        <w:rPr>
          <w:rFonts w:ascii="Times New Roman" w:hAnsi="Times New Roman" w:cs="Times New Roman"/>
        </w:rPr>
        <w:t xml:space="preserve">n its drive to match electricity </w:t>
      </w:r>
      <w:r w:rsidR="008344F8" w:rsidRPr="008560AA">
        <w:rPr>
          <w:rFonts w:ascii="Times New Roman" w:hAnsi="Times New Roman" w:cs="Times New Roman"/>
        </w:rPr>
        <w:t xml:space="preserve">supply </w:t>
      </w:r>
      <w:r w:rsidR="00E464CC" w:rsidRPr="008560AA">
        <w:rPr>
          <w:rFonts w:ascii="Times New Roman" w:hAnsi="Times New Roman" w:cs="Times New Roman"/>
        </w:rPr>
        <w:t xml:space="preserve">with </w:t>
      </w:r>
      <w:r w:rsidR="00FD4911" w:rsidRPr="008560AA">
        <w:rPr>
          <w:rFonts w:ascii="Times New Roman" w:hAnsi="Times New Roman" w:cs="Times New Roman"/>
        </w:rPr>
        <w:t>demand</w:t>
      </w:r>
      <w:r w:rsidR="00E464CC" w:rsidRPr="008560AA">
        <w:rPr>
          <w:rFonts w:ascii="Times New Roman" w:hAnsi="Times New Roman" w:cs="Times New Roman"/>
        </w:rPr>
        <w:t xml:space="preserve"> </w:t>
      </w:r>
      <w:r w:rsidRPr="008560AA">
        <w:rPr>
          <w:rFonts w:ascii="Times New Roman" w:hAnsi="Times New Roman" w:cs="Times New Roman"/>
        </w:rPr>
        <w:t>there is need for</w:t>
      </w:r>
      <w:r w:rsidR="00E464CC" w:rsidRPr="008560AA">
        <w:rPr>
          <w:rFonts w:ascii="Times New Roman" w:hAnsi="Times New Roman" w:cs="Times New Roman"/>
        </w:rPr>
        <w:t xml:space="preserve"> significant i</w:t>
      </w:r>
      <w:r w:rsidRPr="008560AA">
        <w:rPr>
          <w:rFonts w:ascii="Times New Roman" w:hAnsi="Times New Roman" w:cs="Times New Roman"/>
        </w:rPr>
        <w:t>nvestment in critical areas of research and development</w:t>
      </w:r>
      <w:r w:rsidR="00E464CC" w:rsidRPr="008560AA">
        <w:rPr>
          <w:rFonts w:ascii="Times New Roman" w:hAnsi="Times New Roman" w:cs="Times New Roman"/>
        </w:rPr>
        <w:t xml:space="preserve">, building of indigenous human and </w:t>
      </w:r>
      <w:r w:rsidRPr="008560AA">
        <w:rPr>
          <w:rFonts w:ascii="Times New Roman" w:hAnsi="Times New Roman" w:cs="Times New Roman"/>
        </w:rPr>
        <w:t>bridging the infrastructural gap</w:t>
      </w:r>
      <w:r w:rsidR="00E464CC" w:rsidRPr="008560AA">
        <w:rPr>
          <w:rFonts w:ascii="Times New Roman" w:hAnsi="Times New Roman" w:cs="Times New Roman"/>
        </w:rPr>
        <w:t xml:space="preserve"> and the intensification of the on-going economic reform to create a</w:t>
      </w:r>
      <w:r w:rsidR="00FD4911" w:rsidRPr="008560AA">
        <w:rPr>
          <w:rFonts w:ascii="Times New Roman" w:hAnsi="Times New Roman" w:cs="Times New Roman"/>
        </w:rPr>
        <w:t xml:space="preserve">n investor friendly environment. </w:t>
      </w:r>
    </w:p>
    <w:p w:rsidR="00E464CC" w:rsidRPr="008560AA" w:rsidRDefault="00E464CC" w:rsidP="00031C40">
      <w:pPr>
        <w:spacing w:after="0" w:line="240" w:lineRule="auto"/>
        <w:jc w:val="both"/>
        <w:rPr>
          <w:rFonts w:ascii="Times New Roman" w:hAnsi="Times New Roman" w:cs="Times New Roman"/>
        </w:rPr>
      </w:pPr>
    </w:p>
    <w:p w:rsidR="00D06B21" w:rsidRDefault="00FD4911" w:rsidP="00031C40">
      <w:pPr>
        <w:pStyle w:val="Heading2"/>
        <w:jc w:val="both"/>
        <w:rPr>
          <w:rFonts w:cs="Times New Roman"/>
          <w:sz w:val="22"/>
          <w:szCs w:val="22"/>
        </w:rPr>
      </w:pPr>
      <w:r w:rsidRPr="00031C40">
        <w:rPr>
          <w:rFonts w:cs="Times New Roman"/>
          <w:sz w:val="22"/>
          <w:szCs w:val="22"/>
        </w:rPr>
        <w:lastRenderedPageBreak/>
        <w:t>REFERENCE</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8560AA">
        <w:rPr>
          <w:rFonts w:ascii="Calibri" w:hAnsi="Calibri" w:cs="Calibri"/>
          <w:noProof/>
          <w:szCs w:val="24"/>
        </w:rPr>
        <w:t xml:space="preserve">Dioha, M. O., Emodi, N. V, &amp; Dioha, E. C. (2019). Pathways for low carbon Nigeria in 2050 by using NECAL2050. </w:t>
      </w:r>
      <w:r w:rsidRPr="008560AA">
        <w:rPr>
          <w:rFonts w:ascii="Calibri" w:hAnsi="Calibri" w:cs="Calibri"/>
          <w:i/>
          <w:iCs/>
          <w:noProof/>
          <w:szCs w:val="24"/>
        </w:rPr>
        <w:t>Renewable Energy Focus</w:t>
      </w:r>
      <w:r w:rsidRPr="008560AA">
        <w:rPr>
          <w:rFonts w:ascii="Calibri" w:hAnsi="Calibri" w:cs="Calibri"/>
          <w:noProof/>
          <w:szCs w:val="24"/>
        </w:rPr>
        <w:t xml:space="preserve">, </w:t>
      </w:r>
      <w:r w:rsidRPr="008560AA">
        <w:rPr>
          <w:rFonts w:ascii="Calibri" w:hAnsi="Calibri" w:cs="Calibri"/>
          <w:i/>
          <w:iCs/>
          <w:noProof/>
          <w:szCs w:val="24"/>
        </w:rPr>
        <w:t>29</w:t>
      </w:r>
      <w:r w:rsidRPr="008560AA">
        <w:rPr>
          <w:rFonts w:ascii="Calibri" w:hAnsi="Calibri" w:cs="Calibri"/>
          <w:noProof/>
          <w:szCs w:val="24"/>
        </w:rPr>
        <w:t>(00), 63–77. https://doi.org/10.1016/j.ref.2019.02.004</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Energy Commission of Nigeria. (2015). </w:t>
      </w:r>
      <w:r w:rsidRPr="008560AA">
        <w:rPr>
          <w:rFonts w:ascii="Calibri" w:hAnsi="Calibri" w:cs="Calibri"/>
          <w:i/>
          <w:iCs/>
          <w:noProof/>
          <w:szCs w:val="24"/>
        </w:rPr>
        <w:t>NIGERIA ENERGY CALCULATOR 2050 ( NECAL2050 )</w:t>
      </w:r>
      <w:r w:rsidRPr="008560AA">
        <w:rPr>
          <w:rFonts w:ascii="Calibri" w:hAnsi="Calibri" w:cs="Calibri"/>
          <w:noProof/>
          <w:szCs w:val="24"/>
        </w:rPr>
        <w:t xml:space="preserve"> (Vol. 2050, Issue March).</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Ezennaya, S. O., Isaac, O., &amp; Ezeanyim, O. C. (2014). Analysis Of Nigeria’s National Electricity Demand Forecast (2013-2030). </w:t>
      </w:r>
      <w:r w:rsidRPr="008560AA">
        <w:rPr>
          <w:rFonts w:ascii="Calibri" w:hAnsi="Calibri" w:cs="Calibri"/>
          <w:i/>
          <w:iCs/>
          <w:noProof/>
          <w:szCs w:val="24"/>
        </w:rPr>
        <w:t>International Journal of Scientific &amp; Technology Research</w:t>
      </w:r>
      <w:r w:rsidRPr="008560AA">
        <w:rPr>
          <w:rFonts w:ascii="Calibri" w:hAnsi="Calibri" w:cs="Calibri"/>
          <w:noProof/>
          <w:szCs w:val="24"/>
        </w:rPr>
        <w:t xml:space="preserve">, </w:t>
      </w:r>
      <w:r w:rsidRPr="008560AA">
        <w:rPr>
          <w:rFonts w:ascii="Calibri" w:hAnsi="Calibri" w:cs="Calibri"/>
          <w:i/>
          <w:iCs/>
          <w:noProof/>
          <w:szCs w:val="24"/>
        </w:rPr>
        <w:t>3</w:t>
      </w:r>
      <w:r w:rsidRPr="008560AA">
        <w:rPr>
          <w:rFonts w:ascii="Calibri" w:hAnsi="Calibri" w:cs="Calibri"/>
          <w:noProof/>
          <w:szCs w:val="24"/>
        </w:rPr>
        <w:t>(3), 333–340.</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IEA. (2019). </w:t>
      </w:r>
      <w:r w:rsidRPr="008560AA">
        <w:rPr>
          <w:rFonts w:ascii="Calibri" w:hAnsi="Calibri" w:cs="Calibri"/>
          <w:i/>
          <w:iCs/>
          <w:noProof/>
          <w:szCs w:val="24"/>
        </w:rPr>
        <w:t>Africa energy outlook, Paris: International Energy Agency</w:t>
      </w:r>
      <w:r w:rsidRPr="008560AA">
        <w:rPr>
          <w:rFonts w:ascii="Calibri" w:hAnsi="Calibri" w:cs="Calibri"/>
          <w:noProof/>
          <w:szCs w:val="24"/>
        </w:rPr>
        <w:t>. www.iea.org/africa2019%0Ahttps://www.oecd-ilibrary.org/energy/africa-energy-outlook_g2120ab250-en</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International Energy Agency. (2021). </w:t>
      </w:r>
      <w:r w:rsidRPr="008560AA">
        <w:rPr>
          <w:rFonts w:ascii="Calibri" w:hAnsi="Calibri" w:cs="Calibri"/>
          <w:i/>
          <w:iCs/>
          <w:noProof/>
          <w:szCs w:val="24"/>
        </w:rPr>
        <w:t>Net Zero by 2050 A Roadmap for the Global Energy Sector</w:t>
      </w:r>
      <w:r w:rsidRPr="008560AA">
        <w:rPr>
          <w:rFonts w:ascii="Calibri" w:hAnsi="Calibri" w:cs="Calibri"/>
          <w:noProof/>
          <w:szCs w:val="24"/>
        </w:rPr>
        <w:t>. www.iea.org/t&amp;c/no need for</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Lambert, M. (2021). The role of hydrogen in the energy transition. </w:t>
      </w:r>
      <w:r w:rsidRPr="008560AA">
        <w:rPr>
          <w:rFonts w:ascii="Calibri" w:hAnsi="Calibri" w:cs="Calibri"/>
          <w:i/>
          <w:iCs/>
          <w:noProof/>
          <w:szCs w:val="24"/>
        </w:rPr>
        <w:t>Oxford Energy Forum</w:t>
      </w:r>
      <w:r w:rsidRPr="008560AA">
        <w:rPr>
          <w:rFonts w:ascii="Calibri" w:hAnsi="Calibri" w:cs="Calibri"/>
          <w:noProof/>
          <w:szCs w:val="24"/>
        </w:rPr>
        <w:t xml:space="preserve">, </w:t>
      </w:r>
      <w:r w:rsidRPr="008560AA">
        <w:rPr>
          <w:rFonts w:ascii="Calibri" w:hAnsi="Calibri" w:cs="Calibri"/>
          <w:i/>
          <w:iCs/>
          <w:noProof/>
          <w:szCs w:val="24"/>
        </w:rPr>
        <w:t>127</w:t>
      </w:r>
      <w:r w:rsidRPr="008560AA">
        <w:rPr>
          <w:rFonts w:ascii="Calibri" w:hAnsi="Calibri" w:cs="Calibri"/>
          <w:noProof/>
          <w:szCs w:val="24"/>
        </w:rPr>
        <w:t>.</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Pappis, I., Howells, M., Sridharan, V., Usher, W., Shivakumar, A., Gardumi, F., &amp; Ramos, E. (2019). </w:t>
      </w:r>
      <w:r w:rsidRPr="008560AA">
        <w:rPr>
          <w:rFonts w:ascii="Calibri" w:hAnsi="Calibri" w:cs="Calibri"/>
          <w:i/>
          <w:iCs/>
          <w:noProof/>
          <w:szCs w:val="24"/>
        </w:rPr>
        <w:t>Energy projections for African countries</w:t>
      </w:r>
      <w:r w:rsidRPr="008560AA">
        <w:rPr>
          <w:rFonts w:ascii="Calibri" w:hAnsi="Calibri" w:cs="Calibri"/>
          <w:noProof/>
          <w:szCs w:val="24"/>
        </w:rPr>
        <w:t>. https://doi.org/10.2760/678700</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szCs w:val="24"/>
        </w:rPr>
      </w:pPr>
      <w:r w:rsidRPr="008560AA">
        <w:rPr>
          <w:rFonts w:ascii="Calibri" w:hAnsi="Calibri" w:cs="Calibri"/>
          <w:noProof/>
          <w:szCs w:val="24"/>
        </w:rPr>
        <w:t xml:space="preserve">Rapu, C. S., Adenuga, A. O., Kanya, W. J., Abeng, M. O., Golit, P. D., Hilili, M. J., Uba, I. A., &amp; Ochu, E. R. (2015). Analysis of Energy Market. In </w:t>
      </w:r>
      <w:r w:rsidRPr="008560AA">
        <w:rPr>
          <w:rFonts w:ascii="Calibri" w:hAnsi="Calibri" w:cs="Calibri"/>
          <w:i/>
          <w:iCs/>
          <w:noProof/>
          <w:szCs w:val="24"/>
        </w:rPr>
        <w:t>Central Bank of Nigeria: Occassion Paper</w:t>
      </w:r>
      <w:r w:rsidRPr="008560AA">
        <w:rPr>
          <w:rFonts w:ascii="Calibri" w:hAnsi="Calibri" w:cs="Calibri"/>
          <w:noProof/>
          <w:szCs w:val="24"/>
        </w:rPr>
        <w:t xml:space="preserve"> (Issue 55).</w:t>
      </w:r>
    </w:p>
    <w:p w:rsidR="008560AA" w:rsidRPr="008560AA" w:rsidRDefault="008560AA" w:rsidP="008560AA">
      <w:pPr>
        <w:widowControl w:val="0"/>
        <w:autoSpaceDE w:val="0"/>
        <w:autoSpaceDN w:val="0"/>
        <w:adjustRightInd w:val="0"/>
        <w:spacing w:line="240" w:lineRule="auto"/>
        <w:ind w:left="480" w:hanging="480"/>
        <w:rPr>
          <w:rFonts w:ascii="Calibri" w:hAnsi="Calibri" w:cs="Calibri"/>
          <w:noProof/>
        </w:rPr>
      </w:pPr>
      <w:r w:rsidRPr="008560AA">
        <w:rPr>
          <w:rFonts w:ascii="Calibri" w:hAnsi="Calibri" w:cs="Calibri"/>
          <w:noProof/>
          <w:szCs w:val="24"/>
        </w:rPr>
        <w:t xml:space="preserve">Sambo, A. S. (2008). Matching Electricity Supply with Demand in Nigeria. </w:t>
      </w:r>
      <w:r w:rsidRPr="008560AA">
        <w:rPr>
          <w:rFonts w:ascii="Calibri" w:hAnsi="Calibri" w:cs="Calibri"/>
          <w:i/>
          <w:iCs/>
          <w:noProof/>
          <w:szCs w:val="24"/>
        </w:rPr>
        <w:t>International Association of Energy Economics</w:t>
      </w:r>
      <w:r w:rsidRPr="008560AA">
        <w:rPr>
          <w:rFonts w:ascii="Calibri" w:hAnsi="Calibri" w:cs="Calibri"/>
          <w:noProof/>
          <w:szCs w:val="24"/>
        </w:rPr>
        <w:t>, 32–36.</w:t>
      </w:r>
    </w:p>
    <w:p w:rsidR="00BC1621" w:rsidRPr="00BC1621" w:rsidRDefault="008560AA" w:rsidP="00BC1621">
      <w:r>
        <w:fldChar w:fldCharType="end"/>
      </w:r>
    </w:p>
    <w:p w:rsidR="007B114B" w:rsidRPr="00031C40" w:rsidRDefault="007B114B" w:rsidP="00DA7723">
      <w:pPr>
        <w:widowControl w:val="0"/>
        <w:autoSpaceDE w:val="0"/>
        <w:autoSpaceDN w:val="0"/>
        <w:adjustRightInd w:val="0"/>
        <w:spacing w:line="240" w:lineRule="auto"/>
        <w:ind w:left="480" w:hanging="480"/>
        <w:rPr>
          <w:rFonts w:ascii="Times New Roman" w:hAnsi="Times New Roman" w:cs="Times New Roman"/>
        </w:rPr>
      </w:pPr>
    </w:p>
    <w:sectPr w:rsidR="007B114B" w:rsidRPr="00031C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3A2"/>
    <w:rsid w:val="00003884"/>
    <w:rsid w:val="00015EB5"/>
    <w:rsid w:val="00024D8F"/>
    <w:rsid w:val="00024E8D"/>
    <w:rsid w:val="00031C40"/>
    <w:rsid w:val="00031F3C"/>
    <w:rsid w:val="000621DE"/>
    <w:rsid w:val="00064B27"/>
    <w:rsid w:val="00073D22"/>
    <w:rsid w:val="00077029"/>
    <w:rsid w:val="00077212"/>
    <w:rsid w:val="0008540B"/>
    <w:rsid w:val="00093A36"/>
    <w:rsid w:val="000A00CF"/>
    <w:rsid w:val="000A2DE5"/>
    <w:rsid w:val="000C0765"/>
    <w:rsid w:val="000C22D0"/>
    <w:rsid w:val="000C30A0"/>
    <w:rsid w:val="000D33B2"/>
    <w:rsid w:val="000D7586"/>
    <w:rsid w:val="000E28D8"/>
    <w:rsid w:val="000E4BF8"/>
    <w:rsid w:val="000E739C"/>
    <w:rsid w:val="00106D0F"/>
    <w:rsid w:val="001113CA"/>
    <w:rsid w:val="00117F69"/>
    <w:rsid w:val="00123096"/>
    <w:rsid w:val="0015590F"/>
    <w:rsid w:val="00161326"/>
    <w:rsid w:val="00177FE5"/>
    <w:rsid w:val="001874FA"/>
    <w:rsid w:val="00187929"/>
    <w:rsid w:val="00196B61"/>
    <w:rsid w:val="001A3EB0"/>
    <w:rsid w:val="001B7E3F"/>
    <w:rsid w:val="001C69A9"/>
    <w:rsid w:val="001D007B"/>
    <w:rsid w:val="001E48D7"/>
    <w:rsid w:val="001F34F4"/>
    <w:rsid w:val="00202C9B"/>
    <w:rsid w:val="0021011E"/>
    <w:rsid w:val="002626AE"/>
    <w:rsid w:val="00267C25"/>
    <w:rsid w:val="00273176"/>
    <w:rsid w:val="002935DF"/>
    <w:rsid w:val="002A21E3"/>
    <w:rsid w:val="002A2B96"/>
    <w:rsid w:val="002A44E9"/>
    <w:rsid w:val="002B4745"/>
    <w:rsid w:val="002D5959"/>
    <w:rsid w:val="002D63BD"/>
    <w:rsid w:val="002D7801"/>
    <w:rsid w:val="003109B9"/>
    <w:rsid w:val="00311F13"/>
    <w:rsid w:val="003132B9"/>
    <w:rsid w:val="003203CE"/>
    <w:rsid w:val="0032428E"/>
    <w:rsid w:val="003417B6"/>
    <w:rsid w:val="003420A5"/>
    <w:rsid w:val="0034600F"/>
    <w:rsid w:val="00346D5B"/>
    <w:rsid w:val="0034746B"/>
    <w:rsid w:val="00347A2C"/>
    <w:rsid w:val="00354C70"/>
    <w:rsid w:val="003624C5"/>
    <w:rsid w:val="00366E1C"/>
    <w:rsid w:val="003757E6"/>
    <w:rsid w:val="00381760"/>
    <w:rsid w:val="003961F7"/>
    <w:rsid w:val="003A007A"/>
    <w:rsid w:val="003C1F67"/>
    <w:rsid w:val="003C465D"/>
    <w:rsid w:val="003D5FB5"/>
    <w:rsid w:val="003F01B9"/>
    <w:rsid w:val="00412F21"/>
    <w:rsid w:val="00414645"/>
    <w:rsid w:val="00416BBA"/>
    <w:rsid w:val="00416DDB"/>
    <w:rsid w:val="00425028"/>
    <w:rsid w:val="00445973"/>
    <w:rsid w:val="00450902"/>
    <w:rsid w:val="00451FDB"/>
    <w:rsid w:val="004527E4"/>
    <w:rsid w:val="0045681D"/>
    <w:rsid w:val="004A2F75"/>
    <w:rsid w:val="004A3B65"/>
    <w:rsid w:val="004A5383"/>
    <w:rsid w:val="004B247E"/>
    <w:rsid w:val="004E4A3E"/>
    <w:rsid w:val="004F7149"/>
    <w:rsid w:val="00501534"/>
    <w:rsid w:val="00507B48"/>
    <w:rsid w:val="00532954"/>
    <w:rsid w:val="00552CB5"/>
    <w:rsid w:val="00554DEE"/>
    <w:rsid w:val="00560DBE"/>
    <w:rsid w:val="00566842"/>
    <w:rsid w:val="0057650B"/>
    <w:rsid w:val="005932B9"/>
    <w:rsid w:val="005B2C9B"/>
    <w:rsid w:val="005B3F27"/>
    <w:rsid w:val="005B76B8"/>
    <w:rsid w:val="005D15CE"/>
    <w:rsid w:val="005D4D98"/>
    <w:rsid w:val="005E4CE6"/>
    <w:rsid w:val="00611E64"/>
    <w:rsid w:val="00633967"/>
    <w:rsid w:val="00673F74"/>
    <w:rsid w:val="00677367"/>
    <w:rsid w:val="006B4F1A"/>
    <w:rsid w:val="006B67B0"/>
    <w:rsid w:val="006C3914"/>
    <w:rsid w:val="006C4195"/>
    <w:rsid w:val="006C50FE"/>
    <w:rsid w:val="006D3D4D"/>
    <w:rsid w:val="006D43B7"/>
    <w:rsid w:val="006F5E85"/>
    <w:rsid w:val="007012BE"/>
    <w:rsid w:val="00721081"/>
    <w:rsid w:val="007234C5"/>
    <w:rsid w:val="007316C4"/>
    <w:rsid w:val="0073198E"/>
    <w:rsid w:val="00733A8B"/>
    <w:rsid w:val="007561FC"/>
    <w:rsid w:val="00761DEF"/>
    <w:rsid w:val="007B114B"/>
    <w:rsid w:val="007B2C7F"/>
    <w:rsid w:val="007D2AA1"/>
    <w:rsid w:val="007F214F"/>
    <w:rsid w:val="00800B8E"/>
    <w:rsid w:val="00802793"/>
    <w:rsid w:val="00826B1A"/>
    <w:rsid w:val="008344F8"/>
    <w:rsid w:val="008449BA"/>
    <w:rsid w:val="008560AA"/>
    <w:rsid w:val="0088002E"/>
    <w:rsid w:val="00882C65"/>
    <w:rsid w:val="00890F29"/>
    <w:rsid w:val="0089386D"/>
    <w:rsid w:val="008A4C48"/>
    <w:rsid w:val="008A53E7"/>
    <w:rsid w:val="008B4713"/>
    <w:rsid w:val="008C0A7C"/>
    <w:rsid w:val="008E4FA7"/>
    <w:rsid w:val="008F4294"/>
    <w:rsid w:val="00912797"/>
    <w:rsid w:val="00917947"/>
    <w:rsid w:val="009202F6"/>
    <w:rsid w:val="009262E5"/>
    <w:rsid w:val="009360BD"/>
    <w:rsid w:val="009435D3"/>
    <w:rsid w:val="00944327"/>
    <w:rsid w:val="00950DE1"/>
    <w:rsid w:val="00955D40"/>
    <w:rsid w:val="009834C8"/>
    <w:rsid w:val="009B1A0A"/>
    <w:rsid w:val="009F4C83"/>
    <w:rsid w:val="00A11739"/>
    <w:rsid w:val="00A21553"/>
    <w:rsid w:val="00A24B6C"/>
    <w:rsid w:val="00A274A0"/>
    <w:rsid w:val="00A300CE"/>
    <w:rsid w:val="00A6600E"/>
    <w:rsid w:val="00AA1C75"/>
    <w:rsid w:val="00AA3C78"/>
    <w:rsid w:val="00AB7BA1"/>
    <w:rsid w:val="00AC296B"/>
    <w:rsid w:val="00AC39DF"/>
    <w:rsid w:val="00AD1295"/>
    <w:rsid w:val="00AD3DF3"/>
    <w:rsid w:val="00AD4F71"/>
    <w:rsid w:val="00AD65A6"/>
    <w:rsid w:val="00AE7322"/>
    <w:rsid w:val="00B37EEB"/>
    <w:rsid w:val="00B540B1"/>
    <w:rsid w:val="00B719CF"/>
    <w:rsid w:val="00B72D4E"/>
    <w:rsid w:val="00B7493F"/>
    <w:rsid w:val="00B75DF7"/>
    <w:rsid w:val="00B76D90"/>
    <w:rsid w:val="00B82493"/>
    <w:rsid w:val="00B945DE"/>
    <w:rsid w:val="00B974E4"/>
    <w:rsid w:val="00BC1621"/>
    <w:rsid w:val="00BC3EC5"/>
    <w:rsid w:val="00BD229D"/>
    <w:rsid w:val="00C0621F"/>
    <w:rsid w:val="00C361D6"/>
    <w:rsid w:val="00C36E64"/>
    <w:rsid w:val="00C5719E"/>
    <w:rsid w:val="00C57D7C"/>
    <w:rsid w:val="00C67236"/>
    <w:rsid w:val="00C756E6"/>
    <w:rsid w:val="00C763A2"/>
    <w:rsid w:val="00C80554"/>
    <w:rsid w:val="00C856E2"/>
    <w:rsid w:val="00C93E9E"/>
    <w:rsid w:val="00CA03BE"/>
    <w:rsid w:val="00CC4999"/>
    <w:rsid w:val="00CD7128"/>
    <w:rsid w:val="00CE1176"/>
    <w:rsid w:val="00CF0575"/>
    <w:rsid w:val="00D02B55"/>
    <w:rsid w:val="00D06B21"/>
    <w:rsid w:val="00D075E3"/>
    <w:rsid w:val="00D07D22"/>
    <w:rsid w:val="00D526F1"/>
    <w:rsid w:val="00D76C04"/>
    <w:rsid w:val="00DA7723"/>
    <w:rsid w:val="00DB019F"/>
    <w:rsid w:val="00DB7074"/>
    <w:rsid w:val="00DC0B13"/>
    <w:rsid w:val="00DC6C8E"/>
    <w:rsid w:val="00DD67CF"/>
    <w:rsid w:val="00E232A3"/>
    <w:rsid w:val="00E464CC"/>
    <w:rsid w:val="00E47582"/>
    <w:rsid w:val="00E65A3D"/>
    <w:rsid w:val="00E66940"/>
    <w:rsid w:val="00E7056D"/>
    <w:rsid w:val="00E92AB4"/>
    <w:rsid w:val="00EA146A"/>
    <w:rsid w:val="00EA3EE1"/>
    <w:rsid w:val="00EB145E"/>
    <w:rsid w:val="00EB2075"/>
    <w:rsid w:val="00EB3A69"/>
    <w:rsid w:val="00EB7B6D"/>
    <w:rsid w:val="00EC2122"/>
    <w:rsid w:val="00ED3F42"/>
    <w:rsid w:val="00ED781E"/>
    <w:rsid w:val="00ED7C10"/>
    <w:rsid w:val="00EF1072"/>
    <w:rsid w:val="00EF2BD9"/>
    <w:rsid w:val="00EF5314"/>
    <w:rsid w:val="00F02D08"/>
    <w:rsid w:val="00F03374"/>
    <w:rsid w:val="00F1502E"/>
    <w:rsid w:val="00F310EC"/>
    <w:rsid w:val="00F3174A"/>
    <w:rsid w:val="00F4175F"/>
    <w:rsid w:val="00F46972"/>
    <w:rsid w:val="00F66EBB"/>
    <w:rsid w:val="00F85854"/>
    <w:rsid w:val="00FA4E17"/>
    <w:rsid w:val="00FD3C09"/>
    <w:rsid w:val="00FD4911"/>
    <w:rsid w:val="00FD4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0902"/>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450902"/>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450902"/>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902"/>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50902"/>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D76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C04"/>
    <w:rPr>
      <w:rFonts w:ascii="Tahoma" w:hAnsi="Tahoma" w:cs="Tahoma"/>
      <w:sz w:val="16"/>
      <w:szCs w:val="16"/>
    </w:rPr>
  </w:style>
  <w:style w:type="character" w:styleId="Hyperlink">
    <w:name w:val="Hyperlink"/>
    <w:basedOn w:val="DefaultParagraphFont"/>
    <w:uiPriority w:val="99"/>
    <w:unhideWhenUsed/>
    <w:rsid w:val="006C3914"/>
    <w:rPr>
      <w:color w:val="0000FF" w:themeColor="hyperlink"/>
      <w:u w:val="single"/>
    </w:rPr>
  </w:style>
  <w:style w:type="table" w:styleId="TableGrid">
    <w:name w:val="Table Grid"/>
    <w:basedOn w:val="TableNormal"/>
    <w:uiPriority w:val="39"/>
    <w:rsid w:val="00324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9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21081"/>
    <w:rPr>
      <w:sz w:val="16"/>
      <w:szCs w:val="16"/>
    </w:rPr>
  </w:style>
  <w:style w:type="paragraph" w:styleId="CommentText">
    <w:name w:val="annotation text"/>
    <w:basedOn w:val="Normal"/>
    <w:link w:val="CommentTextChar"/>
    <w:uiPriority w:val="99"/>
    <w:semiHidden/>
    <w:unhideWhenUsed/>
    <w:rsid w:val="00721081"/>
    <w:pPr>
      <w:spacing w:line="240" w:lineRule="auto"/>
    </w:pPr>
    <w:rPr>
      <w:sz w:val="20"/>
      <w:szCs w:val="20"/>
    </w:rPr>
  </w:style>
  <w:style w:type="character" w:customStyle="1" w:styleId="CommentTextChar">
    <w:name w:val="Comment Text Char"/>
    <w:basedOn w:val="DefaultParagraphFont"/>
    <w:link w:val="CommentText"/>
    <w:uiPriority w:val="99"/>
    <w:semiHidden/>
    <w:rsid w:val="00721081"/>
    <w:rPr>
      <w:sz w:val="20"/>
      <w:szCs w:val="20"/>
    </w:rPr>
  </w:style>
  <w:style w:type="paragraph" w:styleId="CommentSubject">
    <w:name w:val="annotation subject"/>
    <w:basedOn w:val="CommentText"/>
    <w:next w:val="CommentText"/>
    <w:link w:val="CommentSubjectChar"/>
    <w:uiPriority w:val="99"/>
    <w:semiHidden/>
    <w:unhideWhenUsed/>
    <w:rsid w:val="00721081"/>
    <w:rPr>
      <w:b/>
      <w:bCs/>
    </w:rPr>
  </w:style>
  <w:style w:type="character" w:customStyle="1" w:styleId="CommentSubjectChar">
    <w:name w:val="Comment Subject Char"/>
    <w:basedOn w:val="CommentTextChar"/>
    <w:link w:val="CommentSubject"/>
    <w:uiPriority w:val="99"/>
    <w:semiHidden/>
    <w:rsid w:val="00721081"/>
    <w:rPr>
      <w:b/>
      <w:bCs/>
      <w:sz w:val="20"/>
      <w:szCs w:val="20"/>
    </w:rPr>
  </w:style>
  <w:style w:type="character" w:customStyle="1" w:styleId="Heading3Char">
    <w:name w:val="Heading 3 Char"/>
    <w:basedOn w:val="DefaultParagraphFont"/>
    <w:link w:val="Heading3"/>
    <w:uiPriority w:val="9"/>
    <w:semiHidden/>
    <w:rsid w:val="00450902"/>
    <w:rPr>
      <w:rFonts w:ascii="Times New Roman" w:eastAsiaTheme="majorEastAsia" w:hAnsi="Times New Roman"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0902"/>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450902"/>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450902"/>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902"/>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450902"/>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D76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C04"/>
    <w:rPr>
      <w:rFonts w:ascii="Tahoma" w:hAnsi="Tahoma" w:cs="Tahoma"/>
      <w:sz w:val="16"/>
      <w:szCs w:val="16"/>
    </w:rPr>
  </w:style>
  <w:style w:type="character" w:styleId="Hyperlink">
    <w:name w:val="Hyperlink"/>
    <w:basedOn w:val="DefaultParagraphFont"/>
    <w:uiPriority w:val="99"/>
    <w:unhideWhenUsed/>
    <w:rsid w:val="006C3914"/>
    <w:rPr>
      <w:color w:val="0000FF" w:themeColor="hyperlink"/>
      <w:u w:val="single"/>
    </w:rPr>
  </w:style>
  <w:style w:type="table" w:styleId="TableGrid">
    <w:name w:val="Table Grid"/>
    <w:basedOn w:val="TableNormal"/>
    <w:uiPriority w:val="39"/>
    <w:rsid w:val="00324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9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21081"/>
    <w:rPr>
      <w:sz w:val="16"/>
      <w:szCs w:val="16"/>
    </w:rPr>
  </w:style>
  <w:style w:type="paragraph" w:styleId="CommentText">
    <w:name w:val="annotation text"/>
    <w:basedOn w:val="Normal"/>
    <w:link w:val="CommentTextChar"/>
    <w:uiPriority w:val="99"/>
    <w:semiHidden/>
    <w:unhideWhenUsed/>
    <w:rsid w:val="00721081"/>
    <w:pPr>
      <w:spacing w:line="240" w:lineRule="auto"/>
    </w:pPr>
    <w:rPr>
      <w:sz w:val="20"/>
      <w:szCs w:val="20"/>
    </w:rPr>
  </w:style>
  <w:style w:type="character" w:customStyle="1" w:styleId="CommentTextChar">
    <w:name w:val="Comment Text Char"/>
    <w:basedOn w:val="DefaultParagraphFont"/>
    <w:link w:val="CommentText"/>
    <w:uiPriority w:val="99"/>
    <w:semiHidden/>
    <w:rsid w:val="00721081"/>
    <w:rPr>
      <w:sz w:val="20"/>
      <w:szCs w:val="20"/>
    </w:rPr>
  </w:style>
  <w:style w:type="paragraph" w:styleId="CommentSubject">
    <w:name w:val="annotation subject"/>
    <w:basedOn w:val="CommentText"/>
    <w:next w:val="CommentText"/>
    <w:link w:val="CommentSubjectChar"/>
    <w:uiPriority w:val="99"/>
    <w:semiHidden/>
    <w:unhideWhenUsed/>
    <w:rsid w:val="00721081"/>
    <w:rPr>
      <w:b/>
      <w:bCs/>
    </w:rPr>
  </w:style>
  <w:style w:type="character" w:customStyle="1" w:styleId="CommentSubjectChar">
    <w:name w:val="Comment Subject Char"/>
    <w:basedOn w:val="CommentTextChar"/>
    <w:link w:val="CommentSubject"/>
    <w:uiPriority w:val="99"/>
    <w:semiHidden/>
    <w:rsid w:val="00721081"/>
    <w:rPr>
      <w:b/>
      <w:bCs/>
      <w:sz w:val="20"/>
      <w:szCs w:val="20"/>
    </w:rPr>
  </w:style>
  <w:style w:type="character" w:customStyle="1" w:styleId="Heading3Char">
    <w:name w:val="Heading 3 Char"/>
    <w:basedOn w:val="DefaultParagraphFont"/>
    <w:link w:val="Heading3"/>
    <w:uiPriority w:val="9"/>
    <w:semiHidden/>
    <w:rsid w:val="00450902"/>
    <w:rPr>
      <w:rFonts w:ascii="Times New Roman" w:eastAsiaTheme="majorEastAsia" w:hAnsi="Times New Roman"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3979">
      <w:bodyDiv w:val="1"/>
      <w:marLeft w:val="0"/>
      <w:marRight w:val="0"/>
      <w:marTop w:val="0"/>
      <w:marBottom w:val="0"/>
      <w:divBdr>
        <w:top w:val="none" w:sz="0" w:space="0" w:color="auto"/>
        <w:left w:val="none" w:sz="0" w:space="0" w:color="auto"/>
        <w:bottom w:val="none" w:sz="0" w:space="0" w:color="auto"/>
        <w:right w:val="none" w:sz="0" w:space="0" w:color="auto"/>
      </w:divBdr>
    </w:div>
    <w:div w:id="128518729">
      <w:bodyDiv w:val="1"/>
      <w:marLeft w:val="0"/>
      <w:marRight w:val="0"/>
      <w:marTop w:val="0"/>
      <w:marBottom w:val="0"/>
      <w:divBdr>
        <w:top w:val="none" w:sz="0" w:space="0" w:color="auto"/>
        <w:left w:val="none" w:sz="0" w:space="0" w:color="auto"/>
        <w:bottom w:val="none" w:sz="0" w:space="0" w:color="auto"/>
        <w:right w:val="none" w:sz="0" w:space="0" w:color="auto"/>
      </w:divBdr>
    </w:div>
    <w:div w:id="189493911">
      <w:bodyDiv w:val="1"/>
      <w:marLeft w:val="0"/>
      <w:marRight w:val="0"/>
      <w:marTop w:val="0"/>
      <w:marBottom w:val="0"/>
      <w:divBdr>
        <w:top w:val="none" w:sz="0" w:space="0" w:color="auto"/>
        <w:left w:val="none" w:sz="0" w:space="0" w:color="auto"/>
        <w:bottom w:val="none" w:sz="0" w:space="0" w:color="auto"/>
        <w:right w:val="none" w:sz="0" w:space="0" w:color="auto"/>
      </w:divBdr>
    </w:div>
    <w:div w:id="270821106">
      <w:bodyDiv w:val="1"/>
      <w:marLeft w:val="0"/>
      <w:marRight w:val="0"/>
      <w:marTop w:val="0"/>
      <w:marBottom w:val="0"/>
      <w:divBdr>
        <w:top w:val="none" w:sz="0" w:space="0" w:color="auto"/>
        <w:left w:val="none" w:sz="0" w:space="0" w:color="auto"/>
        <w:bottom w:val="none" w:sz="0" w:space="0" w:color="auto"/>
        <w:right w:val="none" w:sz="0" w:space="0" w:color="auto"/>
      </w:divBdr>
    </w:div>
    <w:div w:id="306981710">
      <w:bodyDiv w:val="1"/>
      <w:marLeft w:val="0"/>
      <w:marRight w:val="0"/>
      <w:marTop w:val="0"/>
      <w:marBottom w:val="0"/>
      <w:divBdr>
        <w:top w:val="none" w:sz="0" w:space="0" w:color="auto"/>
        <w:left w:val="none" w:sz="0" w:space="0" w:color="auto"/>
        <w:bottom w:val="none" w:sz="0" w:space="0" w:color="auto"/>
        <w:right w:val="none" w:sz="0" w:space="0" w:color="auto"/>
      </w:divBdr>
    </w:div>
    <w:div w:id="402266356">
      <w:bodyDiv w:val="1"/>
      <w:marLeft w:val="0"/>
      <w:marRight w:val="0"/>
      <w:marTop w:val="0"/>
      <w:marBottom w:val="0"/>
      <w:divBdr>
        <w:top w:val="none" w:sz="0" w:space="0" w:color="auto"/>
        <w:left w:val="none" w:sz="0" w:space="0" w:color="auto"/>
        <w:bottom w:val="none" w:sz="0" w:space="0" w:color="auto"/>
        <w:right w:val="none" w:sz="0" w:space="0" w:color="auto"/>
      </w:divBdr>
    </w:div>
    <w:div w:id="448670434">
      <w:bodyDiv w:val="1"/>
      <w:marLeft w:val="0"/>
      <w:marRight w:val="0"/>
      <w:marTop w:val="0"/>
      <w:marBottom w:val="0"/>
      <w:divBdr>
        <w:top w:val="none" w:sz="0" w:space="0" w:color="auto"/>
        <w:left w:val="none" w:sz="0" w:space="0" w:color="auto"/>
        <w:bottom w:val="none" w:sz="0" w:space="0" w:color="auto"/>
        <w:right w:val="none" w:sz="0" w:space="0" w:color="auto"/>
      </w:divBdr>
    </w:div>
    <w:div w:id="464204658">
      <w:bodyDiv w:val="1"/>
      <w:marLeft w:val="0"/>
      <w:marRight w:val="0"/>
      <w:marTop w:val="0"/>
      <w:marBottom w:val="0"/>
      <w:divBdr>
        <w:top w:val="none" w:sz="0" w:space="0" w:color="auto"/>
        <w:left w:val="none" w:sz="0" w:space="0" w:color="auto"/>
        <w:bottom w:val="none" w:sz="0" w:space="0" w:color="auto"/>
        <w:right w:val="none" w:sz="0" w:space="0" w:color="auto"/>
      </w:divBdr>
    </w:div>
    <w:div w:id="464660754">
      <w:bodyDiv w:val="1"/>
      <w:marLeft w:val="0"/>
      <w:marRight w:val="0"/>
      <w:marTop w:val="0"/>
      <w:marBottom w:val="0"/>
      <w:divBdr>
        <w:top w:val="none" w:sz="0" w:space="0" w:color="auto"/>
        <w:left w:val="none" w:sz="0" w:space="0" w:color="auto"/>
        <w:bottom w:val="none" w:sz="0" w:space="0" w:color="auto"/>
        <w:right w:val="none" w:sz="0" w:space="0" w:color="auto"/>
      </w:divBdr>
    </w:div>
    <w:div w:id="464928975">
      <w:bodyDiv w:val="1"/>
      <w:marLeft w:val="0"/>
      <w:marRight w:val="0"/>
      <w:marTop w:val="0"/>
      <w:marBottom w:val="0"/>
      <w:divBdr>
        <w:top w:val="none" w:sz="0" w:space="0" w:color="auto"/>
        <w:left w:val="none" w:sz="0" w:space="0" w:color="auto"/>
        <w:bottom w:val="none" w:sz="0" w:space="0" w:color="auto"/>
        <w:right w:val="none" w:sz="0" w:space="0" w:color="auto"/>
      </w:divBdr>
    </w:div>
    <w:div w:id="470943953">
      <w:bodyDiv w:val="1"/>
      <w:marLeft w:val="0"/>
      <w:marRight w:val="0"/>
      <w:marTop w:val="0"/>
      <w:marBottom w:val="0"/>
      <w:divBdr>
        <w:top w:val="none" w:sz="0" w:space="0" w:color="auto"/>
        <w:left w:val="none" w:sz="0" w:space="0" w:color="auto"/>
        <w:bottom w:val="none" w:sz="0" w:space="0" w:color="auto"/>
        <w:right w:val="none" w:sz="0" w:space="0" w:color="auto"/>
      </w:divBdr>
    </w:div>
    <w:div w:id="485560767">
      <w:bodyDiv w:val="1"/>
      <w:marLeft w:val="0"/>
      <w:marRight w:val="0"/>
      <w:marTop w:val="0"/>
      <w:marBottom w:val="0"/>
      <w:divBdr>
        <w:top w:val="none" w:sz="0" w:space="0" w:color="auto"/>
        <w:left w:val="none" w:sz="0" w:space="0" w:color="auto"/>
        <w:bottom w:val="none" w:sz="0" w:space="0" w:color="auto"/>
        <w:right w:val="none" w:sz="0" w:space="0" w:color="auto"/>
      </w:divBdr>
    </w:div>
    <w:div w:id="494077076">
      <w:bodyDiv w:val="1"/>
      <w:marLeft w:val="0"/>
      <w:marRight w:val="0"/>
      <w:marTop w:val="0"/>
      <w:marBottom w:val="0"/>
      <w:divBdr>
        <w:top w:val="none" w:sz="0" w:space="0" w:color="auto"/>
        <w:left w:val="none" w:sz="0" w:space="0" w:color="auto"/>
        <w:bottom w:val="none" w:sz="0" w:space="0" w:color="auto"/>
        <w:right w:val="none" w:sz="0" w:space="0" w:color="auto"/>
      </w:divBdr>
    </w:div>
    <w:div w:id="551618812">
      <w:bodyDiv w:val="1"/>
      <w:marLeft w:val="0"/>
      <w:marRight w:val="0"/>
      <w:marTop w:val="0"/>
      <w:marBottom w:val="0"/>
      <w:divBdr>
        <w:top w:val="none" w:sz="0" w:space="0" w:color="auto"/>
        <w:left w:val="none" w:sz="0" w:space="0" w:color="auto"/>
        <w:bottom w:val="none" w:sz="0" w:space="0" w:color="auto"/>
        <w:right w:val="none" w:sz="0" w:space="0" w:color="auto"/>
      </w:divBdr>
    </w:div>
    <w:div w:id="661279474">
      <w:bodyDiv w:val="1"/>
      <w:marLeft w:val="0"/>
      <w:marRight w:val="0"/>
      <w:marTop w:val="0"/>
      <w:marBottom w:val="0"/>
      <w:divBdr>
        <w:top w:val="none" w:sz="0" w:space="0" w:color="auto"/>
        <w:left w:val="none" w:sz="0" w:space="0" w:color="auto"/>
        <w:bottom w:val="none" w:sz="0" w:space="0" w:color="auto"/>
        <w:right w:val="none" w:sz="0" w:space="0" w:color="auto"/>
      </w:divBdr>
    </w:div>
    <w:div w:id="742751415">
      <w:bodyDiv w:val="1"/>
      <w:marLeft w:val="0"/>
      <w:marRight w:val="0"/>
      <w:marTop w:val="0"/>
      <w:marBottom w:val="0"/>
      <w:divBdr>
        <w:top w:val="none" w:sz="0" w:space="0" w:color="auto"/>
        <w:left w:val="none" w:sz="0" w:space="0" w:color="auto"/>
        <w:bottom w:val="none" w:sz="0" w:space="0" w:color="auto"/>
        <w:right w:val="none" w:sz="0" w:space="0" w:color="auto"/>
      </w:divBdr>
    </w:div>
    <w:div w:id="750784012">
      <w:bodyDiv w:val="1"/>
      <w:marLeft w:val="0"/>
      <w:marRight w:val="0"/>
      <w:marTop w:val="0"/>
      <w:marBottom w:val="0"/>
      <w:divBdr>
        <w:top w:val="none" w:sz="0" w:space="0" w:color="auto"/>
        <w:left w:val="none" w:sz="0" w:space="0" w:color="auto"/>
        <w:bottom w:val="none" w:sz="0" w:space="0" w:color="auto"/>
        <w:right w:val="none" w:sz="0" w:space="0" w:color="auto"/>
      </w:divBdr>
    </w:div>
    <w:div w:id="763455866">
      <w:bodyDiv w:val="1"/>
      <w:marLeft w:val="0"/>
      <w:marRight w:val="0"/>
      <w:marTop w:val="0"/>
      <w:marBottom w:val="0"/>
      <w:divBdr>
        <w:top w:val="none" w:sz="0" w:space="0" w:color="auto"/>
        <w:left w:val="none" w:sz="0" w:space="0" w:color="auto"/>
        <w:bottom w:val="none" w:sz="0" w:space="0" w:color="auto"/>
        <w:right w:val="none" w:sz="0" w:space="0" w:color="auto"/>
      </w:divBdr>
    </w:div>
    <w:div w:id="817915633">
      <w:bodyDiv w:val="1"/>
      <w:marLeft w:val="0"/>
      <w:marRight w:val="0"/>
      <w:marTop w:val="0"/>
      <w:marBottom w:val="0"/>
      <w:divBdr>
        <w:top w:val="none" w:sz="0" w:space="0" w:color="auto"/>
        <w:left w:val="none" w:sz="0" w:space="0" w:color="auto"/>
        <w:bottom w:val="none" w:sz="0" w:space="0" w:color="auto"/>
        <w:right w:val="none" w:sz="0" w:space="0" w:color="auto"/>
      </w:divBdr>
    </w:div>
    <w:div w:id="834491904">
      <w:bodyDiv w:val="1"/>
      <w:marLeft w:val="0"/>
      <w:marRight w:val="0"/>
      <w:marTop w:val="0"/>
      <w:marBottom w:val="0"/>
      <w:divBdr>
        <w:top w:val="none" w:sz="0" w:space="0" w:color="auto"/>
        <w:left w:val="none" w:sz="0" w:space="0" w:color="auto"/>
        <w:bottom w:val="none" w:sz="0" w:space="0" w:color="auto"/>
        <w:right w:val="none" w:sz="0" w:space="0" w:color="auto"/>
      </w:divBdr>
    </w:div>
    <w:div w:id="841969420">
      <w:bodyDiv w:val="1"/>
      <w:marLeft w:val="0"/>
      <w:marRight w:val="0"/>
      <w:marTop w:val="0"/>
      <w:marBottom w:val="0"/>
      <w:divBdr>
        <w:top w:val="none" w:sz="0" w:space="0" w:color="auto"/>
        <w:left w:val="none" w:sz="0" w:space="0" w:color="auto"/>
        <w:bottom w:val="none" w:sz="0" w:space="0" w:color="auto"/>
        <w:right w:val="none" w:sz="0" w:space="0" w:color="auto"/>
      </w:divBdr>
    </w:div>
    <w:div w:id="854075442">
      <w:bodyDiv w:val="1"/>
      <w:marLeft w:val="0"/>
      <w:marRight w:val="0"/>
      <w:marTop w:val="0"/>
      <w:marBottom w:val="0"/>
      <w:divBdr>
        <w:top w:val="none" w:sz="0" w:space="0" w:color="auto"/>
        <w:left w:val="none" w:sz="0" w:space="0" w:color="auto"/>
        <w:bottom w:val="none" w:sz="0" w:space="0" w:color="auto"/>
        <w:right w:val="none" w:sz="0" w:space="0" w:color="auto"/>
      </w:divBdr>
    </w:div>
    <w:div w:id="905454322">
      <w:bodyDiv w:val="1"/>
      <w:marLeft w:val="0"/>
      <w:marRight w:val="0"/>
      <w:marTop w:val="0"/>
      <w:marBottom w:val="0"/>
      <w:divBdr>
        <w:top w:val="none" w:sz="0" w:space="0" w:color="auto"/>
        <w:left w:val="none" w:sz="0" w:space="0" w:color="auto"/>
        <w:bottom w:val="none" w:sz="0" w:space="0" w:color="auto"/>
        <w:right w:val="none" w:sz="0" w:space="0" w:color="auto"/>
      </w:divBdr>
    </w:div>
    <w:div w:id="908268836">
      <w:bodyDiv w:val="1"/>
      <w:marLeft w:val="0"/>
      <w:marRight w:val="0"/>
      <w:marTop w:val="0"/>
      <w:marBottom w:val="0"/>
      <w:divBdr>
        <w:top w:val="none" w:sz="0" w:space="0" w:color="auto"/>
        <w:left w:val="none" w:sz="0" w:space="0" w:color="auto"/>
        <w:bottom w:val="none" w:sz="0" w:space="0" w:color="auto"/>
        <w:right w:val="none" w:sz="0" w:space="0" w:color="auto"/>
      </w:divBdr>
    </w:div>
    <w:div w:id="967663512">
      <w:bodyDiv w:val="1"/>
      <w:marLeft w:val="0"/>
      <w:marRight w:val="0"/>
      <w:marTop w:val="0"/>
      <w:marBottom w:val="0"/>
      <w:divBdr>
        <w:top w:val="none" w:sz="0" w:space="0" w:color="auto"/>
        <w:left w:val="none" w:sz="0" w:space="0" w:color="auto"/>
        <w:bottom w:val="none" w:sz="0" w:space="0" w:color="auto"/>
        <w:right w:val="none" w:sz="0" w:space="0" w:color="auto"/>
      </w:divBdr>
    </w:div>
    <w:div w:id="1014965827">
      <w:bodyDiv w:val="1"/>
      <w:marLeft w:val="0"/>
      <w:marRight w:val="0"/>
      <w:marTop w:val="0"/>
      <w:marBottom w:val="0"/>
      <w:divBdr>
        <w:top w:val="none" w:sz="0" w:space="0" w:color="auto"/>
        <w:left w:val="none" w:sz="0" w:space="0" w:color="auto"/>
        <w:bottom w:val="none" w:sz="0" w:space="0" w:color="auto"/>
        <w:right w:val="none" w:sz="0" w:space="0" w:color="auto"/>
      </w:divBdr>
    </w:div>
    <w:div w:id="1052195522">
      <w:bodyDiv w:val="1"/>
      <w:marLeft w:val="0"/>
      <w:marRight w:val="0"/>
      <w:marTop w:val="0"/>
      <w:marBottom w:val="0"/>
      <w:divBdr>
        <w:top w:val="none" w:sz="0" w:space="0" w:color="auto"/>
        <w:left w:val="none" w:sz="0" w:space="0" w:color="auto"/>
        <w:bottom w:val="none" w:sz="0" w:space="0" w:color="auto"/>
        <w:right w:val="none" w:sz="0" w:space="0" w:color="auto"/>
      </w:divBdr>
    </w:div>
    <w:div w:id="1073969821">
      <w:bodyDiv w:val="1"/>
      <w:marLeft w:val="0"/>
      <w:marRight w:val="0"/>
      <w:marTop w:val="0"/>
      <w:marBottom w:val="0"/>
      <w:divBdr>
        <w:top w:val="none" w:sz="0" w:space="0" w:color="auto"/>
        <w:left w:val="none" w:sz="0" w:space="0" w:color="auto"/>
        <w:bottom w:val="none" w:sz="0" w:space="0" w:color="auto"/>
        <w:right w:val="none" w:sz="0" w:space="0" w:color="auto"/>
      </w:divBdr>
    </w:div>
    <w:div w:id="1102382842">
      <w:bodyDiv w:val="1"/>
      <w:marLeft w:val="0"/>
      <w:marRight w:val="0"/>
      <w:marTop w:val="0"/>
      <w:marBottom w:val="0"/>
      <w:divBdr>
        <w:top w:val="none" w:sz="0" w:space="0" w:color="auto"/>
        <w:left w:val="none" w:sz="0" w:space="0" w:color="auto"/>
        <w:bottom w:val="none" w:sz="0" w:space="0" w:color="auto"/>
        <w:right w:val="none" w:sz="0" w:space="0" w:color="auto"/>
      </w:divBdr>
    </w:div>
    <w:div w:id="1265578366">
      <w:bodyDiv w:val="1"/>
      <w:marLeft w:val="0"/>
      <w:marRight w:val="0"/>
      <w:marTop w:val="0"/>
      <w:marBottom w:val="0"/>
      <w:divBdr>
        <w:top w:val="none" w:sz="0" w:space="0" w:color="auto"/>
        <w:left w:val="none" w:sz="0" w:space="0" w:color="auto"/>
        <w:bottom w:val="none" w:sz="0" w:space="0" w:color="auto"/>
        <w:right w:val="none" w:sz="0" w:space="0" w:color="auto"/>
      </w:divBdr>
    </w:div>
    <w:div w:id="1375619532">
      <w:bodyDiv w:val="1"/>
      <w:marLeft w:val="0"/>
      <w:marRight w:val="0"/>
      <w:marTop w:val="0"/>
      <w:marBottom w:val="0"/>
      <w:divBdr>
        <w:top w:val="none" w:sz="0" w:space="0" w:color="auto"/>
        <w:left w:val="none" w:sz="0" w:space="0" w:color="auto"/>
        <w:bottom w:val="none" w:sz="0" w:space="0" w:color="auto"/>
        <w:right w:val="none" w:sz="0" w:space="0" w:color="auto"/>
      </w:divBdr>
    </w:div>
    <w:div w:id="1439911066">
      <w:bodyDiv w:val="1"/>
      <w:marLeft w:val="0"/>
      <w:marRight w:val="0"/>
      <w:marTop w:val="0"/>
      <w:marBottom w:val="0"/>
      <w:divBdr>
        <w:top w:val="none" w:sz="0" w:space="0" w:color="auto"/>
        <w:left w:val="none" w:sz="0" w:space="0" w:color="auto"/>
        <w:bottom w:val="none" w:sz="0" w:space="0" w:color="auto"/>
        <w:right w:val="none" w:sz="0" w:space="0" w:color="auto"/>
      </w:divBdr>
    </w:div>
    <w:div w:id="1463616257">
      <w:bodyDiv w:val="1"/>
      <w:marLeft w:val="0"/>
      <w:marRight w:val="0"/>
      <w:marTop w:val="0"/>
      <w:marBottom w:val="0"/>
      <w:divBdr>
        <w:top w:val="none" w:sz="0" w:space="0" w:color="auto"/>
        <w:left w:val="none" w:sz="0" w:space="0" w:color="auto"/>
        <w:bottom w:val="none" w:sz="0" w:space="0" w:color="auto"/>
        <w:right w:val="none" w:sz="0" w:space="0" w:color="auto"/>
      </w:divBdr>
    </w:div>
    <w:div w:id="1489907846">
      <w:bodyDiv w:val="1"/>
      <w:marLeft w:val="0"/>
      <w:marRight w:val="0"/>
      <w:marTop w:val="0"/>
      <w:marBottom w:val="0"/>
      <w:divBdr>
        <w:top w:val="none" w:sz="0" w:space="0" w:color="auto"/>
        <w:left w:val="none" w:sz="0" w:space="0" w:color="auto"/>
        <w:bottom w:val="none" w:sz="0" w:space="0" w:color="auto"/>
        <w:right w:val="none" w:sz="0" w:space="0" w:color="auto"/>
      </w:divBdr>
    </w:div>
    <w:div w:id="1601916249">
      <w:bodyDiv w:val="1"/>
      <w:marLeft w:val="0"/>
      <w:marRight w:val="0"/>
      <w:marTop w:val="0"/>
      <w:marBottom w:val="0"/>
      <w:divBdr>
        <w:top w:val="none" w:sz="0" w:space="0" w:color="auto"/>
        <w:left w:val="none" w:sz="0" w:space="0" w:color="auto"/>
        <w:bottom w:val="none" w:sz="0" w:space="0" w:color="auto"/>
        <w:right w:val="none" w:sz="0" w:space="0" w:color="auto"/>
      </w:divBdr>
    </w:div>
    <w:div w:id="1633711335">
      <w:bodyDiv w:val="1"/>
      <w:marLeft w:val="0"/>
      <w:marRight w:val="0"/>
      <w:marTop w:val="0"/>
      <w:marBottom w:val="0"/>
      <w:divBdr>
        <w:top w:val="none" w:sz="0" w:space="0" w:color="auto"/>
        <w:left w:val="none" w:sz="0" w:space="0" w:color="auto"/>
        <w:bottom w:val="none" w:sz="0" w:space="0" w:color="auto"/>
        <w:right w:val="none" w:sz="0" w:space="0" w:color="auto"/>
      </w:divBdr>
    </w:div>
    <w:div w:id="1678457506">
      <w:bodyDiv w:val="1"/>
      <w:marLeft w:val="0"/>
      <w:marRight w:val="0"/>
      <w:marTop w:val="0"/>
      <w:marBottom w:val="0"/>
      <w:divBdr>
        <w:top w:val="none" w:sz="0" w:space="0" w:color="auto"/>
        <w:left w:val="none" w:sz="0" w:space="0" w:color="auto"/>
        <w:bottom w:val="none" w:sz="0" w:space="0" w:color="auto"/>
        <w:right w:val="none" w:sz="0" w:space="0" w:color="auto"/>
      </w:divBdr>
    </w:div>
    <w:div w:id="1678802722">
      <w:bodyDiv w:val="1"/>
      <w:marLeft w:val="0"/>
      <w:marRight w:val="0"/>
      <w:marTop w:val="0"/>
      <w:marBottom w:val="0"/>
      <w:divBdr>
        <w:top w:val="none" w:sz="0" w:space="0" w:color="auto"/>
        <w:left w:val="none" w:sz="0" w:space="0" w:color="auto"/>
        <w:bottom w:val="none" w:sz="0" w:space="0" w:color="auto"/>
        <w:right w:val="none" w:sz="0" w:space="0" w:color="auto"/>
      </w:divBdr>
    </w:div>
    <w:div w:id="1688100429">
      <w:bodyDiv w:val="1"/>
      <w:marLeft w:val="0"/>
      <w:marRight w:val="0"/>
      <w:marTop w:val="0"/>
      <w:marBottom w:val="0"/>
      <w:divBdr>
        <w:top w:val="none" w:sz="0" w:space="0" w:color="auto"/>
        <w:left w:val="none" w:sz="0" w:space="0" w:color="auto"/>
        <w:bottom w:val="none" w:sz="0" w:space="0" w:color="auto"/>
        <w:right w:val="none" w:sz="0" w:space="0" w:color="auto"/>
      </w:divBdr>
    </w:div>
    <w:div w:id="1750080860">
      <w:bodyDiv w:val="1"/>
      <w:marLeft w:val="0"/>
      <w:marRight w:val="0"/>
      <w:marTop w:val="0"/>
      <w:marBottom w:val="0"/>
      <w:divBdr>
        <w:top w:val="none" w:sz="0" w:space="0" w:color="auto"/>
        <w:left w:val="none" w:sz="0" w:space="0" w:color="auto"/>
        <w:bottom w:val="none" w:sz="0" w:space="0" w:color="auto"/>
        <w:right w:val="none" w:sz="0" w:space="0" w:color="auto"/>
      </w:divBdr>
    </w:div>
    <w:div w:id="1755469438">
      <w:bodyDiv w:val="1"/>
      <w:marLeft w:val="0"/>
      <w:marRight w:val="0"/>
      <w:marTop w:val="0"/>
      <w:marBottom w:val="0"/>
      <w:divBdr>
        <w:top w:val="none" w:sz="0" w:space="0" w:color="auto"/>
        <w:left w:val="none" w:sz="0" w:space="0" w:color="auto"/>
        <w:bottom w:val="none" w:sz="0" w:space="0" w:color="auto"/>
        <w:right w:val="none" w:sz="0" w:space="0" w:color="auto"/>
      </w:divBdr>
    </w:div>
    <w:div w:id="1756898123">
      <w:bodyDiv w:val="1"/>
      <w:marLeft w:val="0"/>
      <w:marRight w:val="0"/>
      <w:marTop w:val="0"/>
      <w:marBottom w:val="0"/>
      <w:divBdr>
        <w:top w:val="none" w:sz="0" w:space="0" w:color="auto"/>
        <w:left w:val="none" w:sz="0" w:space="0" w:color="auto"/>
        <w:bottom w:val="none" w:sz="0" w:space="0" w:color="auto"/>
        <w:right w:val="none" w:sz="0" w:space="0" w:color="auto"/>
      </w:divBdr>
    </w:div>
    <w:div w:id="1757942445">
      <w:bodyDiv w:val="1"/>
      <w:marLeft w:val="0"/>
      <w:marRight w:val="0"/>
      <w:marTop w:val="0"/>
      <w:marBottom w:val="0"/>
      <w:divBdr>
        <w:top w:val="none" w:sz="0" w:space="0" w:color="auto"/>
        <w:left w:val="none" w:sz="0" w:space="0" w:color="auto"/>
        <w:bottom w:val="none" w:sz="0" w:space="0" w:color="auto"/>
        <w:right w:val="none" w:sz="0" w:space="0" w:color="auto"/>
      </w:divBdr>
    </w:div>
    <w:div w:id="1941984135">
      <w:bodyDiv w:val="1"/>
      <w:marLeft w:val="0"/>
      <w:marRight w:val="0"/>
      <w:marTop w:val="0"/>
      <w:marBottom w:val="0"/>
      <w:divBdr>
        <w:top w:val="none" w:sz="0" w:space="0" w:color="auto"/>
        <w:left w:val="none" w:sz="0" w:space="0" w:color="auto"/>
        <w:bottom w:val="none" w:sz="0" w:space="0" w:color="auto"/>
        <w:right w:val="none" w:sz="0" w:space="0" w:color="auto"/>
      </w:divBdr>
    </w:div>
    <w:div w:id="1972131537">
      <w:bodyDiv w:val="1"/>
      <w:marLeft w:val="0"/>
      <w:marRight w:val="0"/>
      <w:marTop w:val="0"/>
      <w:marBottom w:val="0"/>
      <w:divBdr>
        <w:top w:val="none" w:sz="0" w:space="0" w:color="auto"/>
        <w:left w:val="none" w:sz="0" w:space="0" w:color="auto"/>
        <w:bottom w:val="none" w:sz="0" w:space="0" w:color="auto"/>
        <w:right w:val="none" w:sz="0" w:space="0" w:color="auto"/>
      </w:divBdr>
    </w:div>
    <w:div w:id="2008053805">
      <w:bodyDiv w:val="1"/>
      <w:marLeft w:val="0"/>
      <w:marRight w:val="0"/>
      <w:marTop w:val="0"/>
      <w:marBottom w:val="0"/>
      <w:divBdr>
        <w:top w:val="none" w:sz="0" w:space="0" w:color="auto"/>
        <w:left w:val="none" w:sz="0" w:space="0" w:color="auto"/>
        <w:bottom w:val="none" w:sz="0" w:space="0" w:color="auto"/>
        <w:right w:val="none" w:sz="0" w:space="0" w:color="auto"/>
      </w:divBdr>
    </w:div>
    <w:div w:id="204586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chart" Target="charts/chart5.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amu.abdullahi@udusok.edu.ng" TargetMode="External"/><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NECAL\NECAL%202060%20updates\NECAL2060%20Analyse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NECAL\NECAL%202060%20updates\NECAL2060%20Analy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NECAL\NECAL%202060%20updates\NECAL2060%20Analy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'ELec. Supply LV1'!$D$43</c:f>
              <c:strCache>
                <c:ptCount val="1"/>
                <c:pt idx="0">
                  <c:v>Agriculture</c:v>
                </c:pt>
              </c:strCache>
            </c:strRef>
          </c:tx>
          <c:spPr>
            <a:solidFill>
              <a:schemeClr val="accent1"/>
            </a:solidFill>
            <a:ln>
              <a:noFill/>
            </a:ln>
            <a:effectLst/>
          </c:spPr>
          <c:invertIfNegative val="0"/>
          <c:cat>
            <c:numRef>
              <c:f>'ELec. Supply LV1'!$E$42:$N$42</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LV1'!$E$43:$N$43</c:f>
              <c:numCache>
                <c:formatCode>General</c:formatCode>
                <c:ptCount val="10"/>
                <c:pt idx="0">
                  <c:v>1.2332168689452503E-3</c:v>
                </c:pt>
                <c:pt idx="1">
                  <c:v>1.2332168689452503E-3</c:v>
                </c:pt>
                <c:pt idx="2">
                  <c:v>1.2332168689452503E-3</c:v>
                </c:pt>
                <c:pt idx="3">
                  <c:v>1.2332168689452503E-3</c:v>
                </c:pt>
                <c:pt idx="4">
                  <c:v>1.2332168689452503E-3</c:v>
                </c:pt>
                <c:pt idx="5">
                  <c:v>1.2332168689452503E-3</c:v>
                </c:pt>
                <c:pt idx="6">
                  <c:v>1.2332168689452503E-3</c:v>
                </c:pt>
                <c:pt idx="7">
                  <c:v>1.2332168689452503E-3</c:v>
                </c:pt>
                <c:pt idx="8">
                  <c:v>1.2332168689452503E-3</c:v>
                </c:pt>
                <c:pt idx="9">
                  <c:v>1.2332168689452503E-3</c:v>
                </c:pt>
              </c:numCache>
            </c:numRef>
          </c:val>
        </c:ser>
        <c:ser>
          <c:idx val="1"/>
          <c:order val="1"/>
          <c:tx>
            <c:strRef>
              <c:f>'ELec. Supply LV1'!$D$44</c:f>
              <c:strCache>
                <c:ptCount val="1"/>
                <c:pt idx="0">
                  <c:v>Industry</c:v>
                </c:pt>
              </c:strCache>
            </c:strRef>
          </c:tx>
          <c:spPr>
            <a:solidFill>
              <a:schemeClr val="accent2"/>
            </a:solidFill>
            <a:ln>
              <a:noFill/>
            </a:ln>
            <a:effectLst/>
          </c:spPr>
          <c:invertIfNegative val="0"/>
          <c:cat>
            <c:numRef>
              <c:f>'ELec. Supply LV1'!$E$42:$N$42</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LV1'!$E$44:$N$44</c:f>
              <c:numCache>
                <c:formatCode>General</c:formatCode>
                <c:ptCount val="10"/>
                <c:pt idx="0">
                  <c:v>15.750398057602805</c:v>
                </c:pt>
                <c:pt idx="1">
                  <c:v>15.475544162349523</c:v>
                </c:pt>
                <c:pt idx="2">
                  <c:v>18.47635575749478</c:v>
                </c:pt>
                <c:pt idx="3">
                  <c:v>21.336778996335966</c:v>
                </c:pt>
                <c:pt idx="4">
                  <c:v>24.182700030253145</c:v>
                </c:pt>
                <c:pt idx="5">
                  <c:v>27.093468012845218</c:v>
                </c:pt>
                <c:pt idx="6">
                  <c:v>30.20599332722151</c:v>
                </c:pt>
                <c:pt idx="7">
                  <c:v>33.36160146373382</c:v>
                </c:pt>
                <c:pt idx="8">
                  <c:v>36.409002156982538</c:v>
                </c:pt>
                <c:pt idx="9">
                  <c:v>39.500531412781747</c:v>
                </c:pt>
              </c:numCache>
            </c:numRef>
          </c:val>
        </c:ser>
        <c:ser>
          <c:idx val="2"/>
          <c:order val="2"/>
          <c:tx>
            <c:strRef>
              <c:f>'ELec. Supply LV1'!$D$45</c:f>
              <c:strCache>
                <c:ptCount val="1"/>
                <c:pt idx="0">
                  <c:v>Transport</c:v>
                </c:pt>
              </c:strCache>
            </c:strRef>
          </c:tx>
          <c:spPr>
            <a:solidFill>
              <a:schemeClr val="accent3"/>
            </a:solidFill>
            <a:ln>
              <a:noFill/>
            </a:ln>
            <a:effectLst/>
          </c:spPr>
          <c:invertIfNegative val="0"/>
          <c:cat>
            <c:numRef>
              <c:f>'ELec. Supply LV1'!$E$42:$N$42</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LV1'!$E$45:$N$45</c:f>
              <c:numCache>
                <c:formatCode>General</c:formatCode>
                <c:ptCount val="10"/>
                <c:pt idx="0">
                  <c:v>2.3062177881577127E-2</c:v>
                </c:pt>
                <c:pt idx="1">
                  <c:v>3.4071009437626469E-2</c:v>
                </c:pt>
                <c:pt idx="2">
                  <c:v>3.4317736912619086E-2</c:v>
                </c:pt>
                <c:pt idx="3">
                  <c:v>4.8947719272708981E-2</c:v>
                </c:pt>
                <c:pt idx="4">
                  <c:v>6.7124424211888689E-2</c:v>
                </c:pt>
                <c:pt idx="5">
                  <c:v>8.8877527544693483E-2</c:v>
                </c:pt>
                <c:pt idx="6">
                  <c:v>0.11344085837548563</c:v>
                </c:pt>
                <c:pt idx="7">
                  <c:v>0.14141507097726233</c:v>
                </c:pt>
                <c:pt idx="8">
                  <c:v>0.16148481584216878</c:v>
                </c:pt>
                <c:pt idx="9">
                  <c:v>0.18243998021789809</c:v>
                </c:pt>
              </c:numCache>
            </c:numRef>
          </c:val>
        </c:ser>
        <c:ser>
          <c:idx val="3"/>
          <c:order val="3"/>
          <c:tx>
            <c:strRef>
              <c:f>'ELec. Supply LV1'!$D$46</c:f>
              <c:strCache>
                <c:ptCount val="1"/>
                <c:pt idx="0">
                  <c:v>Buildings Other</c:v>
                </c:pt>
              </c:strCache>
            </c:strRef>
          </c:tx>
          <c:spPr>
            <a:solidFill>
              <a:schemeClr val="accent4"/>
            </a:solidFill>
            <a:ln>
              <a:noFill/>
            </a:ln>
            <a:effectLst/>
          </c:spPr>
          <c:invertIfNegative val="0"/>
          <c:cat>
            <c:numRef>
              <c:f>'ELec. Supply LV1'!$E$42:$N$42</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LV1'!$E$46:$N$46</c:f>
              <c:numCache>
                <c:formatCode>General</c:formatCode>
                <c:ptCount val="10"/>
                <c:pt idx="0">
                  <c:v>17.699752716456402</c:v>
                </c:pt>
                <c:pt idx="1">
                  <c:v>18.029476267739533</c:v>
                </c:pt>
                <c:pt idx="2">
                  <c:v>20.813440999941569</c:v>
                </c:pt>
                <c:pt idx="3">
                  <c:v>23.441449751648374</c:v>
                </c:pt>
                <c:pt idx="4">
                  <c:v>25.116609637469725</c:v>
                </c:pt>
                <c:pt idx="5">
                  <c:v>27.187668455303999</c:v>
                </c:pt>
                <c:pt idx="6">
                  <c:v>30.892402471639084</c:v>
                </c:pt>
                <c:pt idx="7">
                  <c:v>37.571031841793001</c:v>
                </c:pt>
                <c:pt idx="8">
                  <c:v>41.633992225020705</c:v>
                </c:pt>
                <c:pt idx="9">
                  <c:v>45.912749628763073</c:v>
                </c:pt>
              </c:numCache>
            </c:numRef>
          </c:val>
        </c:ser>
        <c:ser>
          <c:idx val="4"/>
          <c:order val="4"/>
          <c:tx>
            <c:strRef>
              <c:f>'ELec. Supply LV1'!$D$47</c:f>
              <c:strCache>
                <c:ptCount val="1"/>
                <c:pt idx="0">
                  <c:v>Buildings Heat</c:v>
                </c:pt>
              </c:strCache>
            </c:strRef>
          </c:tx>
          <c:spPr>
            <a:solidFill>
              <a:schemeClr val="accent5"/>
            </a:solidFill>
            <a:ln>
              <a:noFill/>
            </a:ln>
            <a:effectLst/>
          </c:spPr>
          <c:invertIfNegative val="0"/>
          <c:cat>
            <c:numRef>
              <c:f>'ELec. Supply LV1'!$E$42:$N$42</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LV1'!$E$47:$N$47</c:f>
              <c:numCache>
                <c:formatCode>General</c:formatCode>
                <c:ptCount val="10"/>
                <c:pt idx="0">
                  <c:v>1.0186744745349888E-3</c:v>
                </c:pt>
                <c:pt idx="1">
                  <c:v>1.0367321887971665E-3</c:v>
                </c:pt>
                <c:pt idx="2">
                  <c:v>1.1474321318981184E-3</c:v>
                </c:pt>
                <c:pt idx="3">
                  <c:v>1.2617309818101785E-3</c:v>
                </c:pt>
                <c:pt idx="4">
                  <c:v>1.3797215460481787E-3</c:v>
                </c:pt>
                <c:pt idx="5">
                  <c:v>1.5014987915619182E-3</c:v>
                </c:pt>
                <c:pt idx="6">
                  <c:v>1.6271598921319989E-3</c:v>
                </c:pt>
                <c:pt idx="7">
                  <c:v>1.7568042767674361E-3</c:v>
                </c:pt>
                <c:pt idx="8">
                  <c:v>1.890533679125655E-3</c:v>
                </c:pt>
                <c:pt idx="9">
                  <c:v>2.0284521879759317E-3</c:v>
                </c:pt>
              </c:numCache>
            </c:numRef>
          </c:val>
        </c:ser>
        <c:dLbls>
          <c:showLegendKey val="0"/>
          <c:showVal val="0"/>
          <c:showCatName val="0"/>
          <c:showSerName val="0"/>
          <c:showPercent val="0"/>
          <c:showBubbleSize val="0"/>
        </c:dLbls>
        <c:gapWidth val="150"/>
        <c:axId val="164252672"/>
        <c:axId val="164508416"/>
        <c:extLst>
          <c:ext xmlns:c15="http://schemas.microsoft.com/office/drawing/2012/chart" uri="{02D57815-91ED-43cb-92C2-25804820EDAC}">
            <c15:filteredBarSeries>
              <c15:ser>
                <c:idx val="5"/>
                <c:order val="5"/>
                <c:tx>
                  <c:strRef>
                    <c:extLst>
                      <c:ext uri="{02D57815-91ED-43cb-92C2-25804820EDAC}">
                        <c15:formulaRef>
                          <c15:sqref>'ELec. Supply LV1'!$D$48</c15:sqref>
                        </c15:formulaRef>
                      </c:ext>
                    </c:extLst>
                    <c:strCache>
                      <c:ptCount val="1"/>
                      <c:pt idx="0">
                        <c:v>Energy Supply &amp; GGR</c:v>
                      </c:pt>
                    </c:strCache>
                  </c:strRef>
                </c:tx>
                <c:spPr>
                  <a:solidFill>
                    <a:schemeClr val="accent6"/>
                  </a:solidFill>
                  <a:ln>
                    <a:noFill/>
                  </a:ln>
                  <a:effectLst/>
                </c:spPr>
                <c:invertIfNegative val="0"/>
                <c:cat>
                  <c:numRef>
                    <c:extLst>
                      <c:ext uri="{02D57815-91ED-43cb-92C2-25804820EDAC}">
                        <c15:formulaRef>
                          <c15:sqref>'ELec. Supply LV1'!$E$42:$N$42</c15:sqref>
                        </c15:formulaRef>
                      </c:ext>
                    </c:extLst>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extLst>
                      <c:ext uri="{02D57815-91ED-43cb-92C2-25804820EDAC}">
                        <c15:formulaRef>
                          <c15:sqref>'ELec. Supply LV1'!$E$48:$N$48</c15:sqref>
                        </c15:formulaRef>
                      </c:ext>
                    </c:extLst>
                    <c:numCache>
                      <c:formatCode>General</c:formatCode>
                      <c:ptCount val="10"/>
                      <c:pt idx="0">
                        <c:v>1.6434020008793837E-4</c:v>
                      </c:pt>
                      <c:pt idx="1">
                        <c:v>1.5831340949988771E-4</c:v>
                      </c:pt>
                      <c:pt idx="2">
                        <c:v>1.7317742414429106E-4</c:v>
                      </c:pt>
                      <c:pt idx="3">
                        <c:v>1.8145835623533315E-4</c:v>
                      </c:pt>
                      <c:pt idx="4">
                        <c:v>1.8312777420229548E-4</c:v>
                      </c:pt>
                      <c:pt idx="5">
                        <c:v>1.7924776882534608E-4</c:v>
                      </c:pt>
                      <c:pt idx="6">
                        <c:v>1.2752894476410442E-4</c:v>
                      </c:pt>
                      <c:pt idx="7">
                        <c:v>7.7049248119773534E-5</c:v>
                      </c:pt>
                      <c:pt idx="8">
                        <c:v>3.3135769537301144E-5</c:v>
                      </c:pt>
                      <c:pt idx="9">
                        <c:v>0</c:v>
                      </c:pt>
                    </c:numCache>
                  </c:numRef>
                </c:val>
              </c15:ser>
            </c15:filteredBarSeries>
          </c:ext>
        </c:extLst>
      </c:barChart>
      <c:lineChart>
        <c:grouping val="standard"/>
        <c:varyColors val="0"/>
        <c:ser>
          <c:idx val="6"/>
          <c:order val="5"/>
          <c:tx>
            <c:strRef>
              <c:f>'ELec. Supply LV1'!$D$49</c:f>
              <c:strCache>
                <c:ptCount val="1"/>
                <c:pt idx="0">
                  <c:v>Total</c:v>
                </c:pt>
              </c:strCache>
            </c:strRef>
          </c:tx>
          <c:spPr>
            <a:ln w="28575" cap="rnd">
              <a:solidFill>
                <a:schemeClr val="accent1">
                  <a:lumMod val="60000"/>
                </a:schemeClr>
              </a:solidFill>
              <a:round/>
            </a:ln>
            <a:effectLst/>
          </c:spPr>
          <c:marker>
            <c:symbol val="none"/>
          </c:marker>
          <c:cat>
            <c:numRef>
              <c:f>'ELec. Supply LV1'!$E$42:$N$42</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LV1'!$E$49:$N$49</c:f>
              <c:numCache>
                <c:formatCode>General</c:formatCode>
                <c:ptCount val="10"/>
                <c:pt idx="0">
                  <c:v>33.475629183484351</c:v>
                </c:pt>
                <c:pt idx="1">
                  <c:v>33.54151970199392</c:v>
                </c:pt>
                <c:pt idx="2">
                  <c:v>39.326668320773962</c:v>
                </c:pt>
                <c:pt idx="3">
                  <c:v>44.829852873464041</c:v>
                </c:pt>
                <c:pt idx="4">
                  <c:v>49.369230158123955</c:v>
                </c:pt>
                <c:pt idx="5">
                  <c:v>52.37292795912321</c:v>
                </c:pt>
                <c:pt idx="6">
                  <c:v>61.214824562941928</c:v>
                </c:pt>
                <c:pt idx="7">
                  <c:v>71.07711544689792</c:v>
                </c:pt>
                <c:pt idx="8">
                  <c:v>78.207636084163028</c:v>
                </c:pt>
                <c:pt idx="9">
                  <c:v>85.598982690819639</c:v>
                </c:pt>
              </c:numCache>
            </c:numRef>
          </c:val>
          <c:smooth val="0"/>
        </c:ser>
        <c:dLbls>
          <c:showLegendKey val="0"/>
          <c:showVal val="0"/>
          <c:showCatName val="0"/>
          <c:showSerName val="0"/>
          <c:showPercent val="0"/>
          <c:showBubbleSize val="0"/>
        </c:dLbls>
        <c:marker val="1"/>
        <c:smooth val="0"/>
        <c:axId val="164252672"/>
        <c:axId val="164508416"/>
      </c:lineChart>
      <c:catAx>
        <c:axId val="16425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08416"/>
        <c:crosses val="autoZero"/>
        <c:auto val="1"/>
        <c:lblAlgn val="ctr"/>
        <c:lblOffset val="100"/>
        <c:noMultiLvlLbl val="0"/>
      </c:catAx>
      <c:valAx>
        <c:axId val="16450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52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'Elec. Supply LV4'!$D$27</c:f>
              <c:strCache>
                <c:ptCount val="1"/>
                <c:pt idx="0">
                  <c:v>Agriculture</c:v>
                </c:pt>
              </c:strCache>
            </c:strRef>
          </c:tx>
          <c:spPr>
            <a:solidFill>
              <a:schemeClr val="accent1"/>
            </a:solidFill>
            <a:ln>
              <a:noFill/>
            </a:ln>
            <a:effectLst/>
          </c:spPr>
          <c:invertIfNegative val="0"/>
          <c:cat>
            <c:numRef>
              <c:f>'Elec. Supply LV4'!$E$26:$N$26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LV4'!$E$27:$N$27</c:f>
              <c:numCache>
                <c:formatCode>General</c:formatCode>
                <c:ptCount val="10"/>
                <c:pt idx="0">
                  <c:v>1.2332168689452503E-3</c:v>
                </c:pt>
                <c:pt idx="1">
                  <c:v>1.2332168689452503E-3</c:v>
                </c:pt>
                <c:pt idx="2">
                  <c:v>1.2332168689452503E-3</c:v>
                </c:pt>
                <c:pt idx="3">
                  <c:v>1.2332168689452503E-3</c:v>
                </c:pt>
                <c:pt idx="4">
                  <c:v>1.2332168689452503E-3</c:v>
                </c:pt>
                <c:pt idx="5">
                  <c:v>1.2332168689452503E-3</c:v>
                </c:pt>
                <c:pt idx="6">
                  <c:v>1.2332168689452503E-3</c:v>
                </c:pt>
                <c:pt idx="7">
                  <c:v>1.2332168689452503E-3</c:v>
                </c:pt>
                <c:pt idx="8">
                  <c:v>1.2332168689452503E-3</c:v>
                </c:pt>
                <c:pt idx="9">
                  <c:v>1.2332168689452503E-3</c:v>
                </c:pt>
              </c:numCache>
            </c:numRef>
          </c:val>
        </c:ser>
        <c:ser>
          <c:idx val="1"/>
          <c:order val="1"/>
          <c:tx>
            <c:strRef>
              <c:f>'Elec. Supply LV4'!$D$28</c:f>
              <c:strCache>
                <c:ptCount val="1"/>
                <c:pt idx="0">
                  <c:v>Industry</c:v>
                </c:pt>
              </c:strCache>
            </c:strRef>
          </c:tx>
          <c:spPr>
            <a:solidFill>
              <a:schemeClr val="accent2"/>
            </a:solidFill>
            <a:ln>
              <a:noFill/>
            </a:ln>
            <a:effectLst/>
          </c:spPr>
          <c:invertIfNegative val="0"/>
          <c:cat>
            <c:numRef>
              <c:f>'Elec. Supply LV4'!$E$26:$N$26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LV4'!$E$28:$N$28</c:f>
              <c:numCache>
                <c:formatCode>General</c:formatCode>
                <c:ptCount val="10"/>
                <c:pt idx="0">
                  <c:v>15.750398057602805</c:v>
                </c:pt>
                <c:pt idx="1">
                  <c:v>15.475544162349523</c:v>
                </c:pt>
                <c:pt idx="2">
                  <c:v>18.936270893848576</c:v>
                </c:pt>
                <c:pt idx="3">
                  <c:v>22.707796110208015</c:v>
                </c:pt>
                <c:pt idx="4">
                  <c:v>26.934742587169783</c:v>
                </c:pt>
                <c:pt idx="5">
                  <c:v>31.458228239461999</c:v>
                </c:pt>
                <c:pt idx="6">
                  <c:v>36.633840528616346</c:v>
                </c:pt>
                <c:pt idx="7">
                  <c:v>42.308526064396588</c:v>
                </c:pt>
                <c:pt idx="8">
                  <c:v>48.494726015940266</c:v>
                </c:pt>
                <c:pt idx="9">
                  <c:v>55.368609477715964</c:v>
                </c:pt>
              </c:numCache>
            </c:numRef>
          </c:val>
        </c:ser>
        <c:ser>
          <c:idx val="2"/>
          <c:order val="2"/>
          <c:tx>
            <c:strRef>
              <c:f>'Elec. Supply LV4'!$D$29</c:f>
              <c:strCache>
                <c:ptCount val="1"/>
                <c:pt idx="0">
                  <c:v>Transport</c:v>
                </c:pt>
              </c:strCache>
            </c:strRef>
          </c:tx>
          <c:spPr>
            <a:solidFill>
              <a:schemeClr val="accent3"/>
            </a:solidFill>
            <a:ln>
              <a:noFill/>
            </a:ln>
            <a:effectLst/>
          </c:spPr>
          <c:invertIfNegative val="0"/>
          <c:cat>
            <c:numRef>
              <c:f>'Elec. Supply LV4'!$E$26:$N$26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LV4'!$E$29:$N$29</c:f>
              <c:numCache>
                <c:formatCode>General</c:formatCode>
                <c:ptCount val="10"/>
                <c:pt idx="0">
                  <c:v>2.3062177881577127E-2</c:v>
                </c:pt>
                <c:pt idx="1">
                  <c:v>3.4071009437626469E-2</c:v>
                </c:pt>
                <c:pt idx="2">
                  <c:v>9.9308508420437619E-2</c:v>
                </c:pt>
                <c:pt idx="3">
                  <c:v>0.22220119503025962</c:v>
                </c:pt>
                <c:pt idx="4">
                  <c:v>0.34195273491840728</c:v>
                </c:pt>
                <c:pt idx="5">
                  <c:v>4.4961968877551435</c:v>
                </c:pt>
                <c:pt idx="6">
                  <c:v>8.6830853125562797</c:v>
                </c:pt>
                <c:pt idx="7">
                  <c:v>12.985541337443244</c:v>
                </c:pt>
                <c:pt idx="8">
                  <c:v>16.518465820269512</c:v>
                </c:pt>
                <c:pt idx="9">
                  <c:v>19.654112454421469</c:v>
                </c:pt>
              </c:numCache>
            </c:numRef>
          </c:val>
        </c:ser>
        <c:ser>
          <c:idx val="3"/>
          <c:order val="3"/>
          <c:tx>
            <c:strRef>
              <c:f>'Elec. Supply LV4'!$D$30</c:f>
              <c:strCache>
                <c:ptCount val="1"/>
                <c:pt idx="0">
                  <c:v>Buildings Other</c:v>
                </c:pt>
              </c:strCache>
            </c:strRef>
          </c:tx>
          <c:spPr>
            <a:solidFill>
              <a:schemeClr val="accent4"/>
            </a:solidFill>
            <a:ln>
              <a:noFill/>
            </a:ln>
            <a:effectLst/>
          </c:spPr>
          <c:invertIfNegative val="0"/>
          <c:cat>
            <c:numRef>
              <c:f>'Elec. Supply LV4'!$E$26:$N$26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LV4'!$E$30:$N$30</c:f>
              <c:numCache>
                <c:formatCode>General</c:formatCode>
                <c:ptCount val="10"/>
                <c:pt idx="0">
                  <c:v>17.699752716456402</c:v>
                </c:pt>
                <c:pt idx="1">
                  <c:v>18.029476267739533</c:v>
                </c:pt>
                <c:pt idx="2">
                  <c:v>18.425195143302709</c:v>
                </c:pt>
                <c:pt idx="3">
                  <c:v>19.36006188937121</c:v>
                </c:pt>
                <c:pt idx="4">
                  <c:v>20.582604724051809</c:v>
                </c:pt>
                <c:pt idx="5">
                  <c:v>22.128422074344194</c:v>
                </c:pt>
                <c:pt idx="6">
                  <c:v>26.291517589465808</c:v>
                </c:pt>
                <c:pt idx="7">
                  <c:v>30.962995283595006</c:v>
                </c:pt>
                <c:pt idx="8">
                  <c:v>33.115253914125795</c:v>
                </c:pt>
                <c:pt idx="9">
                  <c:v>35.275844233467708</c:v>
                </c:pt>
              </c:numCache>
            </c:numRef>
          </c:val>
        </c:ser>
        <c:ser>
          <c:idx val="4"/>
          <c:order val="4"/>
          <c:tx>
            <c:strRef>
              <c:f>'Elec. Supply LV4'!$D$31</c:f>
              <c:strCache>
                <c:ptCount val="1"/>
                <c:pt idx="0">
                  <c:v>Buildings Heat</c:v>
                </c:pt>
              </c:strCache>
            </c:strRef>
          </c:tx>
          <c:spPr>
            <a:solidFill>
              <a:schemeClr val="accent5"/>
            </a:solidFill>
            <a:ln>
              <a:noFill/>
            </a:ln>
            <a:effectLst/>
          </c:spPr>
          <c:invertIfNegative val="0"/>
          <c:cat>
            <c:numRef>
              <c:f>'Elec. Supply LV4'!$E$26:$N$26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LV4'!$E$31:$N$31</c:f>
              <c:numCache>
                <c:formatCode>General</c:formatCode>
                <c:ptCount val="10"/>
                <c:pt idx="0">
                  <c:v>1.0186744745349888E-3</c:v>
                </c:pt>
                <c:pt idx="1">
                  <c:v>1.0367321887971665E-3</c:v>
                </c:pt>
                <c:pt idx="2">
                  <c:v>1.0155433811052314E-3</c:v>
                </c:pt>
                <c:pt idx="3">
                  <c:v>9.9327758142503408E-4</c:v>
                </c:pt>
                <c:pt idx="4">
                  <c:v>9.699032650437692E-4</c:v>
                </c:pt>
                <c:pt idx="5">
                  <c:v>9.4538812802046697E-4</c:v>
                </c:pt>
                <c:pt idx="6">
                  <c:v>9.1969906946591236E-4</c:v>
                </c:pt>
                <c:pt idx="7">
                  <c:v>8.9280217343918873E-4</c:v>
                </c:pt>
                <c:pt idx="8">
                  <c:v>8.6466269045281882E-4</c:v>
                </c:pt>
                <c:pt idx="9">
                  <c:v>8.3524501857832484E-4</c:v>
                </c:pt>
              </c:numCache>
            </c:numRef>
          </c:val>
        </c:ser>
        <c:dLbls>
          <c:showLegendKey val="0"/>
          <c:showVal val="0"/>
          <c:showCatName val="0"/>
          <c:showSerName val="0"/>
          <c:showPercent val="0"/>
          <c:showBubbleSize val="0"/>
        </c:dLbls>
        <c:gapWidth val="150"/>
        <c:overlap val="100"/>
        <c:axId val="197891200"/>
        <c:axId val="197892736"/>
        <c:extLst>
          <c:ext xmlns:c15="http://schemas.microsoft.com/office/drawing/2012/chart" uri="{02D57815-91ED-43cb-92C2-25804820EDAC}">
            <c15:filteredBarSeries>
              <c15:ser>
                <c:idx val="5"/>
                <c:order val="5"/>
                <c:tx>
                  <c:strRef>
                    <c:extLst>
                      <c:ext uri="{02D57815-91ED-43cb-92C2-25804820EDAC}">
                        <c15:formulaRef>
                          <c15:sqref>'Elec. Supply LV4'!$D$32</c15:sqref>
                        </c15:formulaRef>
                      </c:ext>
                    </c:extLst>
                    <c:strCache>
                      <c:ptCount val="1"/>
                      <c:pt idx="0">
                        <c:v>Energy Supply &amp; GGR</c:v>
                      </c:pt>
                    </c:strCache>
                  </c:strRef>
                </c:tx>
                <c:spPr>
                  <a:solidFill>
                    <a:schemeClr val="accent6"/>
                  </a:solidFill>
                  <a:ln>
                    <a:noFill/>
                  </a:ln>
                  <a:effectLst/>
                </c:spPr>
                <c:invertIfNegative val="0"/>
                <c:cat>
                  <c:numRef>
                    <c:extLst>
                      <c:ext uri="{02D57815-91ED-43cb-92C2-25804820EDAC}">
                        <c15:formulaRef>
                          <c15:sqref>'Elec. Supply LV4'!$E$26:$N$26</c15:sqref>
                        </c15:formulaRef>
                      </c:ext>
                    </c:extLst>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extLst>
                      <c:ext uri="{02D57815-91ED-43cb-92C2-25804820EDAC}">
                        <c15:formulaRef>
                          <c15:sqref>'Elec. Supply LV4'!$E$32:$N$32</c15:sqref>
                        </c15:formulaRef>
                      </c:ext>
                    </c:extLst>
                    <c:numCache>
                      <c:formatCode>General</c:formatCode>
                      <c:ptCount val="10"/>
                      <c:pt idx="0">
                        <c:v>1.6434020008793837E-4</c:v>
                      </c:pt>
                      <c:pt idx="1">
                        <c:v>1.5831340949988771E-4</c:v>
                      </c:pt>
                      <c:pt idx="2">
                        <c:v>1.6744513162935784E-4</c:v>
                      </c:pt>
                      <c:pt idx="3">
                        <c:v>1.6887979582733034E-4</c:v>
                      </c:pt>
                      <c:pt idx="4">
                        <c:v>0</c:v>
                      </c:pt>
                      <c:pt idx="5">
                        <c:v>0</c:v>
                      </c:pt>
                      <c:pt idx="6">
                        <c:v>5.3704190803012164</c:v>
                      </c:pt>
                      <c:pt idx="7">
                        <c:v>10.718631745744535</c:v>
                      </c:pt>
                      <c:pt idx="8">
                        <c:v>13.996859420800437</c:v>
                      </c:pt>
                      <c:pt idx="9">
                        <c:v>16.440513322908082</c:v>
                      </c:pt>
                    </c:numCache>
                  </c:numRef>
                </c:val>
              </c15:ser>
            </c15:filteredBarSeries>
          </c:ext>
        </c:extLst>
      </c:barChart>
      <c:lineChart>
        <c:grouping val="standard"/>
        <c:varyColors val="0"/>
        <c:ser>
          <c:idx val="6"/>
          <c:order val="5"/>
          <c:tx>
            <c:strRef>
              <c:f>'Elec. Supply LV4'!$D$33</c:f>
              <c:strCache>
                <c:ptCount val="1"/>
                <c:pt idx="0">
                  <c:v>Total</c:v>
                </c:pt>
              </c:strCache>
            </c:strRef>
          </c:tx>
          <c:spPr>
            <a:ln w="28575" cap="rnd">
              <a:solidFill>
                <a:schemeClr val="accent1">
                  <a:lumMod val="60000"/>
                </a:schemeClr>
              </a:solidFill>
              <a:round/>
            </a:ln>
            <a:effectLst/>
          </c:spPr>
          <c:marker>
            <c:symbol val="none"/>
          </c:marker>
          <c:cat>
            <c:numRef>
              <c:f>'Elec. Supply LV4'!$E$26:$N$26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LV4'!$E$33:$N$33</c:f>
              <c:numCache>
                <c:formatCode>General</c:formatCode>
                <c:ptCount val="10"/>
                <c:pt idx="0">
                  <c:v>33.475629183484351</c:v>
                </c:pt>
                <c:pt idx="1">
                  <c:v>33.54151970199392</c:v>
                </c:pt>
                <c:pt idx="2">
                  <c:v>37.463190750953409</c:v>
                </c:pt>
                <c:pt idx="3">
                  <c:v>42.292454568855682</c:v>
                </c:pt>
                <c:pt idx="4">
                  <c:v>47.861503166273991</c:v>
                </c:pt>
                <c:pt idx="5">
                  <c:v>58.085025806558306</c:v>
                </c:pt>
                <c:pt idx="6">
                  <c:v>76.981015426878074</c:v>
                </c:pt>
                <c:pt idx="7">
                  <c:v>96.977820450221756</c:v>
                </c:pt>
                <c:pt idx="8">
                  <c:v>112.12740305069539</c:v>
                </c:pt>
                <c:pt idx="9">
                  <c:v>126.74114795040074</c:v>
                </c:pt>
              </c:numCache>
            </c:numRef>
          </c:val>
          <c:smooth val="0"/>
        </c:ser>
        <c:dLbls>
          <c:showLegendKey val="0"/>
          <c:showVal val="0"/>
          <c:showCatName val="0"/>
          <c:showSerName val="0"/>
          <c:showPercent val="0"/>
          <c:showBubbleSize val="0"/>
        </c:dLbls>
        <c:marker val="1"/>
        <c:smooth val="0"/>
        <c:axId val="197891200"/>
        <c:axId val="197892736"/>
      </c:lineChart>
      <c:catAx>
        <c:axId val="1978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92736"/>
        <c:crosses val="autoZero"/>
        <c:auto val="1"/>
        <c:lblAlgn val="ctr"/>
        <c:lblOffset val="100"/>
        <c:noMultiLvlLbl val="0"/>
      </c:catAx>
      <c:valAx>
        <c:axId val="19789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91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'ELec. Supply LV1'!$D$24</c:f>
              <c:strCache>
                <c:ptCount val="1"/>
                <c:pt idx="0">
                  <c:v>Biomass &amp; Waste CCS</c:v>
                </c:pt>
              </c:strCache>
            </c:strRef>
          </c:tx>
          <c:spPr>
            <a:solidFill>
              <a:schemeClr val="accent1"/>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LV1'!$E$24:$N$24</c:f>
              <c:numCache>
                <c:formatCode>General</c:formatCode>
                <c:ptCount val="10"/>
                <c:pt idx="0">
                  <c:v>0</c:v>
                </c:pt>
                <c:pt idx="1">
                  <c:v>0</c:v>
                </c:pt>
                <c:pt idx="2">
                  <c:v>0</c:v>
                </c:pt>
                <c:pt idx="3">
                  <c:v>3.8683740883571858E-8</c:v>
                </c:pt>
                <c:pt idx="4">
                  <c:v>7.3634768677795261E-3</c:v>
                </c:pt>
                <c:pt idx="5">
                  <c:v>7.3634614318370097E-3</c:v>
                </c:pt>
                <c:pt idx="6">
                  <c:v>7.3634507337547372E-3</c:v>
                </c:pt>
                <c:pt idx="7">
                  <c:v>7.3634469128413633E-3</c:v>
                </c:pt>
                <c:pt idx="8">
                  <c:v>7.3634435055024271E-3</c:v>
                </c:pt>
                <c:pt idx="9">
                  <c:v>7.3634399999999989E-3</c:v>
                </c:pt>
              </c:numCache>
            </c:numRef>
          </c:val>
        </c:ser>
        <c:ser>
          <c:idx val="1"/>
          <c:order val="1"/>
          <c:tx>
            <c:strRef>
              <c:f>'ELec. Supply LV1'!$D$25</c:f>
              <c:strCache>
                <c:ptCount val="1"/>
                <c:pt idx="0">
                  <c:v>Nuclear</c:v>
                </c:pt>
              </c:strCache>
            </c:strRef>
          </c:tx>
          <c:spPr>
            <a:solidFill>
              <a:schemeClr val="accent2"/>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LV1'!$E$25:$N$25</c:f>
              <c:numCache>
                <c:formatCode>General</c:formatCode>
                <c:ptCount val="10"/>
                <c:pt idx="0">
                  <c:v>0</c:v>
                </c:pt>
                <c:pt idx="1">
                  <c:v>0</c:v>
                </c:pt>
                <c:pt idx="2">
                  <c:v>0</c:v>
                </c:pt>
                <c:pt idx="3">
                  <c:v>0</c:v>
                </c:pt>
                <c:pt idx="4">
                  <c:v>19.504350000000002</c:v>
                </c:pt>
                <c:pt idx="5">
                  <c:v>31.206960000000002</c:v>
                </c:pt>
                <c:pt idx="6">
                  <c:v>46.81044</c:v>
                </c:pt>
                <c:pt idx="7">
                  <c:v>62.413920000000005</c:v>
                </c:pt>
                <c:pt idx="8">
                  <c:v>62.413920000000005</c:v>
                </c:pt>
                <c:pt idx="9">
                  <c:v>78.017400000000009</c:v>
                </c:pt>
              </c:numCache>
            </c:numRef>
          </c:val>
        </c:ser>
        <c:ser>
          <c:idx val="2"/>
          <c:order val="2"/>
          <c:tx>
            <c:strRef>
              <c:f>'ELec. Supply LV1'!$D$26</c:f>
              <c:strCache>
                <c:ptCount val="1"/>
                <c:pt idx="0">
                  <c:v>Wind</c:v>
                </c:pt>
              </c:strCache>
            </c:strRef>
          </c:tx>
          <c:spPr>
            <a:solidFill>
              <a:schemeClr val="accent3"/>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LV1'!$E$26:$N$26</c:f>
              <c:numCache>
                <c:formatCode>General</c:formatCode>
                <c:ptCount val="10"/>
                <c:pt idx="0">
                  <c:v>1.1130343666071078E-4</c:v>
                </c:pt>
                <c:pt idx="1">
                  <c:v>3.5967997998546627E-4</c:v>
                </c:pt>
                <c:pt idx="2">
                  <c:v>1.0141358950975323</c:v>
                </c:pt>
                <c:pt idx="3">
                  <c:v>1.3906820180294517</c:v>
                </c:pt>
                <c:pt idx="4">
                  <c:v>2.3980412886283915</c:v>
                </c:pt>
                <c:pt idx="5">
                  <c:v>2.5160612678044085</c:v>
                </c:pt>
                <c:pt idx="6">
                  <c:v>3.2379746584004332</c:v>
                </c:pt>
                <c:pt idx="7">
                  <c:v>4.121431236363569</c:v>
                </c:pt>
                <c:pt idx="8">
                  <c:v>4.9457174836362832</c:v>
                </c:pt>
                <c:pt idx="9">
                  <c:v>5.7700037309089973</c:v>
                </c:pt>
              </c:numCache>
            </c:numRef>
          </c:val>
        </c:ser>
        <c:ser>
          <c:idx val="3"/>
          <c:order val="3"/>
          <c:tx>
            <c:strRef>
              <c:f>'ELec. Supply LV1'!$D$27</c:f>
              <c:strCache>
                <c:ptCount val="1"/>
                <c:pt idx="0">
                  <c:v>Solar</c:v>
                </c:pt>
              </c:strCache>
            </c:strRef>
          </c:tx>
          <c:spPr>
            <a:solidFill>
              <a:schemeClr val="accent4"/>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LV1'!$E$27:$N$27</c:f>
              <c:numCache>
                <c:formatCode>General</c:formatCode>
                <c:ptCount val="10"/>
                <c:pt idx="0">
                  <c:v>9.5291426265956668E-3</c:v>
                </c:pt>
                <c:pt idx="1">
                  <c:v>0.96310490809537719</c:v>
                </c:pt>
                <c:pt idx="2">
                  <c:v>12.038570579780618</c:v>
                </c:pt>
                <c:pt idx="3">
                  <c:v>21.669427043605111</c:v>
                </c:pt>
                <c:pt idx="4">
                  <c:v>25.41218469613321</c:v>
                </c:pt>
                <c:pt idx="5">
                  <c:v>25.253004648647142</c:v>
                </c:pt>
                <c:pt idx="6">
                  <c:v>31.17654894894709</c:v>
                </c:pt>
                <c:pt idx="7">
                  <c:v>37.411858738736505</c:v>
                </c:pt>
                <c:pt idx="8">
                  <c:v>43.647168528525924</c:v>
                </c:pt>
                <c:pt idx="9">
                  <c:v>49.882478318315343</c:v>
                </c:pt>
              </c:numCache>
            </c:numRef>
          </c:val>
        </c:ser>
        <c:ser>
          <c:idx val="4"/>
          <c:order val="4"/>
          <c:tx>
            <c:strRef>
              <c:f>'ELec. Supply LV1'!$D$28</c:f>
              <c:strCache>
                <c:ptCount val="1"/>
                <c:pt idx="0">
                  <c:v>Hydro</c:v>
                </c:pt>
              </c:strCache>
            </c:strRef>
          </c:tx>
          <c:spPr>
            <a:solidFill>
              <a:schemeClr val="accent5"/>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LV1'!$E$28:$N$28</c:f>
              <c:numCache>
                <c:formatCode>General</c:formatCode>
                <c:ptCount val="10"/>
                <c:pt idx="0">
                  <c:v>1.5627743942023808</c:v>
                </c:pt>
                <c:pt idx="1">
                  <c:v>6.1224047253652776</c:v>
                </c:pt>
                <c:pt idx="2">
                  <c:v>8.9840293197365835</c:v>
                </c:pt>
                <c:pt idx="3">
                  <c:v>12.805642043764932</c:v>
                </c:pt>
                <c:pt idx="4">
                  <c:v>17.197746629527558</c:v>
                </c:pt>
                <c:pt idx="5">
                  <c:v>23.694490500295746</c:v>
                </c:pt>
                <c:pt idx="6">
                  <c:v>23.466684872886841</c:v>
                </c:pt>
                <c:pt idx="7">
                  <c:v>22.741286732431938</c:v>
                </c:pt>
                <c:pt idx="8">
                  <c:v>24.753526198862204</c:v>
                </c:pt>
                <c:pt idx="9">
                  <c:v>22.287378039505604</c:v>
                </c:pt>
              </c:numCache>
            </c:numRef>
          </c:val>
        </c:ser>
        <c:ser>
          <c:idx val="5"/>
          <c:order val="5"/>
          <c:tx>
            <c:strRef>
              <c:f>'ELec. Supply LV1'!$D$29</c:f>
              <c:strCache>
                <c:ptCount val="1"/>
                <c:pt idx="0">
                  <c:v>Biomass &amp; Waste</c:v>
                </c:pt>
              </c:strCache>
            </c:strRef>
          </c:tx>
          <c:spPr>
            <a:solidFill>
              <a:schemeClr val="accent6"/>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LV1'!$E$29:$N$29</c:f>
              <c:numCache>
                <c:formatCode>General</c:formatCode>
                <c:ptCount val="10"/>
                <c:pt idx="0">
                  <c:v>0</c:v>
                </c:pt>
                <c:pt idx="1">
                  <c:v>0</c:v>
                </c:pt>
                <c:pt idx="2">
                  <c:v>0</c:v>
                </c:pt>
                <c:pt idx="3">
                  <c:v>7.5500940496734446</c:v>
                </c:pt>
                <c:pt idx="4">
                  <c:v>7.3609379158087691</c:v>
                </c:pt>
                <c:pt idx="5">
                  <c:v>8.1902196049563631</c:v>
                </c:pt>
                <c:pt idx="6">
                  <c:v>7.3001991122963155</c:v>
                </c:pt>
                <c:pt idx="7">
                  <c:v>7.2394503342447356</c:v>
                </c:pt>
                <c:pt idx="8">
                  <c:v>7.8763512105051223</c:v>
                </c:pt>
                <c:pt idx="9">
                  <c:v>9.1257471506712591</c:v>
                </c:pt>
              </c:numCache>
            </c:numRef>
          </c:val>
        </c:ser>
        <c:ser>
          <c:idx val="6"/>
          <c:order val="6"/>
          <c:tx>
            <c:strRef>
              <c:f>'ELec. Supply LV1'!$D$30</c:f>
              <c:strCache>
                <c:ptCount val="1"/>
                <c:pt idx="0">
                  <c:v>Hydrogen</c:v>
                </c:pt>
              </c:strCache>
            </c:strRef>
          </c:tx>
          <c:spPr>
            <a:solidFill>
              <a:schemeClr val="accent1">
                <a:lumMod val="60000"/>
              </a:schemeClr>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LV1'!$E$30:$N$30</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7"/>
          <c:order val="7"/>
          <c:tx>
            <c:strRef>
              <c:f>'ELec. Supply LV1'!$D$31</c:f>
              <c:strCache>
                <c:ptCount val="1"/>
                <c:pt idx="0">
                  <c:v>Gas CCS</c:v>
                </c:pt>
              </c:strCache>
            </c:strRef>
          </c:tx>
          <c:spPr>
            <a:solidFill>
              <a:schemeClr val="accent2">
                <a:lumMod val="60000"/>
              </a:schemeClr>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LV1'!$E$31:$N$31</c:f>
              <c:numCache>
                <c:formatCode>General</c:formatCode>
                <c:ptCount val="10"/>
                <c:pt idx="0">
                  <c:v>0</c:v>
                </c:pt>
                <c:pt idx="1">
                  <c:v>0</c:v>
                </c:pt>
                <c:pt idx="2">
                  <c:v>0</c:v>
                </c:pt>
                <c:pt idx="3">
                  <c:v>0</c:v>
                </c:pt>
                <c:pt idx="4">
                  <c:v>3.8491200000000001E-3</c:v>
                </c:pt>
                <c:pt idx="5">
                  <c:v>3.8491200000000001E-3</c:v>
                </c:pt>
                <c:pt idx="6">
                  <c:v>3.8491200000000001E-3</c:v>
                </c:pt>
                <c:pt idx="7">
                  <c:v>3.8491200000000001E-3</c:v>
                </c:pt>
                <c:pt idx="8">
                  <c:v>3.8491200000000001E-3</c:v>
                </c:pt>
                <c:pt idx="9">
                  <c:v>3.8491200000000001E-3</c:v>
                </c:pt>
              </c:numCache>
            </c:numRef>
          </c:val>
        </c:ser>
        <c:ser>
          <c:idx val="8"/>
          <c:order val="8"/>
          <c:tx>
            <c:strRef>
              <c:f>'ELec. Supply LV1'!$D$32</c:f>
              <c:strCache>
                <c:ptCount val="1"/>
                <c:pt idx="0">
                  <c:v>Liquid &amp; Gaseous Fossils </c:v>
                </c:pt>
              </c:strCache>
            </c:strRef>
          </c:tx>
          <c:spPr>
            <a:solidFill>
              <a:schemeClr val="accent3">
                <a:lumMod val="60000"/>
              </a:schemeClr>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LV1'!$E$32:$N$32</c:f>
              <c:numCache>
                <c:formatCode>General</c:formatCode>
                <c:ptCount val="10"/>
                <c:pt idx="0">
                  <c:v>173.29629426980853</c:v>
                </c:pt>
                <c:pt idx="1">
                  <c:v>167.48245953889437</c:v>
                </c:pt>
                <c:pt idx="2">
                  <c:v>158.03905375235934</c:v>
                </c:pt>
                <c:pt idx="3">
                  <c:v>172.65605823721205</c:v>
                </c:pt>
                <c:pt idx="4">
                  <c:v>190.21059572307058</c:v>
                </c:pt>
                <c:pt idx="5">
                  <c:v>207.73719757021726</c:v>
                </c:pt>
                <c:pt idx="6">
                  <c:v>237.92018567526276</c:v>
                </c:pt>
                <c:pt idx="7">
                  <c:v>270.54369763946477</c:v>
                </c:pt>
                <c:pt idx="8">
                  <c:v>295.57596097486953</c:v>
                </c:pt>
                <c:pt idx="9">
                  <c:v>309.55110592444765</c:v>
                </c:pt>
              </c:numCache>
            </c:numRef>
          </c:val>
        </c:ser>
        <c:ser>
          <c:idx val="9"/>
          <c:order val="9"/>
          <c:tx>
            <c:strRef>
              <c:f>'ELec. Supply LV1'!$D$33</c:f>
              <c:strCache>
                <c:ptCount val="1"/>
                <c:pt idx="0">
                  <c:v>CHP</c:v>
                </c:pt>
              </c:strCache>
            </c:strRef>
          </c:tx>
          <c:spPr>
            <a:solidFill>
              <a:schemeClr val="accent4">
                <a:lumMod val="60000"/>
              </a:schemeClr>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LV1'!$E$33:$N$33</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10"/>
          <c:order val="10"/>
          <c:tx>
            <c:strRef>
              <c:f>'ELec. Supply LV1'!$D$34</c:f>
              <c:strCache>
                <c:ptCount val="1"/>
                <c:pt idx="0">
                  <c:v>Net Imports</c:v>
                </c:pt>
              </c:strCache>
            </c:strRef>
          </c:tx>
          <c:spPr>
            <a:solidFill>
              <a:schemeClr val="accent5">
                <a:lumMod val="60000"/>
              </a:schemeClr>
            </a:solidFill>
            <a:ln>
              <a:noFill/>
            </a:ln>
            <a:effectLst/>
          </c:spPr>
          <c:invertIfNegative val="0"/>
          <c:cat>
            <c:numRef>
              <c:f>'ELec. Supply LV1'!$E$23:$N$23</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LV1'!$E$34:$N$34</c:f>
              <c:numCache>
                <c:formatCode>General</c:formatCode>
                <c:ptCount val="10"/>
                <c:pt idx="0">
                  <c:v>0</c:v>
                </c:pt>
                <c:pt idx="1">
                  <c:v>0</c:v>
                </c:pt>
                <c:pt idx="2">
                  <c:v>0</c:v>
                </c:pt>
                <c:pt idx="3">
                  <c:v>0</c:v>
                </c:pt>
                <c:pt idx="4">
                  <c:v>23.542320539241857</c:v>
                </c:pt>
                <c:pt idx="5">
                  <c:v>15.69488035949457</c:v>
                </c:pt>
                <c:pt idx="6">
                  <c:v>7.8474401797472844</c:v>
                </c:pt>
                <c:pt idx="7">
                  <c:v>0</c:v>
                </c:pt>
                <c:pt idx="8">
                  <c:v>0</c:v>
                </c:pt>
                <c:pt idx="9">
                  <c:v>0</c:v>
                </c:pt>
              </c:numCache>
            </c:numRef>
          </c:val>
        </c:ser>
        <c:dLbls>
          <c:showLegendKey val="0"/>
          <c:showVal val="0"/>
          <c:showCatName val="0"/>
          <c:showSerName val="0"/>
          <c:showPercent val="0"/>
          <c:showBubbleSize val="0"/>
        </c:dLbls>
        <c:gapWidth val="55"/>
        <c:overlap val="100"/>
        <c:axId val="197974656"/>
        <c:axId val="198267264"/>
        <c:extLst>
          <c:ext xmlns:c15="http://schemas.microsoft.com/office/drawing/2012/chart" uri="{02D57815-91ED-43cb-92C2-25804820EDAC}">
            <c15:filteredBarSeries>
              <c15:ser>
                <c:idx val="11"/>
                <c:order val="11"/>
                <c:tx>
                  <c:strRef>
                    <c:extLst>
                      <c:ext uri="{02D57815-91ED-43cb-92C2-25804820EDAC}">
                        <c15:formulaRef>
                          <c15:sqref>'ELec. Supply LV1'!$D$35</c15:sqref>
                        </c15:formulaRef>
                      </c:ext>
                    </c:extLst>
                    <c:strCache>
                      <c:ptCount val="1"/>
                      <c:pt idx="0">
                        <c:v>Total</c:v>
                      </c:pt>
                    </c:strCache>
                  </c:strRef>
                </c:tx>
                <c:spPr>
                  <a:solidFill>
                    <a:schemeClr val="accent6">
                      <a:lumMod val="60000"/>
                    </a:schemeClr>
                  </a:solidFill>
                  <a:ln>
                    <a:noFill/>
                  </a:ln>
                  <a:effectLst/>
                </c:spPr>
                <c:invertIfNegative val="0"/>
                <c:cat>
                  <c:numRef>
                    <c:extLst>
                      <c:ext uri="{02D57815-91ED-43cb-92C2-25804820EDAC}">
                        <c15:formulaRef>
                          <c15:sqref>'ELec. Supply LV1'!$E$23:$N$23</c15:sqref>
                        </c15:formulaRef>
                      </c:ext>
                    </c:extLst>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extLst>
                      <c:ext uri="{02D57815-91ED-43cb-92C2-25804820EDAC}">
                        <c15:formulaRef>
                          <c15:sqref>'ELec. Supply LV1'!$E$35:$N$35</c15:sqref>
                        </c15:formulaRef>
                      </c:ext>
                    </c:extLst>
                    <c:numCache>
                      <c:formatCode>General</c:formatCode>
                      <c:ptCount val="10"/>
                      <c:pt idx="0">
                        <c:v>174.89096916787176</c:v>
                      </c:pt>
                      <c:pt idx="1">
                        <c:v>174.56832890003361</c:v>
                      </c:pt>
                      <c:pt idx="2">
                        <c:v>180.07578958892302</c:v>
                      </c:pt>
                      <c:pt idx="3">
                        <c:v>216.07190343096875</c:v>
                      </c:pt>
                      <c:pt idx="4">
                        <c:v>285.63738938927816</c:v>
                      </c:pt>
                      <c:pt idx="5">
                        <c:v>314.30402653284733</c:v>
                      </c:pt>
                      <c:pt idx="6">
                        <c:v>357.77068601827449</c:v>
                      </c:pt>
                      <c:pt idx="7">
                        <c:v>404.48285724815435</c:v>
                      </c:pt>
                      <c:pt idx="8">
                        <c:v>439.22385695990459</c:v>
                      </c:pt>
                      <c:pt idx="9">
                        <c:v>474.64532572384888</c:v>
                      </c:pt>
                    </c:numCache>
                  </c:numRef>
                </c:val>
              </c15:ser>
            </c15:filteredBarSeries>
          </c:ext>
        </c:extLst>
      </c:barChart>
      <c:catAx>
        <c:axId val="1979746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98267264"/>
        <c:crosses val="autoZero"/>
        <c:auto val="1"/>
        <c:lblAlgn val="ctr"/>
        <c:lblOffset val="100"/>
        <c:noMultiLvlLbl val="0"/>
      </c:catAx>
      <c:valAx>
        <c:axId val="1982672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TWh/yr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9797465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'Elec. Supply LV4'!$D$47</c:f>
              <c:strCache>
                <c:ptCount val="1"/>
                <c:pt idx="0">
                  <c:v>Biomass &amp; Waste CCS</c:v>
                </c:pt>
              </c:strCache>
            </c:strRef>
          </c:tx>
          <c:spPr>
            <a:solidFill>
              <a:schemeClr val="accent1"/>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LV4'!$E$47:$N$47</c:f>
              <c:numCache>
                <c:formatCode>General</c:formatCode>
                <c:ptCount val="10"/>
                <c:pt idx="0">
                  <c:v>0</c:v>
                </c:pt>
                <c:pt idx="1">
                  <c:v>0</c:v>
                </c:pt>
                <c:pt idx="2">
                  <c:v>4.5380242131017499E-8</c:v>
                </c:pt>
                <c:pt idx="3">
                  <c:v>4.3925629175661316E-8</c:v>
                </c:pt>
                <c:pt idx="4">
                  <c:v>7.3634827915946728E-3</c:v>
                </c:pt>
                <c:pt idx="5">
                  <c:v>15.188353336773819</c:v>
                </c:pt>
                <c:pt idx="6">
                  <c:v>30.295108781445364</c:v>
                </c:pt>
                <c:pt idx="7">
                  <c:v>45.330198907387341</c:v>
                </c:pt>
                <c:pt idx="8">
                  <c:v>60.29923967859331</c:v>
                </c:pt>
                <c:pt idx="9">
                  <c:v>75.358352286185962</c:v>
                </c:pt>
              </c:numCache>
            </c:numRef>
          </c:val>
        </c:ser>
        <c:ser>
          <c:idx val="1"/>
          <c:order val="1"/>
          <c:tx>
            <c:strRef>
              <c:f>'Elec. Supply LV4'!$D$48</c:f>
              <c:strCache>
                <c:ptCount val="1"/>
                <c:pt idx="0">
                  <c:v>Nuclear</c:v>
                </c:pt>
              </c:strCache>
            </c:strRef>
          </c:tx>
          <c:spPr>
            <a:solidFill>
              <a:schemeClr val="accent2"/>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LV4'!$E$48:$N$48</c:f>
              <c:numCache>
                <c:formatCode>General</c:formatCode>
                <c:ptCount val="10"/>
                <c:pt idx="0">
                  <c:v>0</c:v>
                </c:pt>
                <c:pt idx="1">
                  <c:v>0</c:v>
                </c:pt>
                <c:pt idx="2">
                  <c:v>0</c:v>
                </c:pt>
                <c:pt idx="3">
                  <c:v>0</c:v>
                </c:pt>
                <c:pt idx="4">
                  <c:v>19.504350000000002</c:v>
                </c:pt>
                <c:pt idx="5">
                  <c:v>93.62088</c:v>
                </c:pt>
                <c:pt idx="6">
                  <c:v>179.73114220113521</c:v>
                </c:pt>
                <c:pt idx="7">
                  <c:v>266.11119305055956</c:v>
                </c:pt>
                <c:pt idx="8">
                  <c:v>339.29048376323362</c:v>
                </c:pt>
                <c:pt idx="9">
                  <c:v>407.97795170327805</c:v>
                </c:pt>
              </c:numCache>
            </c:numRef>
          </c:val>
        </c:ser>
        <c:ser>
          <c:idx val="2"/>
          <c:order val="2"/>
          <c:tx>
            <c:strRef>
              <c:f>'Elec. Supply LV4'!$D$49</c:f>
              <c:strCache>
                <c:ptCount val="1"/>
                <c:pt idx="0">
                  <c:v>Wind</c:v>
                </c:pt>
              </c:strCache>
            </c:strRef>
          </c:tx>
          <c:spPr>
            <a:solidFill>
              <a:schemeClr val="accent3"/>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LV4'!$E$49:$N$49</c:f>
              <c:numCache>
                <c:formatCode>General</c:formatCode>
                <c:ptCount val="10"/>
                <c:pt idx="0">
                  <c:v>1.1130343666071078E-4</c:v>
                </c:pt>
                <c:pt idx="1">
                  <c:v>3.5967997998546627E-4</c:v>
                </c:pt>
                <c:pt idx="2">
                  <c:v>1.0141358950975323</c:v>
                </c:pt>
                <c:pt idx="3">
                  <c:v>6.6217889338278439</c:v>
                </c:pt>
                <c:pt idx="4">
                  <c:v>11.990203938570531</c:v>
                </c:pt>
                <c:pt idx="5">
                  <c:v>11.920514354341115</c:v>
                </c:pt>
                <c:pt idx="6">
                  <c:v>16.189870792573601</c:v>
                </c:pt>
                <c:pt idx="7">
                  <c:v>20.607153057532134</c:v>
                </c:pt>
                <c:pt idx="8">
                  <c:v>24.728583669038564</c:v>
                </c:pt>
                <c:pt idx="9">
                  <c:v>28.85001428054499</c:v>
                </c:pt>
              </c:numCache>
            </c:numRef>
          </c:val>
        </c:ser>
        <c:ser>
          <c:idx val="3"/>
          <c:order val="3"/>
          <c:tx>
            <c:strRef>
              <c:f>'Elec. Supply LV4'!$D$50</c:f>
              <c:strCache>
                <c:ptCount val="1"/>
                <c:pt idx="0">
                  <c:v>Solar</c:v>
                </c:pt>
              </c:strCache>
            </c:strRef>
          </c:tx>
          <c:spPr>
            <a:solidFill>
              <a:schemeClr val="accent4"/>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LV4'!$E$50:$N$50</c:f>
              <c:numCache>
                <c:formatCode>General</c:formatCode>
                <c:ptCount val="10"/>
                <c:pt idx="0">
                  <c:v>9.5291426265956668E-3</c:v>
                </c:pt>
                <c:pt idx="1">
                  <c:v>0.96310490809537719</c:v>
                </c:pt>
                <c:pt idx="2">
                  <c:v>48.293712961329199</c:v>
                </c:pt>
                <c:pt idx="3">
                  <c:v>80.102903426593315</c:v>
                </c:pt>
                <c:pt idx="4">
                  <c:v>103.90751276805773</c:v>
                </c:pt>
                <c:pt idx="5">
                  <c:v>137.1768153753672</c:v>
                </c:pt>
                <c:pt idx="6">
                  <c:v>171.47101921920898</c:v>
                </c:pt>
                <c:pt idx="7">
                  <c:v>205.76522306305077</c:v>
                </c:pt>
                <c:pt idx="8">
                  <c:v>240.05942690689258</c:v>
                </c:pt>
                <c:pt idx="9">
                  <c:v>274.3536307507344</c:v>
                </c:pt>
              </c:numCache>
            </c:numRef>
          </c:val>
        </c:ser>
        <c:ser>
          <c:idx val="4"/>
          <c:order val="4"/>
          <c:tx>
            <c:strRef>
              <c:f>'Elec. Supply LV4'!$D$51</c:f>
              <c:strCache>
                <c:ptCount val="1"/>
                <c:pt idx="0">
                  <c:v>Hydro</c:v>
                </c:pt>
              </c:strCache>
            </c:strRef>
          </c:tx>
          <c:spPr>
            <a:solidFill>
              <a:schemeClr val="accent5"/>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LV4'!$E$51:$N$51</c:f>
              <c:numCache>
                <c:formatCode>General</c:formatCode>
                <c:ptCount val="10"/>
                <c:pt idx="0">
                  <c:v>1.5627743942023808</c:v>
                </c:pt>
                <c:pt idx="1">
                  <c:v>6.1224034077652778</c:v>
                </c:pt>
                <c:pt idx="2">
                  <c:v>11.27424486500362</c:v>
                </c:pt>
                <c:pt idx="3">
                  <c:v>20.255037862830232</c:v>
                </c:pt>
                <c:pt idx="4">
                  <c:v>29.235830860656851</c:v>
                </c:pt>
                <c:pt idx="5">
                  <c:v>15.243533675182572</c:v>
                </c:pt>
                <c:pt idx="6">
                  <c:v>17.906224832473793</c:v>
                </c:pt>
                <c:pt idx="7">
                  <c:v>21.487421422528552</c:v>
                </c:pt>
                <c:pt idx="8">
                  <c:v>25.068618012583304</c:v>
                </c:pt>
                <c:pt idx="9">
                  <c:v>28.649813290438061</c:v>
                </c:pt>
              </c:numCache>
            </c:numRef>
          </c:val>
        </c:ser>
        <c:ser>
          <c:idx val="5"/>
          <c:order val="5"/>
          <c:tx>
            <c:strRef>
              <c:f>'Elec. Supply LV4'!$D$52</c:f>
              <c:strCache>
                <c:ptCount val="1"/>
                <c:pt idx="0">
                  <c:v>Biomass &amp; Waste</c:v>
                </c:pt>
              </c:strCache>
            </c:strRef>
          </c:tx>
          <c:spPr>
            <a:solidFill>
              <a:schemeClr val="accent6"/>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LV4'!$E$52:$N$52</c:f>
              <c:numCache>
                <c:formatCode>General</c:formatCode>
                <c:ptCount val="10"/>
                <c:pt idx="0">
                  <c:v>0</c:v>
                </c:pt>
                <c:pt idx="1">
                  <c:v>0</c:v>
                </c:pt>
                <c:pt idx="2">
                  <c:v>0</c:v>
                </c:pt>
                <c:pt idx="3">
                  <c:v>6.2296428736405023</c:v>
                </c:pt>
                <c:pt idx="4">
                  <c:v>16.526359424577691</c:v>
                </c:pt>
                <c:pt idx="5">
                  <c:v>26.34029325480061</c:v>
                </c:pt>
                <c:pt idx="6">
                  <c:v>38.003623140617464</c:v>
                </c:pt>
                <c:pt idx="7">
                  <c:v>49.755172592152014</c:v>
                </c:pt>
                <c:pt idx="8">
                  <c:v>61.583929915299194</c:v>
                </c:pt>
                <c:pt idx="9">
                  <c:v>36.463410242083427</c:v>
                </c:pt>
              </c:numCache>
            </c:numRef>
          </c:val>
        </c:ser>
        <c:ser>
          <c:idx val="6"/>
          <c:order val="6"/>
          <c:tx>
            <c:strRef>
              <c:f>'Elec. Supply LV4'!$D$53</c:f>
              <c:strCache>
                <c:ptCount val="1"/>
                <c:pt idx="0">
                  <c:v>Hydrogen</c:v>
                </c:pt>
              </c:strCache>
            </c:strRef>
          </c:tx>
          <c:spPr>
            <a:solidFill>
              <a:schemeClr val="accent1">
                <a:lumMod val="60000"/>
              </a:schemeClr>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LV4'!$E$53:$N$53</c:f>
              <c:numCache>
                <c:formatCode>General</c:formatCode>
                <c:ptCount val="10"/>
                <c:pt idx="0">
                  <c:v>0</c:v>
                </c:pt>
                <c:pt idx="1">
                  <c:v>0</c:v>
                </c:pt>
                <c:pt idx="2">
                  <c:v>0</c:v>
                </c:pt>
                <c:pt idx="3">
                  <c:v>0</c:v>
                </c:pt>
                <c:pt idx="4">
                  <c:v>0</c:v>
                </c:pt>
                <c:pt idx="5">
                  <c:v>30.792960000000004</c:v>
                </c:pt>
                <c:pt idx="6">
                  <c:v>61.585920000000009</c:v>
                </c:pt>
                <c:pt idx="7">
                  <c:v>92.378880000000009</c:v>
                </c:pt>
                <c:pt idx="8">
                  <c:v>123.17184000000002</c:v>
                </c:pt>
                <c:pt idx="9">
                  <c:v>153.9648</c:v>
                </c:pt>
              </c:numCache>
            </c:numRef>
          </c:val>
        </c:ser>
        <c:ser>
          <c:idx val="7"/>
          <c:order val="7"/>
          <c:tx>
            <c:strRef>
              <c:f>'Elec. Supply LV4'!$D$54</c:f>
              <c:strCache>
                <c:ptCount val="1"/>
                <c:pt idx="0">
                  <c:v>Gas CCS</c:v>
                </c:pt>
              </c:strCache>
            </c:strRef>
          </c:tx>
          <c:spPr>
            <a:solidFill>
              <a:schemeClr val="accent2">
                <a:lumMod val="60000"/>
              </a:schemeClr>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LV4'!$E$54:$N$54</c:f>
              <c:numCache>
                <c:formatCode>General</c:formatCode>
                <c:ptCount val="10"/>
                <c:pt idx="0">
                  <c:v>0</c:v>
                </c:pt>
                <c:pt idx="1">
                  <c:v>0</c:v>
                </c:pt>
                <c:pt idx="2">
                  <c:v>0</c:v>
                </c:pt>
                <c:pt idx="3">
                  <c:v>0</c:v>
                </c:pt>
                <c:pt idx="4">
                  <c:v>3.8491200000000001E-3</c:v>
                </c:pt>
                <c:pt idx="5">
                  <c:v>38.491199999999999</c:v>
                </c:pt>
                <c:pt idx="6">
                  <c:v>76.955009012992548</c:v>
                </c:pt>
                <c:pt idx="7">
                  <c:v>56.721412722190422</c:v>
                </c:pt>
                <c:pt idx="8">
                  <c:v>10.102558621085208</c:v>
                </c:pt>
                <c:pt idx="9">
                  <c:v>0</c:v>
                </c:pt>
              </c:numCache>
            </c:numRef>
          </c:val>
        </c:ser>
        <c:ser>
          <c:idx val="8"/>
          <c:order val="8"/>
          <c:tx>
            <c:strRef>
              <c:f>'Elec. Supply LV4'!$D$55</c:f>
              <c:strCache>
                <c:ptCount val="1"/>
                <c:pt idx="0">
                  <c:v>Liquid &amp; Gaseous Fossils </c:v>
                </c:pt>
              </c:strCache>
            </c:strRef>
          </c:tx>
          <c:spPr>
            <a:solidFill>
              <a:schemeClr val="accent3">
                <a:lumMod val="60000"/>
              </a:schemeClr>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LV4'!$E$55:$N$55</c:f>
              <c:numCache>
                <c:formatCode>General</c:formatCode>
                <c:ptCount val="10"/>
                <c:pt idx="0">
                  <c:v>173.29629426980853</c:v>
                </c:pt>
                <c:pt idx="1">
                  <c:v>167.48245953889437</c:v>
                </c:pt>
                <c:pt idx="2">
                  <c:v>129.04045801303502</c:v>
                </c:pt>
                <c:pt idx="3">
                  <c:v>131.05025560375191</c:v>
                </c:pt>
                <c:pt idx="4">
                  <c:v>137.07175298993872</c:v>
                </c:pt>
                <c:pt idx="5">
                  <c:v>67.247880937327892</c:v>
                </c:pt>
                <c:pt idx="6">
                  <c:v>0</c:v>
                </c:pt>
                <c:pt idx="7">
                  <c:v>0</c:v>
                </c:pt>
                <c:pt idx="8">
                  <c:v>0</c:v>
                </c:pt>
                <c:pt idx="9">
                  <c:v>0</c:v>
                </c:pt>
              </c:numCache>
            </c:numRef>
          </c:val>
        </c:ser>
        <c:ser>
          <c:idx val="10"/>
          <c:order val="9"/>
          <c:tx>
            <c:strRef>
              <c:f>'Elec. Supply LV4'!$D$57</c:f>
              <c:strCache>
                <c:ptCount val="1"/>
                <c:pt idx="0">
                  <c:v>Net Imports</c:v>
                </c:pt>
              </c:strCache>
            </c:strRef>
          </c:tx>
          <c:spPr>
            <a:solidFill>
              <a:schemeClr val="accent5">
                <a:lumMod val="60000"/>
              </a:schemeClr>
            </a:solidFill>
            <a:ln>
              <a:noFill/>
            </a:ln>
            <a:effectLst/>
          </c:spPr>
          <c:invertIfNegative val="0"/>
          <c:cat>
            <c:numRef>
              <c:f>'Elec. Supply LV4'!$E$46:$N$46</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'Elec. Supply LV4'!$E$57:$N$57</c:f>
              <c:numCache>
                <c:formatCode>General</c:formatCode>
                <c:ptCount val="10"/>
                <c:pt idx="0">
                  <c:v>0</c:v>
                </c:pt>
                <c:pt idx="1">
                  <c:v>0</c:v>
                </c:pt>
                <c:pt idx="2">
                  <c:v>0</c:v>
                </c:pt>
                <c:pt idx="3">
                  <c:v>0</c:v>
                </c:pt>
                <c:pt idx="4">
                  <c:v>23.542320539241857</c:v>
                </c:pt>
                <c:pt idx="5">
                  <c:v>0</c:v>
                </c:pt>
                <c:pt idx="6">
                  <c:v>0</c:v>
                </c:pt>
                <c:pt idx="7">
                  <c:v>0</c:v>
                </c:pt>
                <c:pt idx="8">
                  <c:v>0</c:v>
                </c:pt>
                <c:pt idx="9">
                  <c:v>0</c:v>
                </c:pt>
              </c:numCache>
            </c:numRef>
          </c:val>
        </c:ser>
        <c:dLbls>
          <c:showLegendKey val="0"/>
          <c:showVal val="0"/>
          <c:showCatName val="0"/>
          <c:showSerName val="0"/>
          <c:showPercent val="0"/>
          <c:showBubbleSize val="0"/>
        </c:dLbls>
        <c:gapWidth val="75"/>
        <c:overlap val="100"/>
        <c:axId val="209161600"/>
        <c:axId val="209171584"/>
        <c:extLst>
          <c:ext xmlns:c15="http://schemas.microsoft.com/office/drawing/2012/chart" uri="{02D57815-91ED-43cb-92C2-25804820EDAC}">
            <c15:filteredBarSeries>
              <c15:ser>
                <c:idx val="9"/>
                <c:order val="9"/>
                <c:tx>
                  <c:strRef>
                    <c:extLst>
                      <c:ext uri="{02D57815-91ED-43cb-92C2-25804820EDAC}">
                        <c15:formulaRef>
                          <c15:sqref>'Elec. Supply LV4'!$D$56</c15:sqref>
                        </c15:formulaRef>
                      </c:ext>
                    </c:extLst>
                    <c:strCache>
                      <c:ptCount val="1"/>
                      <c:pt idx="0">
                        <c:v>CHP</c:v>
                      </c:pt>
                    </c:strCache>
                  </c:strRef>
                </c:tx>
                <c:spPr>
                  <a:solidFill>
                    <a:schemeClr val="accent4">
                      <a:lumMod val="60000"/>
                    </a:schemeClr>
                  </a:solidFill>
                  <a:ln>
                    <a:noFill/>
                  </a:ln>
                  <a:effectLst/>
                </c:spPr>
                <c:invertIfNegative val="0"/>
                <c:cat>
                  <c:numRef>
                    <c:extLst>
                      <c:ext uri="{02D57815-91ED-43cb-92C2-25804820EDAC}">
                        <c15:formulaRef>
                          <c15:sqref>'Elec. Supply LV4'!$E$46:$N$46</c15:sqref>
                        </c15:formulaRef>
                      </c:ext>
                    </c:extLst>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extLst>
                      <c:ext uri="{02D57815-91ED-43cb-92C2-25804820EDAC}">
                        <c15:formulaRef>
                          <c15:sqref>'Elec. Supply LV4'!$E$56:$N$56</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'Elec. Supply LV4'!$D$58</c15:sqref>
                        </c15:formulaRef>
                      </c:ext>
                    </c:extLst>
                    <c:strCache>
                      <c:ptCount val="1"/>
                      <c:pt idx="0">
                        <c:v>Total</c:v>
                      </c:pt>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'Elec. Supply LV4'!$E$46:$N$46</c15:sqref>
                        </c15:formulaRef>
                      </c:ext>
                    </c:extLst>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extLst xmlns:c15="http://schemas.microsoft.com/office/drawing/2012/chart">
                      <c:ext xmlns:c15="http://schemas.microsoft.com/office/drawing/2012/chart" uri="{02D57815-91ED-43cb-92C2-25804820EDAC}">
                        <c15:formulaRef>
                          <c15:sqref>'Elec. Supply LV4'!$E$58:$N$58</c15:sqref>
                        </c15:formulaRef>
                      </c:ext>
                    </c:extLst>
                    <c:numCache>
                      <c:formatCode>General</c:formatCode>
                      <c:ptCount val="10"/>
                      <c:pt idx="0">
                        <c:v>174.89096916787176</c:v>
                      </c:pt>
                      <c:pt idx="1">
                        <c:v>174.5683275824336</c:v>
                      </c:pt>
                      <c:pt idx="2">
                        <c:v>189.62255177984559</c:v>
                      </c:pt>
                      <c:pt idx="3">
                        <c:v>244.25962874456943</c:v>
                      </c:pt>
                      <c:pt idx="4">
                        <c:v>341.78954312383502</c:v>
                      </c:pt>
                      <c:pt idx="5">
                        <c:v>436.0224309337932</c:v>
                      </c:pt>
                      <c:pt idx="6">
                        <c:v>592.1379179804469</c:v>
                      </c:pt>
                      <c:pt idx="7">
                        <c:v>758.15665481540077</c:v>
                      </c:pt>
                      <c:pt idx="8">
                        <c:v>884.30468056672589</c:v>
                      </c:pt>
                      <c:pt idx="9">
                        <c:v>1005.6179725532648</c:v>
                      </c:pt>
                    </c:numCache>
                  </c:numRef>
                </c:val>
              </c15:ser>
            </c15:filteredBarSeries>
          </c:ext>
        </c:extLst>
      </c:barChart>
      <c:catAx>
        <c:axId val="2091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71584"/>
        <c:crosses val="autoZero"/>
        <c:auto val="1"/>
        <c:lblAlgn val="ctr"/>
        <c:lblOffset val="100"/>
        <c:noMultiLvlLbl val="0"/>
      </c:catAx>
      <c:valAx>
        <c:axId val="2091715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TWh/yr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61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'Emissions - Elec. Gen. LV4'!$D$28</c:f>
              <c:strCache>
                <c:ptCount val="1"/>
                <c:pt idx="0">
                  <c:v>Biomass &amp; Waste CCS</c:v>
                </c:pt>
              </c:strCache>
            </c:strRef>
          </c:tx>
          <c:spPr>
            <a:solidFill>
              <a:schemeClr val="accent2"/>
            </a:solidFill>
            <a:ln>
              <a:noFill/>
            </a:ln>
            <a:effectLst/>
          </c:spPr>
          <c:cat>
            <c:numRef>
              <c:f>'Emissions - Elec. Gen. LV4'!$E$27:$N$27</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'Emissions - Elec. Gen. LV4'!$E$28:$N$28</c:f>
              <c:numCache>
                <c:formatCode>General</c:formatCode>
                <c:ptCount val="10"/>
                <c:pt idx="0">
                  <c:v>0</c:v>
                </c:pt>
                <c:pt idx="1">
                  <c:v>0</c:v>
                </c:pt>
                <c:pt idx="2">
                  <c:v>0</c:v>
                </c:pt>
                <c:pt idx="3">
                  <c:v>-4.1471192310843055E-8</c:v>
                </c:pt>
                <c:pt idx="4">
                  <c:v>-6.6106826641823217E-3</c:v>
                </c:pt>
                <c:pt idx="5">
                  <c:v>-13.558858913913848</c:v>
                </c:pt>
                <c:pt idx="6">
                  <c:v>-28.144380356093443</c:v>
                </c:pt>
                <c:pt idx="7">
                  <c:v>-43.747251167457158</c:v>
                </c:pt>
                <c:pt idx="8">
                  <c:v>-60.360293073279514</c:v>
                </c:pt>
                <c:pt idx="9">
                  <c:v>-78.397009385496986</c:v>
                </c:pt>
              </c:numCache>
            </c:numRef>
          </c:val>
        </c:ser>
        <c:ser>
          <c:idx val="1"/>
          <c:order val="1"/>
          <c:tx>
            <c:strRef>
              <c:f>'Emissions - Elec. Gen. LV4'!$D$29</c:f>
              <c:strCache>
                <c:ptCount val="1"/>
                <c:pt idx="0">
                  <c:v>Biomass &amp; Waste</c:v>
                </c:pt>
              </c:strCache>
            </c:strRef>
          </c:tx>
          <c:spPr>
            <a:solidFill>
              <a:schemeClr val="accent4"/>
            </a:solidFill>
            <a:ln>
              <a:noFill/>
            </a:ln>
            <a:effectLst/>
          </c:spPr>
          <c:cat>
            <c:numRef>
              <c:f>'Emissions - Elec. Gen. LV4'!$E$27:$N$27</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'Emissions - Elec. Gen. LV4'!$E$29:$N$29</c:f>
              <c:numCache>
                <c:formatCode>General</c:formatCode>
                <c:ptCount val="10"/>
                <c:pt idx="0">
                  <c:v>0</c:v>
                </c:pt>
                <c:pt idx="1">
                  <c:v>0</c:v>
                </c:pt>
                <c:pt idx="2">
                  <c:v>1.1174943819518808</c:v>
                </c:pt>
                <c:pt idx="3">
                  <c:v>1.3647542687399432</c:v>
                </c:pt>
                <c:pt idx="4">
                  <c:v>1.8933905376654265</c:v>
                </c:pt>
                <c:pt idx="5">
                  <c:v>1.9411563817297932</c:v>
                </c:pt>
                <c:pt idx="6">
                  <c:v>2.0526854202169744</c:v>
                </c:pt>
                <c:pt idx="7">
                  <c:v>2.2145091900151916</c:v>
                </c:pt>
                <c:pt idx="8">
                  <c:v>2.4203498298383792</c:v>
                </c:pt>
                <c:pt idx="9">
                  <c:v>1.3231008859270272</c:v>
                </c:pt>
              </c:numCache>
            </c:numRef>
          </c:val>
        </c:ser>
        <c:ser>
          <c:idx val="2"/>
          <c:order val="2"/>
          <c:tx>
            <c:strRef>
              <c:f>'Emissions - Elec. Gen. LV4'!$D$30</c:f>
              <c:strCache>
                <c:ptCount val="1"/>
                <c:pt idx="0">
                  <c:v>Gas CCS</c:v>
                </c:pt>
              </c:strCache>
            </c:strRef>
          </c:tx>
          <c:spPr>
            <a:solidFill>
              <a:schemeClr val="accent6"/>
            </a:solidFill>
            <a:ln>
              <a:noFill/>
            </a:ln>
            <a:effectLst/>
          </c:spPr>
          <c:cat>
            <c:numRef>
              <c:f>'Emissions - Elec. Gen. LV4'!$E$27:$N$27</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'Emissions - Elec. Gen. LV4'!$E$30:$N$30</c:f>
              <c:numCache>
                <c:formatCode>General</c:formatCode>
                <c:ptCount val="10"/>
                <c:pt idx="0">
                  <c:v>0</c:v>
                </c:pt>
                <c:pt idx="1">
                  <c:v>0</c:v>
                </c:pt>
                <c:pt idx="2">
                  <c:v>0</c:v>
                </c:pt>
                <c:pt idx="3">
                  <c:v>0</c:v>
                </c:pt>
                <c:pt idx="4">
                  <c:v>2.4438740278254483E-4</c:v>
                </c:pt>
                <c:pt idx="5">
                  <c:v>1.9613282849824594</c:v>
                </c:pt>
                <c:pt idx="6">
                  <c:v>2.9565127576848469</c:v>
                </c:pt>
                <c:pt idx="7">
                  <c:v>1.4680747459660879</c:v>
                </c:pt>
                <c:pt idx="8">
                  <c:v>0.13482546688460278</c:v>
                </c:pt>
                <c:pt idx="9">
                  <c:v>0</c:v>
                </c:pt>
              </c:numCache>
            </c:numRef>
          </c:val>
        </c:ser>
        <c:ser>
          <c:idx val="3"/>
          <c:order val="3"/>
          <c:tx>
            <c:strRef>
              <c:f>'Emissions - Elec. Gen. LV4'!$D$31</c:f>
              <c:strCache>
                <c:ptCount val="1"/>
                <c:pt idx="0">
                  <c:v>Liquid &amp; Gaseous Fossils</c:v>
                </c:pt>
              </c:strCache>
            </c:strRef>
          </c:tx>
          <c:spPr>
            <a:solidFill>
              <a:schemeClr val="accent2">
                <a:lumMod val="60000"/>
              </a:schemeClr>
            </a:solidFill>
            <a:ln>
              <a:noFill/>
            </a:ln>
            <a:effectLst/>
          </c:spPr>
          <c:cat>
            <c:numRef>
              <c:f>'Emissions - Elec. Gen. LV4'!$E$27:$N$27</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'Emissions - Elec. Gen. LV4'!$E$31:$N$31</c:f>
              <c:numCache>
                <c:formatCode>General</c:formatCode>
                <c:ptCount val="10"/>
                <c:pt idx="0">
                  <c:v>68.241411205571922</c:v>
                </c:pt>
                <c:pt idx="1">
                  <c:v>62.859845398719422</c:v>
                </c:pt>
                <c:pt idx="2">
                  <c:v>48.124894914072975</c:v>
                </c:pt>
                <c:pt idx="3">
                  <c:v>49.274787879794381</c:v>
                </c:pt>
                <c:pt idx="4">
                  <c:v>52.217665026551927</c:v>
                </c:pt>
                <c:pt idx="5">
                  <c:v>28.156229953654154</c:v>
                </c:pt>
                <c:pt idx="6">
                  <c:v>0</c:v>
                </c:pt>
                <c:pt idx="7">
                  <c:v>0</c:v>
                </c:pt>
                <c:pt idx="8">
                  <c:v>0</c:v>
                </c:pt>
                <c:pt idx="9">
                  <c:v>0</c:v>
                </c:pt>
              </c:numCache>
            </c:numRef>
          </c:val>
        </c:ser>
        <c:dLbls>
          <c:showLegendKey val="0"/>
          <c:showVal val="0"/>
          <c:showCatName val="0"/>
          <c:showSerName val="0"/>
          <c:showPercent val="0"/>
          <c:showBubbleSize val="0"/>
        </c:dLbls>
        <c:axId val="209638144"/>
        <c:axId val="209639680"/>
      </c:areaChart>
      <c:lineChart>
        <c:grouping val="standard"/>
        <c:varyColors val="0"/>
        <c:ser>
          <c:idx val="4"/>
          <c:order val="4"/>
          <c:tx>
            <c:strRef>
              <c:f>'Emissions - Elec. Gen. LV4'!$D$32</c:f>
              <c:strCache>
                <c:ptCount val="1"/>
                <c:pt idx="0">
                  <c:v>Total</c:v>
                </c:pt>
              </c:strCache>
            </c:strRef>
          </c:tx>
          <c:spPr>
            <a:ln w="28575" cap="rnd">
              <a:solidFill>
                <a:schemeClr val="accent4">
                  <a:lumMod val="60000"/>
                </a:schemeClr>
              </a:solidFill>
              <a:round/>
            </a:ln>
            <a:effectLst/>
          </c:spPr>
          <c:marker>
            <c:symbol val="none"/>
          </c:marker>
          <c:cat>
            <c:numRef>
              <c:f>'Emissions - Elec. Gen. LV4'!$E$27:$N$27</c:f>
              <c:numCache>
                <c:formatCode>General</c:formatCode>
                <c:ptCount val="10"/>
                <c:pt idx="0">
                  <c:v>2015</c:v>
                </c:pt>
                <c:pt idx="1">
                  <c:v>2020</c:v>
                </c:pt>
                <c:pt idx="2">
                  <c:v>2025</c:v>
                </c:pt>
                <c:pt idx="3">
                  <c:v>2030</c:v>
                </c:pt>
                <c:pt idx="4">
                  <c:v>2035</c:v>
                </c:pt>
                <c:pt idx="5">
                  <c:v>2040</c:v>
                </c:pt>
                <c:pt idx="6">
                  <c:v>2045</c:v>
                </c:pt>
                <c:pt idx="7">
                  <c:v>2050</c:v>
                </c:pt>
                <c:pt idx="8">
                  <c:v>2055</c:v>
                </c:pt>
                <c:pt idx="9">
                  <c:v>2060</c:v>
                </c:pt>
              </c:numCache>
            </c:numRef>
          </c:cat>
          <c:val>
            <c:numRef>
              <c:f>'Emissions - Elec. Gen. LV4'!$E$32:$N$32</c:f>
              <c:numCache>
                <c:formatCode>General</c:formatCode>
                <c:ptCount val="10"/>
                <c:pt idx="0">
                  <c:v>69.041981103985492</c:v>
                </c:pt>
                <c:pt idx="1">
                  <c:v>63.767110848685412</c:v>
                </c:pt>
                <c:pt idx="2">
                  <c:v>49.242389242607437</c:v>
                </c:pt>
                <c:pt idx="3">
                  <c:v>50.639542107063136</c:v>
                </c:pt>
                <c:pt idx="4">
                  <c:v>54.104689268955951</c:v>
                </c:pt>
                <c:pt idx="5">
                  <c:v>18.499855706452557</c:v>
                </c:pt>
                <c:pt idx="6">
                  <c:v>-23.13518217819162</c:v>
                </c:pt>
                <c:pt idx="7">
                  <c:v>-40.06466723147588</c:v>
                </c:pt>
                <c:pt idx="8">
                  <c:v>-57.805117776556536</c:v>
                </c:pt>
                <c:pt idx="9">
                  <c:v>-77.073908499569953</c:v>
                </c:pt>
              </c:numCache>
            </c:numRef>
          </c:val>
          <c:smooth val="0"/>
        </c:ser>
        <c:dLbls>
          <c:showLegendKey val="0"/>
          <c:showVal val="0"/>
          <c:showCatName val="0"/>
          <c:showSerName val="0"/>
          <c:showPercent val="0"/>
          <c:showBubbleSize val="0"/>
        </c:dLbls>
        <c:marker val="1"/>
        <c:smooth val="0"/>
        <c:axId val="209638144"/>
        <c:axId val="209639680"/>
      </c:lineChart>
      <c:catAx>
        <c:axId val="2096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39680"/>
        <c:crosses val="autoZero"/>
        <c:auto val="1"/>
        <c:lblAlgn val="ctr"/>
        <c:lblOffset val="100"/>
        <c:noMultiLvlLbl val="0"/>
      </c:catAx>
      <c:valAx>
        <c:axId val="20963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MtCO2/yr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3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32BAD80-5615-46E6-9565-1B621E505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5127</Words>
  <Characters>29229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Abdallah</dc:creator>
  <cp:lastModifiedBy>HP-User</cp:lastModifiedBy>
  <cp:revision>3</cp:revision>
  <dcterms:created xsi:type="dcterms:W3CDTF">2024-10-16T23:10:00Z</dcterms:created>
  <dcterms:modified xsi:type="dcterms:W3CDTF">2024-10-16T23:23:00Z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e99da52d-1d12-395e-b0e2-37a17c27c378</vt:lpwstr>
  </property>
  <property fmtid="{D5CDD505-2E9C-101B-9397-08002B2CF9AE}" pid="24" name="Mendeley Citation Style_1">
    <vt:lpwstr>http://www.zotero.org/styles/apa</vt:lpwstr>
  </property>
</Properties>
</file>