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919E7" w14:textId="2D603B7C" w:rsidR="00FE4AA3" w:rsidRDefault="00B902B4" w:rsidP="00355474">
      <w:pPr>
        <w:spacing w:line="360" w:lineRule="auto"/>
        <w:jc w:val="center"/>
        <w:rPr>
          <w:rFonts w:ascii="Calisto MT" w:hAnsi="Calisto MT" w:cs="Times New Roman"/>
          <w:b/>
          <w:bCs/>
          <w:color w:val="002060"/>
          <w:sz w:val="28"/>
          <w:szCs w:val="28"/>
        </w:rPr>
      </w:pPr>
      <w:r w:rsidRPr="00845F96">
        <w:rPr>
          <w:rFonts w:ascii="Calisto MT" w:hAnsi="Calisto MT" w:cs="Times New Roman"/>
          <w:b/>
          <w:bCs/>
          <w:color w:val="002060"/>
          <w:sz w:val="28"/>
          <w:szCs w:val="28"/>
        </w:rPr>
        <w:t>THE IMPACT OF GREEN HUMAN RESOURCE MANAGEMENT ON EMPLOYEE EN</w:t>
      </w:r>
      <w:r w:rsidR="00780DE5" w:rsidRPr="00845F96">
        <w:rPr>
          <w:rFonts w:ascii="Calisto MT" w:hAnsi="Calisto MT" w:cs="Times New Roman"/>
          <w:b/>
          <w:bCs/>
          <w:color w:val="002060"/>
          <w:sz w:val="28"/>
          <w:szCs w:val="28"/>
        </w:rPr>
        <w:t>GAGEMENT AND PERFORMANCE IN HEIs</w:t>
      </w:r>
      <w:r w:rsidR="0056004E" w:rsidRPr="00845F96">
        <w:rPr>
          <w:rFonts w:ascii="Calisto MT" w:hAnsi="Calisto MT" w:cs="Times New Roman"/>
          <w:b/>
          <w:bCs/>
          <w:color w:val="002060"/>
          <w:sz w:val="28"/>
          <w:szCs w:val="28"/>
        </w:rPr>
        <w:t>: PERSPECTIVE OF J&amp;K</w:t>
      </w:r>
    </w:p>
    <w:p w14:paraId="5FD6BF63" w14:textId="6BF1E1BE" w:rsidR="00D56749" w:rsidRPr="00182188" w:rsidRDefault="00D56749" w:rsidP="00355474">
      <w:pPr>
        <w:spacing w:line="360" w:lineRule="auto"/>
        <w:jc w:val="center"/>
        <w:rPr>
          <w:rFonts w:ascii="Calisto MT" w:hAnsi="Calisto MT" w:cs="Times New Roman"/>
          <w:bCs/>
        </w:rPr>
      </w:pPr>
      <w:r w:rsidRPr="00182188">
        <w:rPr>
          <w:rFonts w:ascii="Calisto MT" w:hAnsi="Calisto MT" w:cs="Times New Roman"/>
          <w:bCs/>
        </w:rPr>
        <w:t>Javid Ahmad Darzi</w:t>
      </w:r>
    </w:p>
    <w:p w14:paraId="396E2EE2" w14:textId="652D33AD" w:rsidR="00D56749" w:rsidRPr="00D56749" w:rsidRDefault="00D56749" w:rsidP="00355474">
      <w:pPr>
        <w:spacing w:line="360" w:lineRule="auto"/>
        <w:jc w:val="center"/>
        <w:rPr>
          <w:rFonts w:ascii="Calisto MT" w:hAnsi="Calisto MT" w:cs="Times New Roman"/>
          <w:bCs/>
          <w:sz w:val="18"/>
          <w:szCs w:val="18"/>
        </w:rPr>
      </w:pPr>
      <w:r w:rsidRPr="00D56749">
        <w:rPr>
          <w:rFonts w:ascii="Calisto MT" w:hAnsi="Calisto MT" w:cs="Times New Roman"/>
          <w:bCs/>
          <w:sz w:val="18"/>
          <w:szCs w:val="18"/>
        </w:rPr>
        <w:t>Research Scholar, Department of Business Management and Commerce, Desh Bhagat University,</w:t>
      </w:r>
      <w:r w:rsidR="006D6485">
        <w:rPr>
          <w:rFonts w:ascii="Calisto MT" w:hAnsi="Calisto MT" w:cs="Times New Roman"/>
          <w:bCs/>
          <w:sz w:val="18"/>
          <w:szCs w:val="18"/>
        </w:rPr>
        <w:t xml:space="preserve"> Mandi G</w:t>
      </w:r>
      <w:bookmarkStart w:id="0" w:name="_GoBack"/>
      <w:bookmarkEnd w:id="0"/>
      <w:r w:rsidR="006D6485">
        <w:rPr>
          <w:rFonts w:ascii="Calisto MT" w:hAnsi="Calisto MT" w:cs="Times New Roman"/>
          <w:bCs/>
          <w:sz w:val="18"/>
          <w:szCs w:val="18"/>
        </w:rPr>
        <w:t>obindgarh</w:t>
      </w:r>
      <w:r w:rsidRPr="00D56749">
        <w:rPr>
          <w:rFonts w:ascii="Calisto MT" w:hAnsi="Calisto MT" w:cs="Times New Roman"/>
          <w:bCs/>
          <w:sz w:val="18"/>
          <w:szCs w:val="18"/>
        </w:rPr>
        <w:t xml:space="preserve"> Punjab</w:t>
      </w:r>
    </w:p>
    <w:p w14:paraId="353730A6" w14:textId="41309E5A" w:rsidR="00D56749" w:rsidRPr="00182188" w:rsidRDefault="00D56749" w:rsidP="00355474">
      <w:pPr>
        <w:spacing w:line="360" w:lineRule="auto"/>
        <w:jc w:val="center"/>
        <w:rPr>
          <w:rFonts w:ascii="Calisto MT" w:hAnsi="Calisto MT" w:cs="Times New Roman"/>
          <w:bCs/>
        </w:rPr>
      </w:pPr>
      <w:r w:rsidRPr="00182188">
        <w:rPr>
          <w:rFonts w:ascii="Calisto MT" w:hAnsi="Calisto MT" w:cs="Times New Roman"/>
          <w:bCs/>
        </w:rPr>
        <w:t>Dr. Manoj Kumar</w:t>
      </w:r>
    </w:p>
    <w:p w14:paraId="0137B4BF" w14:textId="76E25C98" w:rsidR="00D56749" w:rsidRPr="00D56749" w:rsidRDefault="00D56749" w:rsidP="00355474">
      <w:pPr>
        <w:spacing w:line="360" w:lineRule="auto"/>
        <w:jc w:val="center"/>
        <w:rPr>
          <w:rFonts w:ascii="Calisto MT" w:hAnsi="Calisto MT" w:cs="Times New Roman"/>
          <w:bCs/>
          <w:sz w:val="18"/>
          <w:szCs w:val="18"/>
        </w:rPr>
      </w:pPr>
      <w:r>
        <w:rPr>
          <w:rFonts w:ascii="Calisto MT" w:hAnsi="Calisto MT" w:cs="Times New Roman"/>
          <w:bCs/>
          <w:sz w:val="18"/>
          <w:szCs w:val="18"/>
        </w:rPr>
        <w:t>Assistant Profe</w:t>
      </w:r>
      <w:r w:rsidRPr="00D56749">
        <w:rPr>
          <w:rFonts w:ascii="Calisto MT" w:hAnsi="Calisto MT" w:cs="Times New Roman"/>
          <w:bCs/>
          <w:sz w:val="18"/>
          <w:szCs w:val="18"/>
        </w:rPr>
        <w:t>ssor, Department of Business Management and Commerce, Desh Bhagat University,</w:t>
      </w:r>
      <w:r w:rsidR="006D6485">
        <w:rPr>
          <w:rFonts w:ascii="Calisto MT" w:hAnsi="Calisto MT" w:cs="Times New Roman"/>
          <w:bCs/>
          <w:sz w:val="18"/>
          <w:szCs w:val="18"/>
        </w:rPr>
        <w:t>Mandi Gobindgarh,</w:t>
      </w:r>
      <w:r w:rsidRPr="00D56749">
        <w:rPr>
          <w:rFonts w:ascii="Calisto MT" w:hAnsi="Calisto MT" w:cs="Times New Roman"/>
          <w:bCs/>
          <w:sz w:val="18"/>
          <w:szCs w:val="18"/>
        </w:rPr>
        <w:t xml:space="preserve"> Punjab</w:t>
      </w:r>
    </w:p>
    <w:p w14:paraId="4E14EF7C" w14:textId="143452D3" w:rsidR="00E072CB" w:rsidRDefault="00E072CB" w:rsidP="00E072CB">
      <w:pPr>
        <w:pBdr>
          <w:bottom w:val="single" w:sz="12" w:space="1" w:color="auto"/>
        </w:pBd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w:t>
      </w:r>
    </w:p>
    <w:p w14:paraId="2B69FCE3" w14:textId="5A5370A2" w:rsidR="00E84B58" w:rsidRPr="00E072CB" w:rsidRDefault="00E072CB" w:rsidP="00E072CB">
      <w:pPr>
        <w:pBdr>
          <w:bottom w:val="single" w:sz="12" w:space="1" w:color="auto"/>
        </w:pBdr>
        <w:spacing w:line="360" w:lineRule="auto"/>
        <w:jc w:val="center"/>
        <w:rPr>
          <w:rFonts w:ascii="Times New Roman" w:hAnsi="Times New Roman" w:cs="Times New Roman"/>
          <w:b/>
          <w:bCs/>
          <w:sz w:val="24"/>
          <w:szCs w:val="28"/>
        </w:rPr>
      </w:pPr>
      <w:r w:rsidRPr="00E072CB">
        <w:rPr>
          <w:rFonts w:ascii="Times New Roman" w:hAnsi="Times New Roman" w:cs="Times New Roman"/>
          <w:b/>
          <w:bCs/>
          <w:sz w:val="24"/>
          <w:szCs w:val="28"/>
        </w:rPr>
        <w:t>Abstract</w:t>
      </w:r>
    </w:p>
    <w:p w14:paraId="55D3E728" w14:textId="509F61A8" w:rsidR="00E072CB" w:rsidRPr="001C186B" w:rsidRDefault="00246A39" w:rsidP="00E072CB">
      <w:pPr>
        <w:pBdr>
          <w:bottom w:val="single" w:sz="12" w:space="1" w:color="auto"/>
        </w:pBdr>
        <w:spacing w:line="360" w:lineRule="auto"/>
        <w:jc w:val="both"/>
        <w:rPr>
          <w:rFonts w:ascii="Times New Roman" w:hAnsi="Times New Roman" w:cs="Times New Roman"/>
          <w:bCs/>
          <w:sz w:val="24"/>
          <w:szCs w:val="28"/>
        </w:rPr>
      </w:pPr>
      <w:r w:rsidRPr="001C186B">
        <w:rPr>
          <w:rFonts w:ascii="Times New Roman" w:hAnsi="Times New Roman" w:cs="Times New Roman"/>
          <w:bCs/>
          <w:sz w:val="24"/>
          <w:szCs w:val="28"/>
        </w:rPr>
        <w:t>This study examines the goals of Green Human Resource Management (GHRM) practises at Higher Education Institutions (HEIs) in the Jammu and Kashmir (J&amp;K) area with regard to employee engagement and performance. This study used a combination of methodologies to investigate how GHRM rehearsals and their possessions are received at HEIs. Information was acquired that was both subjective and quantitative. A sample of 200 members in a range of roles were polled in five selected HEIs in J&amp;K</w:t>
      </w:r>
      <w:r w:rsidR="001002B4" w:rsidRPr="001C186B">
        <w:rPr>
          <w:rFonts w:ascii="Times New Roman" w:hAnsi="Times New Roman" w:cs="Times New Roman"/>
          <w:bCs/>
          <w:sz w:val="24"/>
          <w:szCs w:val="28"/>
        </w:rPr>
        <w:t xml:space="preserve">. </w:t>
      </w:r>
      <w:r w:rsidR="00BB44DF" w:rsidRPr="001C186B">
        <w:rPr>
          <w:rFonts w:ascii="Times New Roman" w:hAnsi="Times New Roman" w:cs="Times New Roman"/>
          <w:bCs/>
          <w:sz w:val="24"/>
          <w:szCs w:val="28"/>
        </w:rPr>
        <w:t>During the information examination, all available techniques were employed, including graphic measures, relapse demonstration, unshakable quality testing, exploratory variable investigation, and speculation testing. The results demonstrated the value of manageability-centered HR strategies in promoting accountability and efficiency by highlighting the positive correlations between employee performance and GHRM practise adoption. Suddenly, there was no correlation between GHRM practises and employee engagement, demonstrating the complex nature of the engagement model developed at J&amp;K's HEIs.</w:t>
      </w:r>
      <w:r w:rsidR="0041189E" w:rsidRPr="001C186B">
        <w:t xml:space="preserve"> </w:t>
      </w:r>
      <w:r w:rsidR="0041189E" w:rsidRPr="001C186B">
        <w:rPr>
          <w:rFonts w:ascii="Times New Roman" w:hAnsi="Times New Roman" w:cs="Times New Roman"/>
          <w:bCs/>
          <w:sz w:val="24"/>
          <w:szCs w:val="28"/>
        </w:rPr>
        <w:t>The inquiry found that HEIs had difficulties and problems while receiving GHRM rehearsals, highlighting the necessity for a sophisticated framework to handle these problems. The review's findings highlight the anticipated advantages of GHRM exercises in improving worker performance and provide HEIs in J&amp;K and related fields with prompt advise. The overall impact of such initiatives may be increased by addressing the problems encountered and implementing manageability-centered HR practises. The groundwork for further research into the components of GHRM exercises and the specifics of employee involvement in the context of HEIs is laid by this study</w:t>
      </w:r>
      <w:r w:rsidR="001002B4" w:rsidRPr="001C186B">
        <w:rPr>
          <w:rFonts w:ascii="Times New Roman" w:hAnsi="Times New Roman" w:cs="Times New Roman"/>
          <w:bCs/>
          <w:sz w:val="24"/>
          <w:szCs w:val="28"/>
        </w:rPr>
        <w:t>.</w:t>
      </w:r>
    </w:p>
    <w:p w14:paraId="0873B1DB" w14:textId="75BF421B" w:rsidR="00E84B58" w:rsidRPr="00FE5D4B" w:rsidRDefault="00E072CB" w:rsidP="00E072CB">
      <w:pPr>
        <w:pBdr>
          <w:bottom w:val="single" w:sz="12" w:space="1" w:color="auto"/>
        </w:pBdr>
        <w:spacing w:line="360" w:lineRule="auto"/>
        <w:jc w:val="both"/>
        <w:rPr>
          <w:rFonts w:ascii="Times New Roman" w:hAnsi="Times New Roman" w:cs="Times New Roman"/>
          <w:b/>
          <w:bCs/>
          <w:i/>
          <w:sz w:val="24"/>
          <w:szCs w:val="28"/>
        </w:rPr>
      </w:pPr>
      <w:r w:rsidRPr="00E072CB">
        <w:rPr>
          <w:rFonts w:ascii="Times New Roman" w:hAnsi="Times New Roman" w:cs="Times New Roman"/>
          <w:b/>
          <w:bCs/>
          <w:sz w:val="24"/>
          <w:szCs w:val="28"/>
        </w:rPr>
        <w:lastRenderedPageBreak/>
        <w:t xml:space="preserve">Keywords: </w:t>
      </w:r>
      <w:r w:rsidRPr="00FE5D4B">
        <w:rPr>
          <w:rFonts w:ascii="Times New Roman" w:hAnsi="Times New Roman" w:cs="Times New Roman"/>
          <w:bCs/>
          <w:i/>
          <w:sz w:val="24"/>
          <w:szCs w:val="28"/>
        </w:rPr>
        <w:t>Green Human Resource Management (GHRM), Employee Engagement, Employee Performance, Higher Education Institutions (HEIs), Sustainability Practices, Jammu and Kashmir.</w:t>
      </w:r>
    </w:p>
    <w:p w14:paraId="3FB95D55" w14:textId="77777777" w:rsidR="00E072CB" w:rsidRDefault="00E072CB" w:rsidP="00E072CB">
      <w:pPr>
        <w:spacing w:line="360" w:lineRule="auto"/>
        <w:jc w:val="both"/>
        <w:rPr>
          <w:rFonts w:ascii="Times New Roman" w:hAnsi="Times New Roman" w:cs="Times New Roman"/>
          <w:b/>
          <w:bCs/>
          <w:sz w:val="24"/>
          <w:szCs w:val="24"/>
        </w:rPr>
      </w:pPr>
    </w:p>
    <w:p w14:paraId="453E4BDD" w14:textId="77777777" w:rsidR="00E072CB" w:rsidRDefault="00E072CB" w:rsidP="00E072CB">
      <w:pPr>
        <w:spacing w:line="360" w:lineRule="auto"/>
        <w:jc w:val="both"/>
        <w:rPr>
          <w:rFonts w:ascii="Times New Roman" w:hAnsi="Times New Roman" w:cs="Times New Roman"/>
          <w:b/>
          <w:bCs/>
          <w:sz w:val="24"/>
          <w:szCs w:val="24"/>
        </w:rPr>
      </w:pPr>
    </w:p>
    <w:p w14:paraId="1C1759E6" w14:textId="1BDCEF52" w:rsidR="00E84B58" w:rsidRPr="00E072CB" w:rsidRDefault="00E84B58" w:rsidP="00E072CB">
      <w:pPr>
        <w:pStyle w:val="ListParagraph"/>
        <w:numPr>
          <w:ilvl w:val="0"/>
          <w:numId w:val="26"/>
        </w:numPr>
        <w:spacing w:line="360" w:lineRule="auto"/>
        <w:jc w:val="both"/>
        <w:rPr>
          <w:rFonts w:ascii="Times New Roman" w:hAnsi="Times New Roman" w:cs="Times New Roman"/>
          <w:b/>
          <w:bCs/>
          <w:sz w:val="28"/>
          <w:szCs w:val="28"/>
        </w:rPr>
      </w:pPr>
      <w:r w:rsidRPr="00E072CB">
        <w:rPr>
          <w:rFonts w:ascii="Times New Roman" w:hAnsi="Times New Roman" w:cs="Times New Roman"/>
          <w:b/>
          <w:bCs/>
          <w:sz w:val="24"/>
          <w:szCs w:val="24"/>
        </w:rPr>
        <w:t>INTRODUCTION</w:t>
      </w:r>
    </w:p>
    <w:p w14:paraId="46E08054" w14:textId="669D67B7" w:rsidR="00E84B58" w:rsidRDefault="0031641A"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Higher Education I</w:t>
      </w:r>
      <w:r w:rsidR="00BE7EF8" w:rsidRPr="00BE7EF8">
        <w:rPr>
          <w:rFonts w:ascii="Times New Roman" w:hAnsi="Times New Roman" w:cs="Times New Roman"/>
          <w:sz w:val="24"/>
          <w:szCs w:val="24"/>
        </w:rPr>
        <w:t>nstitutions (HEIs) are vital to shaping the future because they spread information, foster innovation, and prepare the workforce for a sustainable and affluent society. In the modern world, environmental sustainability has emerged as a critical global issue that requires organisations to act morally. One such tactic that integrates environmental sustainability into human resource strategies is green human resource management, or GHRM.</w:t>
      </w:r>
      <w:r w:rsidR="00E84B58" w:rsidRPr="00596755">
        <w:rPr>
          <w:rFonts w:ascii="Times New Roman" w:hAnsi="Times New Roman" w:cs="Times New Roman"/>
          <w:sz w:val="24"/>
          <w:szCs w:val="24"/>
        </w:rPr>
        <w:t xml:space="preserve"> </w:t>
      </w:r>
      <w:r w:rsidR="00BE7EF8" w:rsidRPr="00BE7EF8">
        <w:rPr>
          <w:rFonts w:ascii="Times New Roman" w:hAnsi="Times New Roman" w:cs="Times New Roman"/>
          <w:sz w:val="24"/>
          <w:szCs w:val="24"/>
        </w:rPr>
        <w:t>This study examines the impact of GHRM on employee engagement and performance inside Higher Education Institutions (HEIs) from the unique viewpoint of Jammu and Kashmir (J&amp;K). The far north of India's J&amp;K region has a distinct socioeconomic and environmental backdrop, which makes it an intriguing area for study. By investigating the link between GHRM practices and employee outcomes, this research aims to provide practical insights for HEIs in J&amp;K as well as valuable knowledge to the larger debate on GHRM in the context of higher education institutions.</w:t>
      </w:r>
      <w:r w:rsidR="00E84B58" w:rsidRPr="00596755">
        <w:rPr>
          <w:rFonts w:ascii="Times New Roman" w:hAnsi="Times New Roman" w:cs="Times New Roman"/>
          <w:sz w:val="24"/>
          <w:szCs w:val="24"/>
        </w:rPr>
        <w:t xml:space="preserve"> </w:t>
      </w:r>
      <w:r w:rsidR="00BE7EF8" w:rsidRPr="00BE7EF8">
        <w:rPr>
          <w:rFonts w:ascii="Times New Roman" w:hAnsi="Times New Roman" w:cs="Times New Roman"/>
          <w:sz w:val="24"/>
          <w:szCs w:val="24"/>
        </w:rPr>
        <w:t>Academic communities</w:t>
      </w:r>
      <w:r>
        <w:rPr>
          <w:rFonts w:ascii="Times New Roman" w:hAnsi="Times New Roman" w:cs="Times New Roman"/>
          <w:sz w:val="24"/>
          <w:szCs w:val="24"/>
        </w:rPr>
        <w:t xml:space="preserve"> that are more resilient, motivated</w:t>
      </w:r>
      <w:r w:rsidR="00BE7EF8" w:rsidRPr="00BE7EF8">
        <w:rPr>
          <w:rFonts w:ascii="Times New Roman" w:hAnsi="Times New Roman" w:cs="Times New Roman"/>
          <w:sz w:val="24"/>
          <w:szCs w:val="24"/>
        </w:rPr>
        <w:t xml:space="preserve">, and productive may be created by having a better understanding of how environmentally conscious HR practises impact employee engagement and productivity. </w:t>
      </w:r>
    </w:p>
    <w:p w14:paraId="3BAB78DF" w14:textId="3054AFF2" w:rsidR="001729A3" w:rsidRPr="00E072CB" w:rsidRDefault="001729A3" w:rsidP="00E072CB">
      <w:pPr>
        <w:pStyle w:val="ListParagraph"/>
        <w:numPr>
          <w:ilvl w:val="1"/>
          <w:numId w:val="24"/>
        </w:numPr>
        <w:spacing w:line="360" w:lineRule="auto"/>
        <w:jc w:val="both"/>
        <w:rPr>
          <w:rFonts w:ascii="Times New Roman" w:hAnsi="Times New Roman" w:cs="Times New Roman"/>
          <w:b/>
          <w:bCs/>
          <w:sz w:val="24"/>
          <w:szCs w:val="28"/>
        </w:rPr>
      </w:pPr>
      <w:r w:rsidRPr="00E072CB">
        <w:rPr>
          <w:rFonts w:ascii="Times New Roman" w:hAnsi="Times New Roman" w:cs="Times New Roman"/>
          <w:b/>
          <w:bCs/>
          <w:sz w:val="24"/>
          <w:szCs w:val="28"/>
        </w:rPr>
        <w:t>Research Objectives</w:t>
      </w:r>
    </w:p>
    <w:p w14:paraId="76F33E06" w14:textId="77777777" w:rsidR="001729A3" w:rsidRPr="001729A3" w:rsidRDefault="001729A3" w:rsidP="00E072CB">
      <w:pPr>
        <w:pStyle w:val="ListParagraph"/>
        <w:spacing w:line="360" w:lineRule="auto"/>
        <w:jc w:val="both"/>
        <w:rPr>
          <w:rFonts w:ascii="Times New Roman" w:hAnsi="Times New Roman" w:cs="Times New Roman"/>
          <w:b/>
          <w:bCs/>
          <w:sz w:val="24"/>
          <w:szCs w:val="28"/>
        </w:rPr>
      </w:pPr>
    </w:p>
    <w:p w14:paraId="3C48C972" w14:textId="785123AC" w:rsidR="001729A3" w:rsidRDefault="00AA53ED" w:rsidP="00E072CB">
      <w:pPr>
        <w:pStyle w:val="ListParagraph"/>
        <w:numPr>
          <w:ilvl w:val="0"/>
          <w:numId w:val="27"/>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t>To investigate</w:t>
      </w:r>
      <w:r w:rsidR="001729A3" w:rsidRPr="00E5212F">
        <w:rPr>
          <w:rFonts w:ascii="Times New Roman" w:hAnsi="Times New Roman" w:cs="Times New Roman"/>
          <w:bCs/>
          <w:sz w:val="24"/>
          <w:szCs w:val="28"/>
        </w:rPr>
        <w:t xml:space="preserve"> the relationship between the implementation of G</w:t>
      </w:r>
      <w:r>
        <w:rPr>
          <w:rFonts w:ascii="Times New Roman" w:hAnsi="Times New Roman" w:cs="Times New Roman"/>
          <w:bCs/>
          <w:sz w:val="24"/>
          <w:szCs w:val="28"/>
        </w:rPr>
        <w:t xml:space="preserve">HRM practices and the </w:t>
      </w:r>
      <w:r w:rsidR="001729A3" w:rsidRPr="00E5212F">
        <w:rPr>
          <w:rFonts w:ascii="Times New Roman" w:hAnsi="Times New Roman" w:cs="Times New Roman"/>
          <w:bCs/>
          <w:sz w:val="24"/>
          <w:szCs w:val="28"/>
        </w:rPr>
        <w:t>employee engagement</w:t>
      </w:r>
      <w:r>
        <w:rPr>
          <w:rFonts w:ascii="Times New Roman" w:hAnsi="Times New Roman" w:cs="Times New Roman"/>
          <w:bCs/>
          <w:sz w:val="24"/>
          <w:szCs w:val="28"/>
        </w:rPr>
        <w:t xml:space="preserve"> levels</w:t>
      </w:r>
      <w:r w:rsidR="001729A3" w:rsidRPr="00E5212F">
        <w:rPr>
          <w:rFonts w:ascii="Times New Roman" w:hAnsi="Times New Roman" w:cs="Times New Roman"/>
          <w:bCs/>
          <w:sz w:val="24"/>
          <w:szCs w:val="28"/>
        </w:rPr>
        <w:t xml:space="preserve"> in HEIs in J&amp;K.</w:t>
      </w:r>
    </w:p>
    <w:p w14:paraId="4F64EA5D" w14:textId="7174D6FA" w:rsidR="001729A3" w:rsidRDefault="001729A3" w:rsidP="00E072CB">
      <w:pPr>
        <w:pStyle w:val="ListParagraph"/>
        <w:numPr>
          <w:ilvl w:val="0"/>
          <w:numId w:val="27"/>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To </w:t>
      </w:r>
      <w:r w:rsidR="0084093E">
        <w:rPr>
          <w:rFonts w:ascii="Times New Roman" w:hAnsi="Times New Roman" w:cs="Times New Roman"/>
          <w:bCs/>
          <w:sz w:val="24"/>
          <w:szCs w:val="28"/>
        </w:rPr>
        <w:t>evaluate</w:t>
      </w:r>
      <w:r w:rsidRPr="00E5212F">
        <w:rPr>
          <w:rFonts w:ascii="Times New Roman" w:hAnsi="Times New Roman" w:cs="Times New Roman"/>
          <w:bCs/>
          <w:sz w:val="24"/>
          <w:szCs w:val="28"/>
        </w:rPr>
        <w:t xml:space="preserve"> how GHRM practi</w:t>
      </w:r>
      <w:r w:rsidR="0084093E">
        <w:rPr>
          <w:rFonts w:ascii="Times New Roman" w:hAnsi="Times New Roman" w:cs="Times New Roman"/>
          <w:bCs/>
          <w:sz w:val="24"/>
          <w:szCs w:val="28"/>
        </w:rPr>
        <w:t>ces influence the</w:t>
      </w:r>
      <w:r w:rsidRPr="00E5212F">
        <w:rPr>
          <w:rFonts w:ascii="Times New Roman" w:hAnsi="Times New Roman" w:cs="Times New Roman"/>
          <w:bCs/>
          <w:sz w:val="24"/>
          <w:szCs w:val="28"/>
        </w:rPr>
        <w:t xml:space="preserve"> </w:t>
      </w:r>
      <w:r w:rsidR="00AC01D1" w:rsidRPr="00E5212F">
        <w:rPr>
          <w:rFonts w:ascii="Times New Roman" w:hAnsi="Times New Roman" w:cs="Times New Roman"/>
          <w:bCs/>
          <w:sz w:val="24"/>
          <w:szCs w:val="28"/>
        </w:rPr>
        <w:t>emplo</w:t>
      </w:r>
      <w:r w:rsidR="00AC01D1">
        <w:rPr>
          <w:rFonts w:ascii="Times New Roman" w:hAnsi="Times New Roman" w:cs="Times New Roman"/>
          <w:bCs/>
          <w:sz w:val="24"/>
          <w:szCs w:val="28"/>
        </w:rPr>
        <w:t>yees’ performance</w:t>
      </w:r>
      <w:r w:rsidR="001B42DD">
        <w:rPr>
          <w:rFonts w:ascii="Times New Roman" w:hAnsi="Times New Roman" w:cs="Times New Roman"/>
          <w:bCs/>
          <w:sz w:val="24"/>
          <w:szCs w:val="28"/>
        </w:rPr>
        <w:t xml:space="preserve"> in HEIs</w:t>
      </w:r>
      <w:r w:rsidRPr="00E5212F">
        <w:rPr>
          <w:rFonts w:ascii="Times New Roman" w:hAnsi="Times New Roman" w:cs="Times New Roman"/>
          <w:bCs/>
          <w:sz w:val="24"/>
          <w:szCs w:val="28"/>
        </w:rPr>
        <w:t xml:space="preserve"> within the J&amp;K region.</w:t>
      </w:r>
    </w:p>
    <w:p w14:paraId="6D7FC45B" w14:textId="37551ED9" w:rsidR="001729A3" w:rsidRDefault="001729A3" w:rsidP="00E072CB">
      <w:pPr>
        <w:pStyle w:val="ListParagraph"/>
        <w:numPr>
          <w:ilvl w:val="0"/>
          <w:numId w:val="27"/>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To </w:t>
      </w:r>
      <w:r w:rsidR="00AC01D1">
        <w:rPr>
          <w:rFonts w:ascii="Times New Roman" w:hAnsi="Times New Roman" w:cs="Times New Roman"/>
          <w:bCs/>
          <w:sz w:val="24"/>
          <w:szCs w:val="28"/>
        </w:rPr>
        <w:t>determine and examine any challenges or obstacles</w:t>
      </w:r>
      <w:r w:rsidRPr="00E5212F">
        <w:rPr>
          <w:rFonts w:ascii="Times New Roman" w:hAnsi="Times New Roman" w:cs="Times New Roman"/>
          <w:bCs/>
          <w:sz w:val="24"/>
          <w:szCs w:val="28"/>
        </w:rPr>
        <w:t xml:space="preserve"> that HEIs in J&amp;K face in </w:t>
      </w:r>
      <w:r w:rsidR="00AC01D1">
        <w:rPr>
          <w:rFonts w:ascii="Times New Roman" w:hAnsi="Times New Roman" w:cs="Times New Roman"/>
          <w:bCs/>
          <w:sz w:val="24"/>
          <w:szCs w:val="28"/>
        </w:rPr>
        <w:t>implementing G</w:t>
      </w:r>
      <w:r>
        <w:rPr>
          <w:rFonts w:ascii="Times New Roman" w:hAnsi="Times New Roman" w:cs="Times New Roman"/>
          <w:bCs/>
          <w:sz w:val="24"/>
          <w:szCs w:val="28"/>
        </w:rPr>
        <w:t>reen HR practices.</w:t>
      </w:r>
    </w:p>
    <w:p w14:paraId="599CB757" w14:textId="028ACAC4" w:rsidR="001729A3" w:rsidRPr="001729A3" w:rsidRDefault="001729A3" w:rsidP="00E072CB">
      <w:pPr>
        <w:pStyle w:val="ListParagraph"/>
        <w:numPr>
          <w:ilvl w:val="1"/>
          <w:numId w:val="23"/>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 xml:space="preserve">Research Hypothesis </w:t>
      </w:r>
    </w:p>
    <w:p w14:paraId="6C326E2D" w14:textId="022B9D18" w:rsidR="001729A3" w:rsidRDefault="001729A3" w:rsidP="00E072CB">
      <w:pPr>
        <w:pStyle w:val="ListParagraph"/>
        <w:numPr>
          <w:ilvl w:val="0"/>
          <w:numId w:val="25"/>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lastRenderedPageBreak/>
        <w:t xml:space="preserve">GHRM practices have </w:t>
      </w:r>
      <w:r w:rsidR="003C7A10">
        <w:rPr>
          <w:rFonts w:ascii="Times New Roman" w:hAnsi="Times New Roman" w:cs="Times New Roman"/>
          <w:bCs/>
          <w:sz w:val="24"/>
          <w:szCs w:val="28"/>
        </w:rPr>
        <w:t>a major impact on</w:t>
      </w:r>
      <w:r w:rsidRPr="0095620B">
        <w:rPr>
          <w:rFonts w:ascii="Times New Roman" w:hAnsi="Times New Roman" w:cs="Times New Roman"/>
          <w:bCs/>
          <w:sz w:val="24"/>
          <w:szCs w:val="28"/>
        </w:rPr>
        <w:t xml:space="preserve"> </w:t>
      </w:r>
      <w:r>
        <w:rPr>
          <w:rFonts w:ascii="Times New Roman" w:hAnsi="Times New Roman" w:cs="Times New Roman"/>
          <w:bCs/>
          <w:sz w:val="24"/>
          <w:szCs w:val="28"/>
        </w:rPr>
        <w:t xml:space="preserve">employee Engagement, Employee Performance and </w:t>
      </w:r>
      <w:r w:rsidRPr="0095620B">
        <w:rPr>
          <w:rFonts w:ascii="Times New Roman" w:hAnsi="Times New Roman" w:cs="Times New Roman"/>
          <w:sz w:val="24"/>
          <w:szCs w:val="24"/>
        </w:rPr>
        <w:t>Challenges or Barriers in Implementing GHRM</w:t>
      </w:r>
      <w:r w:rsidR="00BE6B25">
        <w:rPr>
          <w:rFonts w:ascii="Times New Roman" w:hAnsi="Times New Roman" w:cs="Times New Roman"/>
          <w:bCs/>
          <w:sz w:val="24"/>
          <w:szCs w:val="28"/>
        </w:rPr>
        <w:t xml:space="preserve"> in HEIs</w:t>
      </w:r>
      <w:r w:rsidRPr="0095620B">
        <w:rPr>
          <w:rFonts w:ascii="Times New Roman" w:hAnsi="Times New Roman" w:cs="Times New Roman"/>
          <w:bCs/>
          <w:sz w:val="24"/>
          <w:szCs w:val="28"/>
        </w:rPr>
        <w:t xml:space="preserve"> within the J&amp;K region.</w:t>
      </w:r>
    </w:p>
    <w:p w14:paraId="2FA661EE" w14:textId="6A020A0F" w:rsidR="001729A3" w:rsidRPr="00E072CB" w:rsidRDefault="003C7A10" w:rsidP="003C7A10">
      <w:pPr>
        <w:pStyle w:val="ListParagraph"/>
        <w:numPr>
          <w:ilvl w:val="0"/>
          <w:numId w:val="25"/>
        </w:numPr>
        <w:spacing w:line="360" w:lineRule="auto"/>
        <w:jc w:val="both"/>
        <w:rPr>
          <w:rFonts w:ascii="Times New Roman" w:hAnsi="Times New Roman" w:cs="Times New Roman"/>
          <w:bCs/>
          <w:sz w:val="24"/>
          <w:szCs w:val="28"/>
        </w:rPr>
      </w:pPr>
      <w:r w:rsidRPr="003C7A10">
        <w:rPr>
          <w:rFonts w:ascii="Times New Roman" w:hAnsi="Times New Roman" w:cs="Times New Roman"/>
          <w:bCs/>
          <w:sz w:val="24"/>
          <w:szCs w:val="28"/>
        </w:rPr>
        <w:t xml:space="preserve">There is a strong correlation between employee engagement levels at J&amp;K's HEIs and the application of GHRM methods. </w:t>
      </w:r>
    </w:p>
    <w:p w14:paraId="16890FEF" w14:textId="77777777" w:rsidR="00E072CB" w:rsidRDefault="00E072CB" w:rsidP="00E072CB">
      <w:pPr>
        <w:spacing w:line="360" w:lineRule="auto"/>
        <w:jc w:val="both"/>
        <w:rPr>
          <w:rFonts w:ascii="Times New Roman" w:hAnsi="Times New Roman" w:cs="Times New Roman"/>
          <w:b/>
          <w:bCs/>
          <w:sz w:val="24"/>
          <w:szCs w:val="24"/>
        </w:rPr>
      </w:pPr>
    </w:p>
    <w:p w14:paraId="23350B9C" w14:textId="77777777" w:rsidR="00E072CB" w:rsidRDefault="00E072CB" w:rsidP="00E072CB">
      <w:pPr>
        <w:spacing w:line="360" w:lineRule="auto"/>
        <w:jc w:val="both"/>
        <w:rPr>
          <w:rFonts w:ascii="Times New Roman" w:hAnsi="Times New Roman" w:cs="Times New Roman"/>
          <w:b/>
          <w:bCs/>
          <w:sz w:val="24"/>
          <w:szCs w:val="24"/>
        </w:rPr>
      </w:pPr>
    </w:p>
    <w:p w14:paraId="2DA80410" w14:textId="222F01E8" w:rsidR="00E84B58" w:rsidRDefault="00E84B58" w:rsidP="00C6729A">
      <w:pPr>
        <w:pStyle w:val="ListParagraph"/>
        <w:numPr>
          <w:ilvl w:val="0"/>
          <w:numId w:val="23"/>
        </w:numPr>
        <w:spacing w:line="360" w:lineRule="auto"/>
        <w:jc w:val="both"/>
        <w:rPr>
          <w:rFonts w:ascii="Times New Roman" w:hAnsi="Times New Roman" w:cs="Times New Roman"/>
          <w:b/>
          <w:bCs/>
          <w:sz w:val="24"/>
          <w:szCs w:val="24"/>
        </w:rPr>
      </w:pPr>
      <w:r w:rsidRPr="00C6729A">
        <w:rPr>
          <w:rFonts w:ascii="Times New Roman" w:hAnsi="Times New Roman" w:cs="Times New Roman"/>
          <w:b/>
          <w:bCs/>
          <w:sz w:val="24"/>
          <w:szCs w:val="24"/>
        </w:rPr>
        <w:t>LITERATURE REVIEW</w:t>
      </w:r>
    </w:p>
    <w:p w14:paraId="0068D656" w14:textId="7AB5D7F4" w:rsidR="00C6729A" w:rsidRPr="00D27166" w:rsidRDefault="00C6729A" w:rsidP="00D27166">
      <w:pPr>
        <w:spacing w:line="360" w:lineRule="auto"/>
        <w:jc w:val="both"/>
        <w:rPr>
          <w:rFonts w:ascii="Times New Roman" w:hAnsi="Times New Roman" w:cs="Times New Roman"/>
          <w:bCs/>
          <w:sz w:val="24"/>
          <w:szCs w:val="24"/>
        </w:rPr>
      </w:pPr>
      <w:r w:rsidRPr="00D27166">
        <w:rPr>
          <w:rFonts w:ascii="Times New Roman" w:hAnsi="Times New Roman" w:cs="Times New Roman"/>
          <w:bCs/>
          <w:sz w:val="24"/>
          <w:szCs w:val="24"/>
        </w:rPr>
        <w:t xml:space="preserve">Green human resource management practices, or GHRMPs, are a collection of procedures that help businesses promote ecologically friendly norms and values, according to </w:t>
      </w:r>
      <w:r w:rsidRPr="002B6EA9">
        <w:rPr>
          <w:rFonts w:ascii="Times New Roman" w:hAnsi="Times New Roman" w:cs="Times New Roman"/>
          <w:bCs/>
          <w:i/>
          <w:sz w:val="24"/>
          <w:szCs w:val="24"/>
        </w:rPr>
        <w:t>Dangelico (2015)</w:t>
      </w:r>
      <w:r w:rsidRPr="00D27166">
        <w:rPr>
          <w:rFonts w:ascii="Times New Roman" w:hAnsi="Times New Roman" w:cs="Times New Roman"/>
          <w:bCs/>
          <w:sz w:val="24"/>
          <w:szCs w:val="24"/>
        </w:rPr>
        <w:t>. These procedures are meant to assist companies in enhancing their environmental performance and making a positive impact on sustainability. Through a variety of incentives and motivators, GHRMPs enable staff members to actively contribute to the organization's aim of sustainable environmental performance. GHRMPs essentially establish a framework for encouraging environmentally conscious behaviours and activities among staff members, bringing the workforce into line with the company's dedication to environmental sustainability.</w:t>
      </w:r>
    </w:p>
    <w:p w14:paraId="2D2AA16E" w14:textId="60D30A30" w:rsidR="00F65AC9" w:rsidRPr="00D27166" w:rsidRDefault="00033030" w:rsidP="00D27166">
      <w:pPr>
        <w:spacing w:line="360" w:lineRule="auto"/>
        <w:jc w:val="both"/>
        <w:rPr>
          <w:rFonts w:ascii="Times New Roman" w:hAnsi="Times New Roman" w:cs="Times New Roman"/>
          <w:bCs/>
          <w:sz w:val="24"/>
          <w:szCs w:val="24"/>
        </w:rPr>
      </w:pPr>
      <w:r w:rsidRPr="002B6EA9">
        <w:rPr>
          <w:rFonts w:ascii="Times New Roman" w:hAnsi="Times New Roman" w:cs="Times New Roman"/>
          <w:bCs/>
          <w:i/>
          <w:sz w:val="24"/>
          <w:szCs w:val="24"/>
        </w:rPr>
        <w:t>Haddock-Millar et al</w:t>
      </w:r>
      <w:r w:rsidR="00475C9F" w:rsidRPr="002B6EA9">
        <w:rPr>
          <w:rFonts w:ascii="Times New Roman" w:hAnsi="Times New Roman" w:cs="Times New Roman"/>
          <w:bCs/>
          <w:i/>
          <w:sz w:val="24"/>
          <w:szCs w:val="24"/>
        </w:rPr>
        <w:t>, 2016</w:t>
      </w:r>
      <w:r w:rsidR="00475C9F">
        <w:rPr>
          <w:rFonts w:ascii="Times New Roman" w:hAnsi="Times New Roman" w:cs="Times New Roman"/>
          <w:bCs/>
          <w:sz w:val="24"/>
          <w:szCs w:val="24"/>
        </w:rPr>
        <w:t xml:space="preserve"> </w:t>
      </w:r>
      <w:r w:rsidR="00F65AC9" w:rsidRPr="00D27166">
        <w:rPr>
          <w:rFonts w:ascii="Times New Roman" w:hAnsi="Times New Roman" w:cs="Times New Roman"/>
          <w:bCs/>
          <w:sz w:val="24"/>
          <w:szCs w:val="24"/>
        </w:rPr>
        <w:t>resea</w:t>
      </w:r>
      <w:r w:rsidR="00475C9F">
        <w:rPr>
          <w:rFonts w:ascii="Times New Roman" w:hAnsi="Times New Roman" w:cs="Times New Roman"/>
          <w:bCs/>
          <w:sz w:val="24"/>
          <w:szCs w:val="24"/>
        </w:rPr>
        <w:t>rch findings reveal that, GHRMPs</w:t>
      </w:r>
      <w:r w:rsidR="00F65AC9" w:rsidRPr="00D27166">
        <w:rPr>
          <w:rFonts w:ascii="Times New Roman" w:hAnsi="Times New Roman" w:cs="Times New Roman"/>
          <w:bCs/>
          <w:sz w:val="24"/>
          <w:szCs w:val="24"/>
        </w:rPr>
        <w:t xml:space="preserve"> is widely used by businesses to try to enhance their environmental impact and financial performance. Furthermore, according to </w:t>
      </w:r>
      <w:r w:rsidR="00F65AC9" w:rsidRPr="002B6EA9">
        <w:rPr>
          <w:rFonts w:ascii="Times New Roman" w:hAnsi="Times New Roman" w:cs="Times New Roman"/>
          <w:bCs/>
          <w:i/>
          <w:sz w:val="24"/>
          <w:szCs w:val="24"/>
        </w:rPr>
        <w:t>Wagner (2013),</w:t>
      </w:r>
      <w:r w:rsidR="00F65AC9" w:rsidRPr="00D27166">
        <w:rPr>
          <w:rFonts w:ascii="Times New Roman" w:hAnsi="Times New Roman" w:cs="Times New Roman"/>
          <w:bCs/>
          <w:sz w:val="24"/>
          <w:szCs w:val="24"/>
        </w:rPr>
        <w:t xml:space="preserve"> companies who invest in socially co</w:t>
      </w:r>
      <w:r w:rsidR="00475C9F">
        <w:rPr>
          <w:rFonts w:ascii="Times New Roman" w:hAnsi="Times New Roman" w:cs="Times New Roman"/>
          <w:bCs/>
          <w:sz w:val="24"/>
          <w:szCs w:val="24"/>
        </w:rPr>
        <w:t>nscious practises such as GHRMPs</w:t>
      </w:r>
      <w:r w:rsidR="00F65AC9" w:rsidRPr="00D27166">
        <w:rPr>
          <w:rFonts w:ascii="Times New Roman" w:hAnsi="Times New Roman" w:cs="Times New Roman"/>
          <w:bCs/>
          <w:sz w:val="24"/>
          <w:szCs w:val="24"/>
        </w:rPr>
        <w:t xml:space="preserve"> have better long-term results in terms of customer and employee happiness, innovation, and staff recruitment. Each of these components contributes to the future expansion of supportability performance.</w:t>
      </w:r>
    </w:p>
    <w:p w14:paraId="543E7013" w14:textId="2E767F87" w:rsidR="004A4900" w:rsidRDefault="00E2328A" w:rsidP="001002B4">
      <w:pPr>
        <w:spacing w:line="360" w:lineRule="auto"/>
        <w:jc w:val="both"/>
        <w:rPr>
          <w:rFonts w:ascii="Times New Roman" w:hAnsi="Times New Roman" w:cs="Times New Roman"/>
          <w:sz w:val="24"/>
          <w:szCs w:val="24"/>
        </w:rPr>
      </w:pPr>
      <w:r w:rsidRPr="00E2328A">
        <w:rPr>
          <w:rFonts w:ascii="Times New Roman" w:hAnsi="Times New Roman" w:cs="Times New Roman"/>
          <w:sz w:val="24"/>
          <w:szCs w:val="24"/>
        </w:rPr>
        <w:t xml:space="preserve">The effects of green HRM practices on financial sector organisations were studied by R.B. </w:t>
      </w:r>
      <w:r w:rsidRPr="002B6EA9">
        <w:rPr>
          <w:rFonts w:ascii="Times New Roman" w:hAnsi="Times New Roman" w:cs="Times New Roman"/>
          <w:i/>
          <w:sz w:val="24"/>
          <w:szCs w:val="24"/>
        </w:rPr>
        <w:t>Ayeswarya (2017).</w:t>
      </w:r>
      <w:r w:rsidRPr="00E2328A">
        <w:rPr>
          <w:rFonts w:ascii="Times New Roman" w:hAnsi="Times New Roman" w:cs="Times New Roman"/>
          <w:sz w:val="24"/>
          <w:szCs w:val="24"/>
        </w:rPr>
        <w:t xml:space="preserve"> The results show that the most important elements of green HRM practices are green production, resource conservation, encouragement, and green awareness.</w:t>
      </w:r>
    </w:p>
    <w:p w14:paraId="13073616" w14:textId="12505455" w:rsidR="00662124" w:rsidRDefault="002B6EA9" w:rsidP="001002B4">
      <w:pPr>
        <w:spacing w:line="360" w:lineRule="auto"/>
        <w:jc w:val="both"/>
        <w:rPr>
          <w:rFonts w:ascii="Times New Roman" w:hAnsi="Times New Roman" w:cs="Times New Roman"/>
          <w:sz w:val="24"/>
          <w:szCs w:val="24"/>
        </w:rPr>
      </w:pPr>
      <w:r w:rsidRPr="002B6EA9">
        <w:rPr>
          <w:rFonts w:ascii="Times New Roman" w:hAnsi="Times New Roman" w:cs="Times New Roman"/>
          <w:sz w:val="24"/>
          <w:szCs w:val="24"/>
        </w:rPr>
        <w:t xml:space="preserve">In </w:t>
      </w:r>
      <w:r w:rsidRPr="002B6EA9">
        <w:rPr>
          <w:rFonts w:ascii="Times New Roman" w:hAnsi="Times New Roman" w:cs="Times New Roman"/>
          <w:i/>
          <w:sz w:val="24"/>
          <w:szCs w:val="24"/>
        </w:rPr>
        <w:t>2017, A. Katherine Diana</w:t>
      </w:r>
      <w:r>
        <w:rPr>
          <w:rFonts w:ascii="Times New Roman" w:hAnsi="Times New Roman" w:cs="Times New Roman"/>
          <w:sz w:val="24"/>
          <w:szCs w:val="24"/>
        </w:rPr>
        <w:t xml:space="preserve"> conducted a study </w:t>
      </w:r>
      <w:r w:rsidR="00662124" w:rsidRPr="00662124">
        <w:rPr>
          <w:rFonts w:ascii="Times New Roman" w:hAnsi="Times New Roman" w:cs="Times New Roman"/>
          <w:sz w:val="24"/>
          <w:szCs w:val="24"/>
        </w:rPr>
        <w:t xml:space="preserve">titled "A Study on the Effectiveness of Green Recruiting Practices among HR Executives in the IT Sector," workers understand the need of being environmentally conscious. He said that green initiatives may succeed and help the company as well as the general health of the economy provided the staff members are aware of them. It is insufficient to only include green practices into the hiring process. By </w:t>
      </w:r>
      <w:r w:rsidR="00662124" w:rsidRPr="00662124">
        <w:rPr>
          <w:rFonts w:ascii="Times New Roman" w:hAnsi="Times New Roman" w:cs="Times New Roman"/>
          <w:sz w:val="24"/>
          <w:szCs w:val="24"/>
        </w:rPr>
        <w:lastRenderedPageBreak/>
        <w:t>incorporating the environment into all organisational actions, negative effects on the environment may be minimised.</w:t>
      </w:r>
    </w:p>
    <w:p w14:paraId="2CE4F7E9" w14:textId="6320345D" w:rsidR="00F06B11" w:rsidRDefault="00F06B11" w:rsidP="001002B4">
      <w:pPr>
        <w:spacing w:line="360" w:lineRule="auto"/>
        <w:jc w:val="both"/>
        <w:rPr>
          <w:rFonts w:ascii="Times New Roman" w:hAnsi="Times New Roman" w:cs="Times New Roman"/>
          <w:sz w:val="24"/>
          <w:szCs w:val="24"/>
        </w:rPr>
      </w:pPr>
      <w:r w:rsidRPr="00C277F3">
        <w:rPr>
          <w:rFonts w:ascii="Times New Roman" w:hAnsi="Times New Roman" w:cs="Times New Roman"/>
          <w:i/>
          <w:sz w:val="24"/>
          <w:szCs w:val="24"/>
        </w:rPr>
        <w:t>Majeed et al. (2018)</w:t>
      </w:r>
      <w:r w:rsidRPr="00F06B11">
        <w:rPr>
          <w:rFonts w:ascii="Times New Roman" w:hAnsi="Times New Roman" w:cs="Times New Roman"/>
          <w:sz w:val="24"/>
          <w:szCs w:val="24"/>
        </w:rPr>
        <w:t xml:space="preserve"> examined a few procedures that have to be followed in order to greatly increase the eco-friendliness of organisations. Additionally, an effort was made to focus on the circumstances behind these positions in various Indian affiliations. To accomplish these goals, the continuing writing was examined using the presented technique. As a result, the current study aims to expand the body of knowledge by providing a concise overview of the current state of green HRM practices in India and by highlighting the important contributions made by various scholars.</w:t>
      </w:r>
    </w:p>
    <w:p w14:paraId="6585CEF7" w14:textId="7B930C04" w:rsidR="00585E2E" w:rsidRDefault="00C277F3" w:rsidP="001002B4">
      <w:pPr>
        <w:spacing w:line="360" w:lineRule="auto"/>
        <w:jc w:val="both"/>
        <w:rPr>
          <w:rFonts w:ascii="Times New Roman" w:hAnsi="Times New Roman" w:cs="Times New Roman"/>
          <w:sz w:val="24"/>
          <w:szCs w:val="24"/>
        </w:rPr>
      </w:pPr>
      <w:r>
        <w:rPr>
          <w:rFonts w:ascii="Times New Roman" w:hAnsi="Times New Roman" w:cs="Times New Roman"/>
          <w:i/>
          <w:sz w:val="24"/>
          <w:szCs w:val="24"/>
        </w:rPr>
        <w:t>Zaid, et al</w:t>
      </w:r>
      <w:r w:rsidR="00585E2E" w:rsidRPr="00C277F3">
        <w:rPr>
          <w:rFonts w:ascii="Times New Roman" w:hAnsi="Times New Roman" w:cs="Times New Roman"/>
          <w:i/>
          <w:sz w:val="24"/>
          <w:szCs w:val="24"/>
        </w:rPr>
        <w:t xml:space="preserve"> (2018</w:t>
      </w:r>
      <w:r w:rsidR="00585E2E">
        <w:rPr>
          <w:rFonts w:ascii="Times New Roman" w:hAnsi="Times New Roman" w:cs="Times New Roman"/>
          <w:sz w:val="24"/>
          <w:szCs w:val="24"/>
        </w:rPr>
        <w:t>) organisations</w:t>
      </w:r>
      <w:r w:rsidR="00585E2E" w:rsidRPr="00585E2E">
        <w:rPr>
          <w:rFonts w:ascii="Times New Roman" w:hAnsi="Times New Roman" w:cs="Times New Roman"/>
          <w:sz w:val="24"/>
          <w:szCs w:val="24"/>
        </w:rPr>
        <w:t xml:space="preserve"> have a need to use caution while searching for tactics that would enable representative collaboration towards profitable commercial maintainability while also considering their social and environmental impacts. Furthermore, until GHRM develops human resources practices, strategies, and methods that further social, economic, and environmental objectives, it will not enable firms to become sustainable. Scientists and other experts have recently been highlighting the connection between GHRM and business performance, asserting that the former strategy is superior to the latter. Employee involvement in environmental groups has an impact on a company's perceived environmental friendliness as well as its actual environmental performance.</w:t>
      </w:r>
    </w:p>
    <w:p w14:paraId="504109A5" w14:textId="644E3C77" w:rsidR="00E84B58" w:rsidRPr="002D7A56" w:rsidRDefault="006B129E" w:rsidP="00E072CB">
      <w:pPr>
        <w:spacing w:line="360" w:lineRule="auto"/>
        <w:jc w:val="both"/>
        <w:rPr>
          <w:rFonts w:ascii="Times New Roman" w:hAnsi="Times New Roman" w:cs="Times New Roman"/>
          <w:sz w:val="24"/>
          <w:szCs w:val="24"/>
        </w:rPr>
      </w:pPr>
      <w:r w:rsidRPr="005857F2">
        <w:rPr>
          <w:rFonts w:ascii="Times New Roman" w:hAnsi="Times New Roman" w:cs="Times New Roman"/>
          <w:i/>
          <w:sz w:val="24"/>
          <w:szCs w:val="24"/>
        </w:rPr>
        <w:t>Longoni et al. (2018)</w:t>
      </w:r>
      <w:r w:rsidRPr="006B129E">
        <w:rPr>
          <w:rFonts w:ascii="Times New Roman" w:hAnsi="Times New Roman" w:cs="Times New Roman"/>
          <w:sz w:val="24"/>
          <w:szCs w:val="24"/>
        </w:rPr>
        <w:t xml:space="preserve"> found that the GHRMPs use human resources to create creative cycles. These solutions lower waste and underutilization of resources, increase partner views even further, and create cost reserves. They also lower incident rates, keep up with continuous improvements in recycling efficiency, and lower the frequency of incident occurrence.</w:t>
      </w:r>
    </w:p>
    <w:p w14:paraId="6A1BD9C1" w14:textId="07BC09FA" w:rsidR="00E84B58" w:rsidRDefault="00E84B58" w:rsidP="00E072CB">
      <w:pPr>
        <w:spacing w:line="360" w:lineRule="auto"/>
        <w:jc w:val="both"/>
        <w:rPr>
          <w:rFonts w:ascii="Times New Roman" w:hAnsi="Times New Roman" w:cs="Times New Roman"/>
          <w:sz w:val="24"/>
          <w:szCs w:val="24"/>
        </w:rPr>
      </w:pPr>
      <w:r w:rsidRPr="002D7A56">
        <w:rPr>
          <w:rFonts w:ascii="Times New Roman" w:hAnsi="Times New Roman" w:cs="Times New Roman"/>
          <w:sz w:val="24"/>
          <w:szCs w:val="24"/>
        </w:rPr>
        <w:t xml:space="preserve"> </w:t>
      </w:r>
      <w:r w:rsidR="006B129E" w:rsidRPr="00A97692">
        <w:rPr>
          <w:rFonts w:ascii="Times New Roman" w:hAnsi="Times New Roman" w:cs="Times New Roman"/>
          <w:i/>
          <w:sz w:val="24"/>
          <w:szCs w:val="24"/>
        </w:rPr>
        <w:t>Jabbour and Chong</w:t>
      </w:r>
      <w:r w:rsidR="00A97692" w:rsidRPr="00A97692">
        <w:rPr>
          <w:rFonts w:ascii="Times New Roman" w:hAnsi="Times New Roman" w:cs="Times New Roman"/>
          <w:i/>
          <w:sz w:val="24"/>
          <w:szCs w:val="24"/>
        </w:rPr>
        <w:t>(2019)</w:t>
      </w:r>
      <w:r w:rsidR="006B129E" w:rsidRPr="006B129E">
        <w:rPr>
          <w:rFonts w:ascii="Times New Roman" w:hAnsi="Times New Roman" w:cs="Times New Roman"/>
          <w:sz w:val="24"/>
          <w:szCs w:val="24"/>
        </w:rPr>
        <w:t xml:space="preserve"> </w:t>
      </w:r>
      <w:r w:rsidR="00A97692">
        <w:rPr>
          <w:rFonts w:ascii="Times New Roman" w:hAnsi="Times New Roman" w:cs="Times New Roman"/>
          <w:sz w:val="24"/>
          <w:szCs w:val="24"/>
        </w:rPr>
        <w:t xml:space="preserve"> reveal that</w:t>
      </w:r>
      <w:r w:rsidR="006B129E" w:rsidRPr="006B129E">
        <w:rPr>
          <w:rFonts w:ascii="Times New Roman" w:hAnsi="Times New Roman" w:cs="Times New Roman"/>
          <w:sz w:val="24"/>
          <w:szCs w:val="24"/>
        </w:rPr>
        <w:t>If businesses teach their employees about eco-friendly practices, they will be in a better position to implement green capabilities that minimise activities that cause waste and harm to the environment. How (Roscoe et al., 2019) ensures this. Coordinated environmental efforts ultimately lead to a significant reduction in waste and improve the environmental performance of the company (Cleric and Massoud, 2012).</w:t>
      </w:r>
    </w:p>
    <w:p w14:paraId="63D6C761" w14:textId="21054479" w:rsidR="00247C8E" w:rsidRPr="002D7A56" w:rsidRDefault="00247C8E"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This review</w:t>
      </w:r>
      <w:r w:rsidRPr="00247C8E">
        <w:rPr>
          <w:rFonts w:ascii="Times New Roman" w:hAnsi="Times New Roman" w:cs="Times New Roman"/>
          <w:sz w:val="24"/>
          <w:szCs w:val="24"/>
        </w:rPr>
        <w:t xml:space="preserve"> evaluates the GHRM research conducted by </w:t>
      </w:r>
      <w:r w:rsidRPr="00137EC0">
        <w:rPr>
          <w:rFonts w:ascii="Times New Roman" w:hAnsi="Times New Roman" w:cs="Times New Roman"/>
          <w:i/>
          <w:sz w:val="24"/>
          <w:szCs w:val="24"/>
        </w:rPr>
        <w:t>Alukal et al. (2022</w:t>
      </w:r>
      <w:r w:rsidRPr="00247C8E">
        <w:rPr>
          <w:rFonts w:ascii="Times New Roman" w:hAnsi="Times New Roman" w:cs="Times New Roman"/>
          <w:sz w:val="24"/>
          <w:szCs w:val="24"/>
        </w:rPr>
        <w:t>) from beginning to end. In addition, it creates a point-by-point hierarchy of the ancestors, intermediaries, intermediates, and outcomes associated with GH</w:t>
      </w:r>
      <w:r w:rsidR="0011167E">
        <w:rPr>
          <w:rFonts w:ascii="Times New Roman" w:hAnsi="Times New Roman" w:cs="Times New Roman"/>
          <w:sz w:val="24"/>
          <w:szCs w:val="24"/>
        </w:rPr>
        <w:t>RM. The</w:t>
      </w:r>
      <w:r w:rsidRPr="00247C8E">
        <w:rPr>
          <w:rFonts w:ascii="Times New Roman" w:hAnsi="Times New Roman" w:cs="Times New Roman"/>
          <w:sz w:val="24"/>
          <w:szCs w:val="24"/>
        </w:rPr>
        <w:t xml:space="preserve"> analysts focus on probable GHRM forerunners, investigate the essential cycles via which GHRM impacts outcomes at the individual and progressive levels, and look for potential mediators of the relationship between </w:t>
      </w:r>
      <w:r w:rsidRPr="00247C8E">
        <w:rPr>
          <w:rFonts w:ascii="Times New Roman" w:hAnsi="Times New Roman" w:cs="Times New Roman"/>
          <w:sz w:val="24"/>
          <w:szCs w:val="24"/>
        </w:rPr>
        <w:lastRenderedPageBreak/>
        <w:t>GHRM and its prope</w:t>
      </w:r>
      <w:r w:rsidR="0011167E">
        <w:rPr>
          <w:rFonts w:ascii="Times New Roman" w:hAnsi="Times New Roman" w:cs="Times New Roman"/>
          <w:sz w:val="24"/>
          <w:szCs w:val="24"/>
        </w:rPr>
        <w:t>rties. As a result, the</w:t>
      </w:r>
      <w:r w:rsidRPr="00247C8E">
        <w:rPr>
          <w:rFonts w:ascii="Times New Roman" w:hAnsi="Times New Roman" w:cs="Times New Roman"/>
          <w:sz w:val="24"/>
          <w:szCs w:val="24"/>
        </w:rPr>
        <w:t xml:space="preserve"> researchers</w:t>
      </w:r>
      <w:r w:rsidR="0011167E">
        <w:rPr>
          <w:rFonts w:ascii="Times New Roman" w:hAnsi="Times New Roman" w:cs="Times New Roman"/>
          <w:sz w:val="24"/>
          <w:szCs w:val="24"/>
        </w:rPr>
        <w:t xml:space="preserve"> get help to</w:t>
      </w:r>
      <w:r w:rsidRPr="00247C8E">
        <w:rPr>
          <w:rFonts w:ascii="Times New Roman" w:hAnsi="Times New Roman" w:cs="Times New Roman"/>
          <w:sz w:val="24"/>
          <w:szCs w:val="24"/>
        </w:rPr>
        <w:t xml:space="preserve"> delve farther into this developing sector.</w:t>
      </w:r>
    </w:p>
    <w:p w14:paraId="464963FC" w14:textId="65E5357C" w:rsidR="00D45DD6" w:rsidRPr="001729A3" w:rsidRDefault="00D45DD6" w:rsidP="00E072CB">
      <w:pPr>
        <w:pStyle w:val="ListParagraph"/>
        <w:numPr>
          <w:ilvl w:val="0"/>
          <w:numId w:val="23"/>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 xml:space="preserve">RESEARCH METHODOLOGY </w:t>
      </w:r>
    </w:p>
    <w:p w14:paraId="5CF016A3" w14:textId="7D2A6ADC" w:rsidR="00D45DD6" w:rsidRPr="00E072CB" w:rsidRDefault="00D45DD6" w:rsidP="00E072CB">
      <w:pPr>
        <w:pStyle w:val="ListParagraph"/>
        <w:numPr>
          <w:ilvl w:val="1"/>
          <w:numId w:val="27"/>
        </w:numPr>
        <w:spacing w:line="360" w:lineRule="auto"/>
        <w:jc w:val="both"/>
        <w:rPr>
          <w:rFonts w:ascii="Times New Roman" w:hAnsi="Times New Roman" w:cs="Times New Roman"/>
          <w:b/>
          <w:bCs/>
          <w:sz w:val="24"/>
          <w:szCs w:val="28"/>
        </w:rPr>
      </w:pPr>
      <w:r w:rsidRPr="00E072CB">
        <w:rPr>
          <w:rFonts w:ascii="Times New Roman" w:hAnsi="Times New Roman" w:cs="Times New Roman"/>
          <w:b/>
          <w:bCs/>
          <w:sz w:val="24"/>
          <w:szCs w:val="28"/>
        </w:rPr>
        <w:t xml:space="preserve">Research Design </w:t>
      </w:r>
    </w:p>
    <w:p w14:paraId="0D549E58" w14:textId="55D903B8" w:rsidR="00D45DD6" w:rsidRDefault="00317B34" w:rsidP="00E072CB">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A</w:t>
      </w:r>
      <w:r w:rsidRPr="00317B34">
        <w:rPr>
          <w:rFonts w:ascii="Times New Roman" w:hAnsi="Times New Roman" w:cs="Times New Roman"/>
          <w:bCs/>
          <w:sz w:val="24"/>
          <w:szCs w:val="28"/>
        </w:rPr>
        <w:t xml:space="preserve"> stra</w:t>
      </w:r>
      <w:r>
        <w:rPr>
          <w:rFonts w:ascii="Times New Roman" w:hAnsi="Times New Roman" w:cs="Times New Roman"/>
          <w:bCs/>
          <w:sz w:val="24"/>
          <w:szCs w:val="28"/>
        </w:rPr>
        <w:t>tegy known as blended strategy</w:t>
      </w:r>
      <w:r w:rsidRPr="00317B34">
        <w:rPr>
          <w:rFonts w:ascii="Times New Roman" w:hAnsi="Times New Roman" w:cs="Times New Roman"/>
          <w:bCs/>
          <w:sz w:val="24"/>
          <w:szCs w:val="28"/>
        </w:rPr>
        <w:t xml:space="preserve"> was employed by the review to examine the effects of Green Human Resource Management (GHRM) on employee engagement and performance in Higher Education Institutions (HEIs) located in Jammu and Kashmir (J&amp;K). This approach combined quantitative and subjective techniques. The pragmatic research ethic that underpinned this design placed a strong emphasis on the useful application of study results to improve GHRM practices at the HEIs in the area.</w:t>
      </w:r>
    </w:p>
    <w:p w14:paraId="2F135A56" w14:textId="37F53E5E" w:rsidR="00D45DD6" w:rsidRDefault="00D45DD6" w:rsidP="00E072CB">
      <w:pPr>
        <w:pStyle w:val="ListParagraph"/>
        <w:numPr>
          <w:ilvl w:val="1"/>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 xml:space="preserve">Sample Population </w:t>
      </w:r>
    </w:p>
    <w:p w14:paraId="566675B0" w14:textId="15F6F513" w:rsidR="0097550A" w:rsidRPr="0097550A" w:rsidRDefault="00775325" w:rsidP="0097550A">
      <w:pPr>
        <w:spacing w:line="360" w:lineRule="auto"/>
        <w:jc w:val="both"/>
        <w:rPr>
          <w:rFonts w:ascii="Times New Roman" w:hAnsi="Times New Roman" w:cs="Times New Roman"/>
          <w:bCs/>
          <w:sz w:val="24"/>
          <w:szCs w:val="28"/>
        </w:rPr>
      </w:pPr>
      <w:r w:rsidRPr="00775325">
        <w:rPr>
          <w:rFonts w:ascii="Times New Roman" w:hAnsi="Times New Roman" w:cs="Times New Roman"/>
          <w:bCs/>
          <w:sz w:val="24"/>
          <w:szCs w:val="28"/>
        </w:rPr>
        <w:t>The sample population for this study consisted of staff members and workers from five Higher Education Institutions (HEIs) located in Jammu and Kashmir (J&amp;K). This group comprised a diverse spectrum of individuals from different departments and roles wi</w:t>
      </w:r>
      <w:r>
        <w:rPr>
          <w:rFonts w:ascii="Times New Roman" w:hAnsi="Times New Roman" w:cs="Times New Roman"/>
          <w:bCs/>
          <w:sz w:val="24"/>
          <w:szCs w:val="28"/>
        </w:rPr>
        <w:t>thin these institution</w:t>
      </w:r>
      <w:r w:rsidRPr="00775325">
        <w:rPr>
          <w:rFonts w:ascii="Times New Roman" w:hAnsi="Times New Roman" w:cs="Times New Roman"/>
          <w:bCs/>
          <w:sz w:val="24"/>
          <w:szCs w:val="28"/>
        </w:rPr>
        <w:t>s, such as academics, administrative staff, and managerial professionals.</w:t>
      </w:r>
    </w:p>
    <w:p w14:paraId="7FC77926" w14:textId="77777777" w:rsidR="00D27166" w:rsidRPr="001729A3" w:rsidRDefault="00D27166" w:rsidP="0097550A">
      <w:pPr>
        <w:pStyle w:val="ListParagraph"/>
        <w:spacing w:line="360" w:lineRule="auto"/>
        <w:jc w:val="both"/>
        <w:rPr>
          <w:rFonts w:ascii="Times New Roman" w:hAnsi="Times New Roman" w:cs="Times New Roman"/>
          <w:b/>
          <w:bCs/>
          <w:sz w:val="24"/>
          <w:szCs w:val="28"/>
        </w:rPr>
      </w:pPr>
    </w:p>
    <w:p w14:paraId="60D368DC" w14:textId="529477A3" w:rsidR="00D45DD6" w:rsidRPr="001729A3" w:rsidRDefault="00D45DD6" w:rsidP="00E072CB">
      <w:pPr>
        <w:pStyle w:val="ListParagraph"/>
        <w:numPr>
          <w:ilvl w:val="1"/>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 xml:space="preserve">Sample of the study </w:t>
      </w:r>
    </w:p>
    <w:p w14:paraId="7C98C0B5" w14:textId="496620F7" w:rsidR="00D45DD6" w:rsidRDefault="00A439E4" w:rsidP="00E072CB">
      <w:pPr>
        <w:spacing w:line="360" w:lineRule="auto"/>
        <w:jc w:val="both"/>
        <w:rPr>
          <w:rFonts w:ascii="Times New Roman" w:hAnsi="Times New Roman" w:cs="Times New Roman"/>
          <w:bCs/>
          <w:sz w:val="24"/>
          <w:szCs w:val="28"/>
        </w:rPr>
      </w:pPr>
      <w:r w:rsidRPr="00A439E4">
        <w:rPr>
          <w:rFonts w:ascii="Times New Roman" w:hAnsi="Times New Roman" w:cs="Times New Roman"/>
          <w:bCs/>
          <w:sz w:val="24"/>
          <w:szCs w:val="28"/>
        </w:rPr>
        <w:t xml:space="preserve">For the study, 200 respondents were chosen at random from a range of Higher Education Institutions (HEIs) spread out over Jammu and Kashmir (J&amp;K). Within the chosen HEIs, the respondents comprised managers, teachers, and support staff from a range of areas. </w:t>
      </w:r>
    </w:p>
    <w:p w14:paraId="30FBEBDF" w14:textId="18B6B5A1" w:rsidR="001729A3" w:rsidRPr="001729A3" w:rsidRDefault="001729A3" w:rsidP="00E072CB">
      <w:pPr>
        <w:spacing w:line="360" w:lineRule="auto"/>
        <w:jc w:val="center"/>
        <w:rPr>
          <w:rFonts w:ascii="Times New Roman" w:hAnsi="Times New Roman" w:cs="Times New Roman"/>
          <w:b/>
          <w:bCs/>
          <w:sz w:val="24"/>
          <w:szCs w:val="28"/>
        </w:rPr>
      </w:pPr>
      <w:r w:rsidRPr="001729A3">
        <w:rPr>
          <w:rFonts w:ascii="Times New Roman" w:hAnsi="Times New Roman" w:cs="Times New Roman"/>
          <w:b/>
          <w:bCs/>
          <w:sz w:val="24"/>
          <w:szCs w:val="28"/>
        </w:rPr>
        <w:t>Table 1: Sample Selection</w:t>
      </w:r>
    </w:p>
    <w:tbl>
      <w:tblPr>
        <w:tblStyle w:val="TableGrid"/>
        <w:tblW w:w="0" w:type="auto"/>
        <w:tblLook w:val="04A0" w:firstRow="1" w:lastRow="0" w:firstColumn="1" w:lastColumn="0" w:noHBand="0" w:noVBand="1"/>
      </w:tblPr>
      <w:tblGrid>
        <w:gridCol w:w="1961"/>
        <w:gridCol w:w="1680"/>
        <w:gridCol w:w="1908"/>
        <w:gridCol w:w="1990"/>
        <w:gridCol w:w="1477"/>
      </w:tblGrid>
      <w:tr w:rsidR="005072FA" w:rsidRPr="001729A3" w14:paraId="20AED533" w14:textId="404C4B1F" w:rsidTr="005072FA">
        <w:tc>
          <w:tcPr>
            <w:tcW w:w="2010" w:type="dxa"/>
          </w:tcPr>
          <w:p w14:paraId="1B368C3F" w14:textId="009F1C63" w:rsidR="005072FA" w:rsidRPr="001729A3" w:rsidRDefault="001729A3"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Name of Higher Education Institutions (HEIs)</w:t>
            </w:r>
          </w:p>
        </w:tc>
        <w:tc>
          <w:tcPr>
            <w:tcW w:w="1722" w:type="dxa"/>
          </w:tcPr>
          <w:p w14:paraId="16AEFA5F" w14:textId="18724E56"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Professors</w:t>
            </w:r>
          </w:p>
        </w:tc>
        <w:tc>
          <w:tcPr>
            <w:tcW w:w="1931" w:type="dxa"/>
          </w:tcPr>
          <w:p w14:paraId="51C7CBCD" w14:textId="6160A95D"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Administrative staff</w:t>
            </w:r>
          </w:p>
        </w:tc>
        <w:tc>
          <w:tcPr>
            <w:tcW w:w="2036" w:type="dxa"/>
          </w:tcPr>
          <w:p w14:paraId="78E267A3" w14:textId="4985EF7E"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Management personnel</w:t>
            </w:r>
          </w:p>
        </w:tc>
        <w:tc>
          <w:tcPr>
            <w:tcW w:w="1543" w:type="dxa"/>
          </w:tcPr>
          <w:p w14:paraId="49EAAFCA" w14:textId="25C1D662"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Total</w:t>
            </w:r>
          </w:p>
        </w:tc>
      </w:tr>
      <w:tr w:rsidR="005072FA" w:rsidRPr="001729A3" w14:paraId="20B5A717" w14:textId="4B66B5D1" w:rsidTr="005072FA">
        <w:tc>
          <w:tcPr>
            <w:tcW w:w="2010" w:type="dxa"/>
          </w:tcPr>
          <w:p w14:paraId="6E35B81A" w14:textId="1CEF1B19"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University of Jammu</w:t>
            </w:r>
          </w:p>
        </w:tc>
        <w:tc>
          <w:tcPr>
            <w:tcW w:w="1722" w:type="dxa"/>
          </w:tcPr>
          <w:p w14:paraId="1DE4AE97" w14:textId="544E4CAB"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w:t>
            </w:r>
          </w:p>
        </w:tc>
        <w:tc>
          <w:tcPr>
            <w:tcW w:w="1931" w:type="dxa"/>
          </w:tcPr>
          <w:p w14:paraId="690A94F8" w14:textId="630BAC72"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10</w:t>
            </w:r>
          </w:p>
        </w:tc>
        <w:tc>
          <w:tcPr>
            <w:tcW w:w="2036" w:type="dxa"/>
          </w:tcPr>
          <w:p w14:paraId="5601DE2F" w14:textId="5C8AE35F"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28</w:t>
            </w:r>
          </w:p>
        </w:tc>
        <w:tc>
          <w:tcPr>
            <w:tcW w:w="1543" w:type="dxa"/>
          </w:tcPr>
          <w:p w14:paraId="3E5A002C" w14:textId="2CBCF764"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40</w:t>
            </w:r>
          </w:p>
        </w:tc>
      </w:tr>
      <w:tr w:rsidR="005072FA" w:rsidRPr="001729A3" w14:paraId="10F6165A" w14:textId="1DC56B62" w:rsidTr="005072FA">
        <w:tc>
          <w:tcPr>
            <w:tcW w:w="2010" w:type="dxa"/>
          </w:tcPr>
          <w:p w14:paraId="73D7D40D" w14:textId="710D6110"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University of Kashmir</w:t>
            </w:r>
          </w:p>
        </w:tc>
        <w:tc>
          <w:tcPr>
            <w:tcW w:w="1722" w:type="dxa"/>
          </w:tcPr>
          <w:p w14:paraId="39EEE77E" w14:textId="5AE02DF0"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w:t>
            </w:r>
          </w:p>
        </w:tc>
        <w:tc>
          <w:tcPr>
            <w:tcW w:w="1931" w:type="dxa"/>
          </w:tcPr>
          <w:p w14:paraId="1D338E7D" w14:textId="51E38C12"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10</w:t>
            </w:r>
          </w:p>
        </w:tc>
        <w:tc>
          <w:tcPr>
            <w:tcW w:w="2036" w:type="dxa"/>
          </w:tcPr>
          <w:p w14:paraId="5DEE1059" w14:textId="57418DCD"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28</w:t>
            </w:r>
          </w:p>
        </w:tc>
        <w:tc>
          <w:tcPr>
            <w:tcW w:w="1543" w:type="dxa"/>
          </w:tcPr>
          <w:p w14:paraId="39B54872" w14:textId="686B7AC3"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40</w:t>
            </w:r>
          </w:p>
        </w:tc>
      </w:tr>
      <w:tr w:rsidR="005072FA" w:rsidRPr="001729A3" w14:paraId="395FCA0C" w14:textId="7AA91FF1" w:rsidTr="005072FA">
        <w:tc>
          <w:tcPr>
            <w:tcW w:w="2010" w:type="dxa"/>
          </w:tcPr>
          <w:p w14:paraId="4BC44360" w14:textId="329D2546"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Shri Mata Vaishno Devi University</w:t>
            </w:r>
          </w:p>
        </w:tc>
        <w:tc>
          <w:tcPr>
            <w:tcW w:w="1722" w:type="dxa"/>
          </w:tcPr>
          <w:p w14:paraId="43599B0F" w14:textId="654F26A7"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w:t>
            </w:r>
          </w:p>
        </w:tc>
        <w:tc>
          <w:tcPr>
            <w:tcW w:w="1931" w:type="dxa"/>
          </w:tcPr>
          <w:p w14:paraId="5F9E587A" w14:textId="72F68162"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10</w:t>
            </w:r>
          </w:p>
        </w:tc>
        <w:tc>
          <w:tcPr>
            <w:tcW w:w="2036" w:type="dxa"/>
          </w:tcPr>
          <w:p w14:paraId="58B52BD7" w14:textId="08E9C698"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28</w:t>
            </w:r>
          </w:p>
        </w:tc>
        <w:tc>
          <w:tcPr>
            <w:tcW w:w="1543" w:type="dxa"/>
          </w:tcPr>
          <w:p w14:paraId="453B5B49" w14:textId="7E5176F5"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40</w:t>
            </w:r>
          </w:p>
        </w:tc>
      </w:tr>
      <w:tr w:rsidR="005072FA" w:rsidRPr="001729A3" w14:paraId="4735744C" w14:textId="1129C73B" w:rsidTr="005072FA">
        <w:tc>
          <w:tcPr>
            <w:tcW w:w="2010" w:type="dxa"/>
          </w:tcPr>
          <w:p w14:paraId="5C0D7CD9" w14:textId="39988D26"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lastRenderedPageBreak/>
              <w:t>Islamic University of Science and Technologies</w:t>
            </w:r>
          </w:p>
        </w:tc>
        <w:tc>
          <w:tcPr>
            <w:tcW w:w="1722" w:type="dxa"/>
          </w:tcPr>
          <w:p w14:paraId="0C7B8978" w14:textId="288AC609"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w:t>
            </w:r>
          </w:p>
        </w:tc>
        <w:tc>
          <w:tcPr>
            <w:tcW w:w="1931" w:type="dxa"/>
          </w:tcPr>
          <w:p w14:paraId="7A558500" w14:textId="0C731540"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10</w:t>
            </w:r>
          </w:p>
        </w:tc>
        <w:tc>
          <w:tcPr>
            <w:tcW w:w="2036" w:type="dxa"/>
          </w:tcPr>
          <w:p w14:paraId="3DDC4AFC" w14:textId="0B7475E3"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28</w:t>
            </w:r>
          </w:p>
        </w:tc>
        <w:tc>
          <w:tcPr>
            <w:tcW w:w="1543" w:type="dxa"/>
          </w:tcPr>
          <w:p w14:paraId="0ACCCF65" w14:textId="164D9955"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40</w:t>
            </w:r>
          </w:p>
        </w:tc>
      </w:tr>
      <w:tr w:rsidR="005072FA" w:rsidRPr="001729A3" w14:paraId="5DEE20C2" w14:textId="6E3D0891" w:rsidTr="005072FA">
        <w:trPr>
          <w:trHeight w:val="1345"/>
        </w:trPr>
        <w:tc>
          <w:tcPr>
            <w:tcW w:w="2010" w:type="dxa"/>
          </w:tcPr>
          <w:p w14:paraId="16DD610D" w14:textId="23123A4B"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Baba Ghulam Shah Badshah University</w:t>
            </w:r>
          </w:p>
        </w:tc>
        <w:tc>
          <w:tcPr>
            <w:tcW w:w="1722" w:type="dxa"/>
          </w:tcPr>
          <w:p w14:paraId="45E0E226" w14:textId="6EDC1A4A"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w:t>
            </w:r>
          </w:p>
        </w:tc>
        <w:tc>
          <w:tcPr>
            <w:tcW w:w="1931" w:type="dxa"/>
          </w:tcPr>
          <w:p w14:paraId="5F50AF02" w14:textId="3602E522"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10</w:t>
            </w:r>
          </w:p>
        </w:tc>
        <w:tc>
          <w:tcPr>
            <w:tcW w:w="2036" w:type="dxa"/>
          </w:tcPr>
          <w:p w14:paraId="3556CC73" w14:textId="0DDB2F94" w:rsidR="005072FA" w:rsidRPr="001729A3" w:rsidRDefault="005072FA" w:rsidP="00E072CB">
            <w:pPr>
              <w:spacing w:line="360" w:lineRule="auto"/>
              <w:jc w:val="both"/>
              <w:rPr>
                <w:rFonts w:ascii="Times New Roman" w:hAnsi="Times New Roman" w:cs="Times New Roman"/>
                <w:bCs/>
                <w:szCs w:val="28"/>
              </w:rPr>
            </w:pPr>
            <w:r w:rsidRPr="001729A3">
              <w:rPr>
                <w:rFonts w:ascii="Times New Roman" w:hAnsi="Times New Roman" w:cs="Times New Roman"/>
                <w:bCs/>
                <w:szCs w:val="28"/>
              </w:rPr>
              <w:t>28</w:t>
            </w:r>
          </w:p>
        </w:tc>
        <w:tc>
          <w:tcPr>
            <w:tcW w:w="1543" w:type="dxa"/>
          </w:tcPr>
          <w:p w14:paraId="367E8954" w14:textId="39FFFCD0"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40</w:t>
            </w:r>
          </w:p>
        </w:tc>
      </w:tr>
      <w:tr w:rsidR="005072FA" w:rsidRPr="001729A3" w14:paraId="61B26193" w14:textId="2F672F83" w:rsidTr="005072FA">
        <w:tc>
          <w:tcPr>
            <w:tcW w:w="2010" w:type="dxa"/>
          </w:tcPr>
          <w:p w14:paraId="02851B6E" w14:textId="1F21B7D7"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 xml:space="preserve">Total </w:t>
            </w:r>
          </w:p>
        </w:tc>
        <w:tc>
          <w:tcPr>
            <w:tcW w:w="1722" w:type="dxa"/>
          </w:tcPr>
          <w:p w14:paraId="477A0661" w14:textId="0CE96C9E"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10</w:t>
            </w:r>
          </w:p>
        </w:tc>
        <w:tc>
          <w:tcPr>
            <w:tcW w:w="1931" w:type="dxa"/>
          </w:tcPr>
          <w:p w14:paraId="2F5392A8" w14:textId="32231FD2"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50</w:t>
            </w:r>
          </w:p>
        </w:tc>
        <w:tc>
          <w:tcPr>
            <w:tcW w:w="2036" w:type="dxa"/>
          </w:tcPr>
          <w:p w14:paraId="342DF23A" w14:textId="4038C283"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140</w:t>
            </w:r>
          </w:p>
        </w:tc>
        <w:tc>
          <w:tcPr>
            <w:tcW w:w="1543" w:type="dxa"/>
          </w:tcPr>
          <w:p w14:paraId="24967FD2" w14:textId="184A3EC0" w:rsidR="005072FA" w:rsidRPr="001729A3" w:rsidRDefault="005072FA" w:rsidP="00E072CB">
            <w:pPr>
              <w:spacing w:line="360" w:lineRule="auto"/>
              <w:jc w:val="both"/>
              <w:rPr>
                <w:rFonts w:ascii="Times New Roman" w:hAnsi="Times New Roman" w:cs="Times New Roman"/>
                <w:b/>
                <w:bCs/>
                <w:szCs w:val="28"/>
              </w:rPr>
            </w:pPr>
            <w:r w:rsidRPr="001729A3">
              <w:rPr>
                <w:rFonts w:ascii="Times New Roman" w:hAnsi="Times New Roman" w:cs="Times New Roman"/>
                <w:b/>
                <w:bCs/>
                <w:szCs w:val="28"/>
              </w:rPr>
              <w:t>200</w:t>
            </w:r>
          </w:p>
        </w:tc>
      </w:tr>
    </w:tbl>
    <w:p w14:paraId="460DB730" w14:textId="77777777" w:rsidR="00D45DD6" w:rsidRDefault="00D45DD6" w:rsidP="00E072CB">
      <w:pPr>
        <w:spacing w:line="360" w:lineRule="auto"/>
        <w:jc w:val="both"/>
        <w:rPr>
          <w:rFonts w:ascii="Times New Roman" w:hAnsi="Times New Roman" w:cs="Times New Roman"/>
          <w:bCs/>
          <w:sz w:val="24"/>
          <w:szCs w:val="28"/>
        </w:rPr>
      </w:pPr>
    </w:p>
    <w:p w14:paraId="711CB1A2" w14:textId="00EDC973" w:rsidR="009F5736" w:rsidRDefault="009F5736" w:rsidP="00E072CB">
      <w:pPr>
        <w:pStyle w:val="ListParagraph"/>
        <w:numPr>
          <w:ilvl w:val="1"/>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Sampling Technique</w:t>
      </w:r>
    </w:p>
    <w:p w14:paraId="3D55F42E" w14:textId="1BA1AE62" w:rsidR="00D04994" w:rsidRPr="00D04994" w:rsidRDefault="007D55B4" w:rsidP="00D04994">
      <w:pPr>
        <w:spacing w:line="360" w:lineRule="auto"/>
        <w:ind w:left="360"/>
        <w:jc w:val="both"/>
        <w:rPr>
          <w:rFonts w:ascii="Times New Roman" w:hAnsi="Times New Roman" w:cs="Times New Roman"/>
          <w:bCs/>
          <w:sz w:val="24"/>
          <w:szCs w:val="28"/>
        </w:rPr>
      </w:pPr>
      <w:r w:rsidRPr="007D55B4">
        <w:rPr>
          <w:rFonts w:ascii="Times New Roman" w:hAnsi="Times New Roman" w:cs="Times New Roman"/>
          <w:bCs/>
          <w:sz w:val="24"/>
          <w:szCs w:val="28"/>
        </w:rPr>
        <w:t>Random sampling is the main sampling method used in the study examining the relationship between Green Human Resource Management (GHRM) and employee engagement and performance at Higher Education Institutions (HEIs) in Jammu and Kashmir (J&amp;K). To ensure that every staff member or employee at the chosen HEIs in J&amp;K has an equal chance of being included in the</w:t>
      </w:r>
      <w:r>
        <w:rPr>
          <w:rFonts w:ascii="Times New Roman" w:hAnsi="Times New Roman" w:cs="Times New Roman"/>
          <w:bCs/>
          <w:sz w:val="24"/>
          <w:szCs w:val="28"/>
        </w:rPr>
        <w:t xml:space="preserve"> study, random sampling is used</w:t>
      </w:r>
      <w:r w:rsidR="00D04994" w:rsidRPr="00D04994">
        <w:rPr>
          <w:rFonts w:ascii="Times New Roman" w:hAnsi="Times New Roman" w:cs="Times New Roman"/>
          <w:bCs/>
          <w:sz w:val="24"/>
          <w:szCs w:val="28"/>
        </w:rPr>
        <w:t>.</w:t>
      </w:r>
      <w:r w:rsidRPr="007D55B4">
        <w:t xml:space="preserve"> </w:t>
      </w:r>
      <w:r w:rsidRPr="007D55B4">
        <w:rPr>
          <w:rFonts w:ascii="Times New Roman" w:hAnsi="Times New Roman" w:cs="Times New Roman"/>
          <w:bCs/>
          <w:sz w:val="24"/>
          <w:szCs w:val="28"/>
        </w:rPr>
        <w:t xml:space="preserve">The sample is selected via a random procedure, such </w:t>
      </w:r>
      <w:r>
        <w:rPr>
          <w:rFonts w:ascii="Times New Roman" w:hAnsi="Times New Roman" w:cs="Times New Roman"/>
          <w:bCs/>
          <w:sz w:val="24"/>
          <w:szCs w:val="28"/>
        </w:rPr>
        <w:t>as a random number generator in</w:t>
      </w:r>
      <w:r w:rsidRPr="007D55B4">
        <w:rPr>
          <w:rFonts w:ascii="Times New Roman" w:hAnsi="Times New Roman" w:cs="Times New Roman"/>
          <w:bCs/>
          <w:sz w:val="24"/>
          <w:szCs w:val="28"/>
        </w:rPr>
        <w:t xml:space="preserve"> addition to reducing prejudice, this approach offers a representative sample of workers at HEIs with a range of tasks and responsibilities.</w:t>
      </w:r>
      <w:r w:rsidR="00D04994" w:rsidRPr="00D04994">
        <w:rPr>
          <w:rFonts w:ascii="Times New Roman" w:hAnsi="Times New Roman" w:cs="Times New Roman"/>
          <w:bCs/>
          <w:sz w:val="24"/>
          <w:szCs w:val="28"/>
        </w:rPr>
        <w:t xml:space="preserve"> </w:t>
      </w:r>
    </w:p>
    <w:p w14:paraId="3E2B5FA3" w14:textId="4AA4E5A5" w:rsidR="00DB101C" w:rsidRPr="001729A3" w:rsidRDefault="00DB101C" w:rsidP="00E072CB">
      <w:pPr>
        <w:pStyle w:val="ListParagraph"/>
        <w:numPr>
          <w:ilvl w:val="1"/>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 xml:space="preserve">Variables of the study </w:t>
      </w:r>
    </w:p>
    <w:p w14:paraId="6657B38B" w14:textId="74E55967" w:rsidR="00DB101C" w:rsidRDefault="00DB101C" w:rsidP="00E072CB">
      <w:pPr>
        <w:spacing w:line="360" w:lineRule="auto"/>
        <w:jc w:val="both"/>
        <w:rPr>
          <w:rFonts w:ascii="Times New Roman" w:hAnsi="Times New Roman" w:cs="Times New Roman"/>
          <w:b/>
          <w:bCs/>
          <w:sz w:val="24"/>
          <w:szCs w:val="28"/>
          <w:u w:val="single"/>
        </w:rPr>
      </w:pPr>
      <w:r w:rsidRPr="008F4C89">
        <w:rPr>
          <w:rFonts w:ascii="Times New Roman" w:hAnsi="Times New Roman" w:cs="Times New Roman"/>
          <w:b/>
          <w:bCs/>
          <w:sz w:val="24"/>
          <w:szCs w:val="28"/>
          <w:u w:val="single"/>
        </w:rPr>
        <w:t>Independent Variables:</w:t>
      </w:r>
    </w:p>
    <w:p w14:paraId="1DA3BEDA" w14:textId="0B22442D" w:rsidR="008D2B6B" w:rsidRPr="008D2B6B" w:rsidRDefault="00AC3613" w:rsidP="00E072CB">
      <w:pPr>
        <w:spacing w:line="360" w:lineRule="auto"/>
        <w:jc w:val="both"/>
        <w:rPr>
          <w:rFonts w:ascii="Times New Roman" w:hAnsi="Times New Roman" w:cs="Times New Roman"/>
          <w:bCs/>
          <w:sz w:val="24"/>
          <w:szCs w:val="28"/>
        </w:rPr>
      </w:pPr>
      <w:r w:rsidRPr="00AC3613">
        <w:rPr>
          <w:rFonts w:ascii="Times New Roman" w:hAnsi="Times New Roman" w:cs="Times New Roman"/>
          <w:bCs/>
          <w:sz w:val="24"/>
          <w:szCs w:val="28"/>
        </w:rPr>
        <w:t>Green Human Resource Management (GHRM)</w:t>
      </w:r>
      <w:r>
        <w:rPr>
          <w:rFonts w:ascii="Times New Roman" w:hAnsi="Times New Roman" w:cs="Times New Roman"/>
          <w:bCs/>
          <w:sz w:val="24"/>
          <w:szCs w:val="28"/>
        </w:rPr>
        <w:t xml:space="preserve"> Practices</w:t>
      </w:r>
      <w:r w:rsidRPr="00AC3613">
        <w:rPr>
          <w:rFonts w:ascii="Times New Roman" w:hAnsi="Times New Roman" w:cs="Times New Roman"/>
          <w:bCs/>
          <w:sz w:val="24"/>
          <w:szCs w:val="28"/>
        </w:rPr>
        <w:t>: This variable demonstrates how HEIs have embraced and put into effect eco-friendly HR strategies, including hiring and selection methods, plans for training and development, and workplace regulations that promote sustainability.</w:t>
      </w:r>
    </w:p>
    <w:p w14:paraId="00C422F3" w14:textId="77777777" w:rsidR="00DB101C" w:rsidRPr="008F4C89" w:rsidRDefault="00DB101C" w:rsidP="00E072CB">
      <w:pPr>
        <w:spacing w:line="360" w:lineRule="auto"/>
        <w:jc w:val="both"/>
        <w:rPr>
          <w:rFonts w:ascii="Times New Roman" w:hAnsi="Times New Roman" w:cs="Times New Roman"/>
          <w:b/>
          <w:bCs/>
          <w:sz w:val="24"/>
          <w:szCs w:val="28"/>
          <w:u w:val="single"/>
        </w:rPr>
      </w:pPr>
      <w:r w:rsidRPr="008F4C89">
        <w:rPr>
          <w:rFonts w:ascii="Times New Roman" w:hAnsi="Times New Roman" w:cs="Times New Roman"/>
          <w:b/>
          <w:bCs/>
          <w:sz w:val="24"/>
          <w:szCs w:val="28"/>
          <w:u w:val="single"/>
        </w:rPr>
        <w:t>Dependent Variables:</w:t>
      </w:r>
    </w:p>
    <w:p w14:paraId="70C8996C" w14:textId="34CA5A71" w:rsidR="008F4C89" w:rsidRDefault="00816A71" w:rsidP="00816A71">
      <w:pPr>
        <w:pStyle w:val="ListParagraph"/>
        <w:spacing w:line="360" w:lineRule="auto"/>
        <w:jc w:val="both"/>
        <w:rPr>
          <w:rFonts w:ascii="Times New Roman" w:hAnsi="Times New Roman" w:cs="Times New Roman"/>
          <w:bCs/>
          <w:sz w:val="24"/>
          <w:szCs w:val="28"/>
        </w:rPr>
      </w:pPr>
      <w:r w:rsidRPr="00766307">
        <w:rPr>
          <w:rFonts w:ascii="Times New Roman" w:hAnsi="Times New Roman" w:cs="Times New Roman"/>
          <w:b/>
          <w:bCs/>
          <w:sz w:val="24"/>
          <w:szCs w:val="28"/>
        </w:rPr>
        <w:t>Employee Engagement:</w:t>
      </w:r>
      <w:r w:rsidRPr="00816A71">
        <w:rPr>
          <w:rFonts w:ascii="Times New Roman" w:hAnsi="Times New Roman" w:cs="Times New Roman"/>
          <w:bCs/>
          <w:sz w:val="24"/>
          <w:szCs w:val="28"/>
        </w:rPr>
        <w:t xml:space="preserve"> </w:t>
      </w:r>
      <w:r w:rsidR="001A452E" w:rsidRPr="001A452E">
        <w:rPr>
          <w:rFonts w:ascii="Times New Roman" w:hAnsi="Times New Roman" w:cs="Times New Roman"/>
          <w:bCs/>
          <w:sz w:val="24"/>
          <w:szCs w:val="28"/>
        </w:rPr>
        <w:t>This complex variable measures employees' fervour, emotional commitment, and participation in higher education institutions. It consists of components including job satisfaction, motivation at work, and a feeling of community inside the company.</w:t>
      </w:r>
    </w:p>
    <w:p w14:paraId="3FAEA423" w14:textId="1021FA9A" w:rsidR="00766307" w:rsidRDefault="00766307" w:rsidP="00816A71">
      <w:pPr>
        <w:pStyle w:val="ListParagraph"/>
        <w:spacing w:line="360" w:lineRule="auto"/>
        <w:jc w:val="both"/>
        <w:rPr>
          <w:rFonts w:ascii="Times New Roman" w:hAnsi="Times New Roman" w:cs="Times New Roman"/>
          <w:bCs/>
          <w:sz w:val="24"/>
          <w:szCs w:val="28"/>
        </w:rPr>
      </w:pPr>
      <w:r w:rsidRPr="00766307">
        <w:rPr>
          <w:rFonts w:ascii="Times New Roman" w:hAnsi="Times New Roman" w:cs="Times New Roman"/>
          <w:b/>
          <w:bCs/>
          <w:sz w:val="24"/>
          <w:szCs w:val="28"/>
        </w:rPr>
        <w:t>Employee Performance:</w:t>
      </w:r>
      <w:r w:rsidRPr="00766307">
        <w:rPr>
          <w:rFonts w:ascii="Times New Roman" w:hAnsi="Times New Roman" w:cs="Times New Roman"/>
          <w:bCs/>
          <w:sz w:val="24"/>
          <w:szCs w:val="28"/>
        </w:rPr>
        <w:t xml:space="preserve"> </w:t>
      </w:r>
      <w:r w:rsidR="00365A6C" w:rsidRPr="00365A6C">
        <w:rPr>
          <w:rFonts w:ascii="Times New Roman" w:hAnsi="Times New Roman" w:cs="Times New Roman"/>
          <w:bCs/>
          <w:sz w:val="24"/>
          <w:szCs w:val="28"/>
        </w:rPr>
        <w:t xml:space="preserve">This is a reference to the effectiveness and productivity of employees at Higher Education Institutions (HEIs), including their contributions to research, academic or administrative </w:t>
      </w:r>
      <w:r w:rsidR="00365A6C">
        <w:rPr>
          <w:rFonts w:ascii="Times New Roman" w:hAnsi="Times New Roman" w:cs="Times New Roman"/>
          <w:bCs/>
          <w:sz w:val="24"/>
          <w:szCs w:val="28"/>
        </w:rPr>
        <w:t>duties, and total job results</w:t>
      </w:r>
      <w:r w:rsidR="00365A6C" w:rsidRPr="00365A6C">
        <w:rPr>
          <w:rFonts w:ascii="Times New Roman" w:hAnsi="Times New Roman" w:cs="Times New Roman"/>
          <w:bCs/>
          <w:sz w:val="24"/>
          <w:szCs w:val="28"/>
        </w:rPr>
        <w:t>.</w:t>
      </w:r>
    </w:p>
    <w:p w14:paraId="0FF4450D" w14:textId="2F4CD2D0" w:rsidR="0004713D" w:rsidRDefault="0004713D" w:rsidP="00E072CB">
      <w:pPr>
        <w:pStyle w:val="ListParagraph"/>
        <w:numPr>
          <w:ilvl w:val="1"/>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lastRenderedPageBreak/>
        <w:t>Collection</w:t>
      </w:r>
      <w:r w:rsidR="007D2130">
        <w:rPr>
          <w:rFonts w:ascii="Times New Roman" w:hAnsi="Times New Roman" w:cs="Times New Roman"/>
          <w:b/>
          <w:bCs/>
          <w:sz w:val="24"/>
          <w:szCs w:val="28"/>
        </w:rPr>
        <w:t xml:space="preserve"> of Data </w:t>
      </w:r>
      <w:r w:rsidRPr="001729A3">
        <w:rPr>
          <w:rFonts w:ascii="Times New Roman" w:hAnsi="Times New Roman" w:cs="Times New Roman"/>
          <w:b/>
          <w:bCs/>
          <w:sz w:val="24"/>
          <w:szCs w:val="28"/>
        </w:rPr>
        <w:t xml:space="preserve"> </w:t>
      </w:r>
    </w:p>
    <w:p w14:paraId="314054A6" w14:textId="77777777" w:rsidR="0021134E" w:rsidRPr="001729A3" w:rsidRDefault="0021134E" w:rsidP="0021134E">
      <w:pPr>
        <w:pStyle w:val="ListParagraph"/>
        <w:spacing w:line="360" w:lineRule="auto"/>
        <w:jc w:val="both"/>
        <w:rPr>
          <w:rFonts w:ascii="Times New Roman" w:hAnsi="Times New Roman" w:cs="Times New Roman"/>
          <w:b/>
          <w:bCs/>
          <w:sz w:val="24"/>
          <w:szCs w:val="28"/>
        </w:rPr>
      </w:pPr>
    </w:p>
    <w:p w14:paraId="7DF98C11" w14:textId="395F85B0" w:rsidR="0004713D" w:rsidRDefault="0004713D" w:rsidP="00E072CB">
      <w:pPr>
        <w:pStyle w:val="ListParagraph"/>
        <w:numPr>
          <w:ilvl w:val="2"/>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Primary Data Collection:</w:t>
      </w:r>
    </w:p>
    <w:p w14:paraId="20989498" w14:textId="38476AA7" w:rsidR="0021134E" w:rsidRPr="0021134E" w:rsidRDefault="00E04545" w:rsidP="0021134E">
      <w:pPr>
        <w:spacing w:line="360" w:lineRule="auto"/>
        <w:ind w:left="360"/>
        <w:jc w:val="both"/>
        <w:rPr>
          <w:rFonts w:ascii="Times New Roman" w:hAnsi="Times New Roman" w:cs="Times New Roman"/>
          <w:bCs/>
          <w:sz w:val="24"/>
          <w:szCs w:val="28"/>
        </w:rPr>
      </w:pPr>
      <w:r w:rsidRPr="00E04545">
        <w:rPr>
          <w:rFonts w:ascii="Times New Roman" w:hAnsi="Times New Roman" w:cs="Times New Roman"/>
          <w:bCs/>
          <w:sz w:val="24"/>
          <w:szCs w:val="28"/>
        </w:rPr>
        <w:t>The creation and distribution of surveys and questionnaires to staff members at certain Higher Education Institutions (HEIs) in Jammu and Kashmir (J&amp;K) served as the main technique of data collecting for this study. These surveys provided the basis for the research by asking employees directly about their opinions on Green Human Resource Management (GHRM) practices, employee engagement, and performance within their particular institutions.</w:t>
      </w:r>
      <w:r w:rsidR="00CA76BC">
        <w:rPr>
          <w:rFonts w:ascii="Times New Roman" w:hAnsi="Times New Roman" w:cs="Times New Roman"/>
          <w:bCs/>
          <w:sz w:val="24"/>
          <w:szCs w:val="28"/>
        </w:rPr>
        <w:t xml:space="preserve"> </w:t>
      </w:r>
      <w:r w:rsidR="00CA76BC" w:rsidRPr="00CA76BC">
        <w:rPr>
          <w:rFonts w:ascii="Times New Roman" w:hAnsi="Times New Roman" w:cs="Times New Roman"/>
          <w:bCs/>
          <w:sz w:val="24"/>
          <w:szCs w:val="28"/>
        </w:rPr>
        <w:t>The utilisation of standardised questionnaires enabled the methodical gathering of quantifiable information, including perspectives on sustainability programmes, worker motivation, and job contentment.</w:t>
      </w:r>
    </w:p>
    <w:p w14:paraId="27FC814B" w14:textId="45259D61" w:rsidR="0004713D" w:rsidRDefault="0004713D" w:rsidP="00E072CB">
      <w:pPr>
        <w:pStyle w:val="ListParagraph"/>
        <w:numPr>
          <w:ilvl w:val="2"/>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Secondary Data Collection:</w:t>
      </w:r>
    </w:p>
    <w:p w14:paraId="4F13657C" w14:textId="59D265E9" w:rsidR="004B6D23" w:rsidRPr="004B6D23" w:rsidRDefault="004A4BAB" w:rsidP="004B6D23">
      <w:pPr>
        <w:spacing w:line="360" w:lineRule="auto"/>
        <w:ind w:left="360"/>
        <w:jc w:val="both"/>
        <w:rPr>
          <w:rFonts w:ascii="Times New Roman" w:hAnsi="Times New Roman" w:cs="Times New Roman"/>
          <w:bCs/>
          <w:sz w:val="24"/>
          <w:szCs w:val="28"/>
        </w:rPr>
      </w:pPr>
      <w:r w:rsidRPr="004A4BAB">
        <w:rPr>
          <w:rFonts w:ascii="Times New Roman" w:hAnsi="Times New Roman" w:cs="Times New Roman"/>
          <w:bCs/>
          <w:sz w:val="24"/>
          <w:szCs w:val="28"/>
        </w:rPr>
        <w:t>The collection of secondary data involved a comprehensive analysis of the literature. This process included analysing several academic papers, industry reports, and relevant scholarly articles. The objective was to compile a substantial quantity of data about GHRM, employee engagement, and performance within the framework of higher education. This secondary data served as a basis for understanding the theoretical frameworks, methods, and conclusions from earlier research, which helped situate the current study within t</w:t>
      </w:r>
      <w:r>
        <w:rPr>
          <w:rFonts w:ascii="Times New Roman" w:hAnsi="Times New Roman" w:cs="Times New Roman"/>
          <w:bCs/>
          <w:sz w:val="24"/>
          <w:szCs w:val="28"/>
        </w:rPr>
        <w:t>he corpus of existing knowledge</w:t>
      </w:r>
      <w:r w:rsidR="004B6D23">
        <w:rPr>
          <w:rFonts w:ascii="Times New Roman" w:hAnsi="Times New Roman" w:cs="Times New Roman"/>
          <w:bCs/>
          <w:sz w:val="24"/>
          <w:szCs w:val="28"/>
        </w:rPr>
        <w:t xml:space="preserve">. </w:t>
      </w:r>
      <w:r w:rsidRPr="004A4BAB">
        <w:rPr>
          <w:rFonts w:ascii="Times New Roman" w:hAnsi="Times New Roman" w:cs="Times New Roman"/>
          <w:bCs/>
          <w:sz w:val="24"/>
          <w:szCs w:val="28"/>
        </w:rPr>
        <w:t>Secondary data obtained from institutional files and reports provided by the selected HEIs. These reports are an excellent resource for learning about the state of these institutions' performance evaluation systems, GHRM procedures, and employee engagement initiatives.</w:t>
      </w:r>
    </w:p>
    <w:p w14:paraId="1F259140" w14:textId="77777777" w:rsidR="006671CB" w:rsidRDefault="00C52DFB" w:rsidP="00E072CB">
      <w:pPr>
        <w:pStyle w:val="ListParagraph"/>
        <w:numPr>
          <w:ilvl w:val="2"/>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Measurement Scale</w:t>
      </w:r>
    </w:p>
    <w:p w14:paraId="16AF2C01" w14:textId="414B5B4F" w:rsidR="0004713D" w:rsidRPr="006671CB" w:rsidRDefault="001B0F1B" w:rsidP="006671CB">
      <w:pPr>
        <w:spacing w:line="360" w:lineRule="auto"/>
        <w:ind w:left="360"/>
        <w:jc w:val="both"/>
        <w:rPr>
          <w:rFonts w:ascii="Times New Roman" w:hAnsi="Times New Roman" w:cs="Times New Roman"/>
          <w:bCs/>
          <w:sz w:val="24"/>
          <w:szCs w:val="28"/>
        </w:rPr>
      </w:pPr>
      <w:r w:rsidRPr="001B0F1B">
        <w:rPr>
          <w:rFonts w:ascii="Times New Roman" w:hAnsi="Times New Roman" w:cs="Times New Roman"/>
          <w:bCs/>
          <w:sz w:val="24"/>
          <w:szCs w:val="28"/>
        </w:rPr>
        <w:t>The Likert scale is a widely used instrument to assess participant agreement or disagreement with a set of statements. It is employed to assess elements related to employee engagement, such as motivation, job satisfaction, and attitudes towards GHRM procedures. Participants may be asked to rate statements like "I am satisfied with my job" on a scale from 1 (strongly disagree) to 5 (strongly agree) in order to determine how much they agree with the statement.</w:t>
      </w:r>
      <w:r w:rsidR="006671CB" w:rsidRPr="006671CB">
        <w:rPr>
          <w:rFonts w:ascii="Times New Roman" w:hAnsi="Times New Roman" w:cs="Times New Roman"/>
          <w:bCs/>
          <w:sz w:val="24"/>
          <w:szCs w:val="28"/>
        </w:rPr>
        <w:t xml:space="preserve"> </w:t>
      </w:r>
      <w:r w:rsidRPr="001B0F1B">
        <w:rPr>
          <w:rFonts w:ascii="Times New Roman" w:hAnsi="Times New Roman" w:cs="Times New Roman"/>
          <w:bCs/>
          <w:sz w:val="24"/>
          <w:szCs w:val="28"/>
        </w:rPr>
        <w:t>Categorical scales can be used to collect demographic data. Participants can respond to inquiries on their gender, age group, employment function, educational attainment, and other attributes that are often assessed using category scales.</w:t>
      </w:r>
      <w:r w:rsidR="00C52DFB" w:rsidRPr="006671CB">
        <w:rPr>
          <w:rFonts w:ascii="Times New Roman" w:hAnsi="Times New Roman" w:cs="Times New Roman"/>
          <w:bCs/>
          <w:sz w:val="24"/>
          <w:szCs w:val="28"/>
        </w:rPr>
        <w:t xml:space="preserve"> </w:t>
      </w:r>
    </w:p>
    <w:p w14:paraId="4F1844E9" w14:textId="0E490200" w:rsidR="00C52DFB" w:rsidRPr="001729A3" w:rsidRDefault="00C52DFB" w:rsidP="00E072CB">
      <w:pPr>
        <w:pStyle w:val="ListParagraph"/>
        <w:numPr>
          <w:ilvl w:val="1"/>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lastRenderedPageBreak/>
        <w:t xml:space="preserve">Tools used for Data Analysis </w:t>
      </w:r>
    </w:p>
    <w:p w14:paraId="79E56B33" w14:textId="5A67DF64" w:rsidR="001729A3" w:rsidRPr="001729A3" w:rsidRDefault="001729A3" w:rsidP="00E072CB">
      <w:pPr>
        <w:pStyle w:val="ListParagraph"/>
        <w:numPr>
          <w:ilvl w:val="2"/>
          <w:numId w:val="27"/>
        </w:numPr>
        <w:spacing w:line="360" w:lineRule="auto"/>
        <w:jc w:val="both"/>
        <w:rPr>
          <w:rFonts w:ascii="Times New Roman" w:hAnsi="Times New Roman" w:cs="Times New Roman"/>
          <w:b/>
          <w:bCs/>
          <w:sz w:val="24"/>
          <w:szCs w:val="28"/>
        </w:rPr>
      </w:pPr>
      <w:r w:rsidRPr="001729A3">
        <w:rPr>
          <w:rFonts w:ascii="Times New Roman" w:hAnsi="Times New Roman" w:cs="Times New Roman"/>
          <w:b/>
          <w:bCs/>
          <w:sz w:val="24"/>
          <w:szCs w:val="28"/>
        </w:rPr>
        <w:t>Descriptive statistics</w:t>
      </w:r>
    </w:p>
    <w:p w14:paraId="0CE72A52" w14:textId="5A73B970" w:rsidR="00C52DFB" w:rsidRPr="00C52DFB" w:rsidRDefault="006154CD" w:rsidP="00E072CB">
      <w:pPr>
        <w:spacing w:line="360" w:lineRule="auto"/>
        <w:jc w:val="both"/>
        <w:rPr>
          <w:rFonts w:ascii="Times New Roman" w:hAnsi="Times New Roman" w:cs="Times New Roman"/>
          <w:bCs/>
          <w:sz w:val="24"/>
          <w:szCs w:val="28"/>
        </w:rPr>
      </w:pPr>
      <w:r w:rsidRPr="006154CD">
        <w:rPr>
          <w:rFonts w:ascii="Times New Roman" w:hAnsi="Times New Roman" w:cs="Times New Roman"/>
          <w:bCs/>
          <w:sz w:val="24"/>
          <w:szCs w:val="28"/>
        </w:rPr>
        <w:t>Descriptive statistics like the mean, median, and mode, which are used to uncover important trends, indicate the average, middle, and most common values of relevant data items. Pie charts, bar charts, and histograms are used to display data distribution; these are particularly useful for features related to employee performance and engagement. These visuals aid in the comprehension of the data's patterns and structure.</w:t>
      </w:r>
    </w:p>
    <w:p w14:paraId="0D553ED3" w14:textId="13BCCD41" w:rsidR="00C52DFB" w:rsidRPr="001729A3" w:rsidRDefault="001729A3" w:rsidP="00E072CB">
      <w:pPr>
        <w:pStyle w:val="ListParagraph"/>
        <w:numPr>
          <w:ilvl w:val="2"/>
          <w:numId w:val="27"/>
        </w:numPr>
        <w:spacing w:line="360" w:lineRule="auto"/>
        <w:jc w:val="both"/>
        <w:rPr>
          <w:rFonts w:ascii="Times New Roman" w:hAnsi="Times New Roman" w:cs="Times New Roman"/>
          <w:b/>
          <w:bCs/>
          <w:sz w:val="24"/>
          <w:szCs w:val="28"/>
        </w:rPr>
      </w:pPr>
      <w:r>
        <w:rPr>
          <w:rFonts w:ascii="Times New Roman" w:hAnsi="Times New Roman" w:cs="Times New Roman"/>
          <w:b/>
          <w:bCs/>
          <w:sz w:val="24"/>
          <w:szCs w:val="28"/>
        </w:rPr>
        <w:t>Inferential Statistics</w:t>
      </w:r>
    </w:p>
    <w:p w14:paraId="36FF82B6" w14:textId="54D07ACA" w:rsidR="00C52DFB" w:rsidRPr="00C52DFB" w:rsidRDefault="00021673" w:rsidP="00E072CB">
      <w:pPr>
        <w:spacing w:line="360" w:lineRule="auto"/>
        <w:jc w:val="both"/>
        <w:rPr>
          <w:rFonts w:ascii="Times New Roman" w:hAnsi="Times New Roman" w:cs="Times New Roman"/>
          <w:bCs/>
          <w:sz w:val="24"/>
          <w:szCs w:val="28"/>
        </w:rPr>
      </w:pPr>
      <w:r w:rsidRPr="00021673">
        <w:rPr>
          <w:rFonts w:ascii="Times New Roman" w:hAnsi="Times New Roman" w:cs="Times New Roman"/>
          <w:bCs/>
          <w:sz w:val="24"/>
          <w:szCs w:val="28"/>
        </w:rPr>
        <w:t>The study employed hypothesis testing strategies including chi-square tests to evaluate research hypotheses and determine the significance of relationships and differences in the data. Logistic regression studies are employed to understand the relationships between variables, particularly those related to GHRM practices, employee engagement, and performance. The study analysed the data scientifically, produced visualisations, and drew conclusions using professional statistical software packages like SPSS.</w:t>
      </w:r>
    </w:p>
    <w:p w14:paraId="297D7F8F" w14:textId="19A49211" w:rsidR="00C52DFB" w:rsidRPr="00044232" w:rsidRDefault="00C52DFB" w:rsidP="00E072CB">
      <w:pPr>
        <w:pStyle w:val="ListParagraph"/>
        <w:numPr>
          <w:ilvl w:val="0"/>
          <w:numId w:val="27"/>
        </w:numPr>
        <w:spacing w:line="360" w:lineRule="auto"/>
        <w:jc w:val="both"/>
        <w:rPr>
          <w:rFonts w:ascii="Times New Roman" w:hAnsi="Times New Roman" w:cs="Times New Roman"/>
          <w:b/>
          <w:bCs/>
          <w:sz w:val="24"/>
          <w:szCs w:val="28"/>
        </w:rPr>
      </w:pPr>
      <w:r w:rsidRPr="00044232">
        <w:rPr>
          <w:rFonts w:ascii="Times New Roman" w:hAnsi="Times New Roman" w:cs="Times New Roman"/>
          <w:b/>
          <w:bCs/>
          <w:sz w:val="24"/>
          <w:szCs w:val="28"/>
        </w:rPr>
        <w:t xml:space="preserve">RESULT AND DISCUSSION </w:t>
      </w:r>
    </w:p>
    <w:p w14:paraId="44C6BB22" w14:textId="2E6021FD" w:rsidR="00C52DFB" w:rsidRPr="00044232" w:rsidRDefault="00C52DFB" w:rsidP="00E072CB">
      <w:pPr>
        <w:pStyle w:val="ListParagraph"/>
        <w:numPr>
          <w:ilvl w:val="1"/>
          <w:numId w:val="27"/>
        </w:numPr>
        <w:spacing w:after="200" w:line="360" w:lineRule="auto"/>
        <w:jc w:val="both"/>
        <w:rPr>
          <w:rFonts w:ascii="Times New Roman" w:hAnsi="Times New Roman" w:cs="Times New Roman"/>
          <w:b/>
          <w:sz w:val="24"/>
          <w:szCs w:val="24"/>
        </w:rPr>
      </w:pPr>
      <w:r w:rsidRPr="00044232">
        <w:rPr>
          <w:rFonts w:ascii="Times New Roman" w:hAnsi="Times New Roman" w:cs="Times New Roman"/>
          <w:b/>
          <w:sz w:val="24"/>
          <w:szCs w:val="24"/>
        </w:rPr>
        <w:t xml:space="preserve">Descriptive statistics </w:t>
      </w:r>
    </w:p>
    <w:p w14:paraId="1705DD4C" w14:textId="1AE9A8ED" w:rsidR="00C52DFB" w:rsidRDefault="001002B4" w:rsidP="00E072CB">
      <w:pPr>
        <w:spacing w:line="360" w:lineRule="auto"/>
        <w:jc w:val="both"/>
        <w:rPr>
          <w:rFonts w:ascii="Times New Roman" w:hAnsi="Times New Roman" w:cs="Times New Roman"/>
          <w:sz w:val="24"/>
          <w:szCs w:val="24"/>
        </w:rPr>
      </w:pPr>
      <w:r w:rsidRPr="001002B4">
        <w:rPr>
          <w:rFonts w:ascii="Times New Roman" w:hAnsi="Times New Roman" w:cs="Times New Roman"/>
          <w:sz w:val="24"/>
          <w:szCs w:val="24"/>
        </w:rPr>
        <w:t>Table 1 displays the descriptive results of the research sample.</w:t>
      </w:r>
    </w:p>
    <w:p w14:paraId="57076D32" w14:textId="02F92CB2" w:rsidR="00C52DFB" w:rsidRDefault="00E072CB" w:rsidP="00E072CB">
      <w:pPr>
        <w:spacing w:line="360" w:lineRule="auto"/>
        <w:jc w:val="center"/>
        <w:rPr>
          <w:rFonts w:ascii="Times New Roman" w:hAnsi="Times New Roman" w:cs="Times New Roman"/>
          <w:sz w:val="24"/>
          <w:szCs w:val="24"/>
        </w:rPr>
      </w:pPr>
      <w:r>
        <w:rPr>
          <w:rFonts w:ascii="Times New Roman" w:hAnsi="Times New Roman" w:cs="Times New Roman"/>
          <w:b/>
          <w:sz w:val="24"/>
          <w:szCs w:val="24"/>
        </w:rPr>
        <w:t>Table 2</w:t>
      </w:r>
      <w:r w:rsidR="00C52DFB" w:rsidRPr="00B5779E">
        <w:rPr>
          <w:rFonts w:ascii="Times New Roman" w:hAnsi="Times New Roman" w:cs="Times New Roman"/>
          <w:b/>
          <w:sz w:val="24"/>
          <w:szCs w:val="24"/>
        </w:rPr>
        <w:t>:</w:t>
      </w:r>
      <w:r w:rsidR="00C52DFB">
        <w:rPr>
          <w:rFonts w:ascii="Times New Roman" w:hAnsi="Times New Roman" w:cs="Times New Roman"/>
          <w:sz w:val="24"/>
          <w:szCs w:val="24"/>
        </w:rPr>
        <w:t xml:space="preserve"> Descriptive Results</w:t>
      </w:r>
    </w:p>
    <w:tbl>
      <w:tblPr>
        <w:tblStyle w:val="TableGrid"/>
        <w:tblW w:w="0" w:type="auto"/>
        <w:jc w:val="center"/>
        <w:tblLook w:val="04A0" w:firstRow="1" w:lastRow="0" w:firstColumn="1" w:lastColumn="0" w:noHBand="0" w:noVBand="1"/>
      </w:tblPr>
      <w:tblGrid>
        <w:gridCol w:w="3277"/>
        <w:gridCol w:w="1560"/>
        <w:gridCol w:w="1345"/>
      </w:tblGrid>
      <w:tr w:rsidR="00C52DFB" w14:paraId="4AB5D43C" w14:textId="77777777" w:rsidTr="00533EFB">
        <w:trPr>
          <w:jc w:val="center"/>
        </w:trPr>
        <w:tc>
          <w:tcPr>
            <w:tcW w:w="3277" w:type="dxa"/>
          </w:tcPr>
          <w:p w14:paraId="52F50708" w14:textId="77777777" w:rsidR="00C52DFB" w:rsidRPr="00E82BB5" w:rsidRDefault="00C52DFB" w:rsidP="00E072CB">
            <w:pPr>
              <w:spacing w:line="360" w:lineRule="auto"/>
              <w:jc w:val="both"/>
              <w:rPr>
                <w:rFonts w:ascii="Times New Roman" w:hAnsi="Times New Roman" w:cs="Times New Roman"/>
                <w:b/>
                <w:sz w:val="24"/>
                <w:szCs w:val="24"/>
              </w:rPr>
            </w:pPr>
            <w:r w:rsidRPr="00E82BB5">
              <w:rPr>
                <w:rFonts w:ascii="Times New Roman" w:hAnsi="Times New Roman" w:cs="Times New Roman"/>
                <w:b/>
                <w:sz w:val="24"/>
                <w:szCs w:val="24"/>
              </w:rPr>
              <w:t>Characteristics</w:t>
            </w:r>
          </w:p>
        </w:tc>
        <w:tc>
          <w:tcPr>
            <w:tcW w:w="1560" w:type="dxa"/>
          </w:tcPr>
          <w:p w14:paraId="1D1B9F04" w14:textId="77777777" w:rsidR="00C52DFB" w:rsidRPr="00E82BB5" w:rsidRDefault="00C52DFB" w:rsidP="00E072CB">
            <w:pPr>
              <w:spacing w:line="360" w:lineRule="auto"/>
              <w:jc w:val="both"/>
              <w:rPr>
                <w:rFonts w:ascii="Times New Roman" w:hAnsi="Times New Roman" w:cs="Times New Roman"/>
                <w:b/>
                <w:sz w:val="24"/>
                <w:szCs w:val="24"/>
              </w:rPr>
            </w:pPr>
            <w:r w:rsidRPr="00E82BB5">
              <w:rPr>
                <w:rFonts w:ascii="Times New Roman" w:hAnsi="Times New Roman" w:cs="Times New Roman"/>
                <w:b/>
                <w:sz w:val="24"/>
                <w:szCs w:val="24"/>
              </w:rPr>
              <w:t>Frequency</w:t>
            </w:r>
          </w:p>
        </w:tc>
        <w:tc>
          <w:tcPr>
            <w:tcW w:w="1345" w:type="dxa"/>
          </w:tcPr>
          <w:p w14:paraId="47B01F84" w14:textId="77777777" w:rsidR="00C52DFB" w:rsidRPr="00E82BB5" w:rsidRDefault="00C52DFB" w:rsidP="00E072CB">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r>
      <w:tr w:rsidR="00C52DFB" w14:paraId="403AA56D" w14:textId="77777777" w:rsidTr="00533EFB">
        <w:trPr>
          <w:trHeight w:val="210"/>
          <w:jc w:val="center"/>
        </w:trPr>
        <w:tc>
          <w:tcPr>
            <w:tcW w:w="6182" w:type="dxa"/>
            <w:gridSpan w:val="3"/>
            <w:tcBorders>
              <w:bottom w:val="single" w:sz="4" w:space="0" w:color="auto"/>
            </w:tcBorders>
          </w:tcPr>
          <w:p w14:paraId="3C9BCE00" w14:textId="77777777" w:rsidR="00C52DFB" w:rsidRPr="005A7007" w:rsidRDefault="00C52DFB" w:rsidP="00E072CB">
            <w:pPr>
              <w:spacing w:line="360" w:lineRule="auto"/>
              <w:jc w:val="both"/>
              <w:rPr>
                <w:rFonts w:ascii="Times New Roman" w:hAnsi="Times New Roman" w:cs="Times New Roman"/>
                <w:b/>
                <w:sz w:val="24"/>
                <w:szCs w:val="24"/>
              </w:rPr>
            </w:pPr>
            <w:r w:rsidRPr="005A7007">
              <w:rPr>
                <w:rFonts w:ascii="Times New Roman" w:hAnsi="Times New Roman" w:cs="Times New Roman"/>
                <w:b/>
                <w:sz w:val="24"/>
                <w:szCs w:val="24"/>
              </w:rPr>
              <w:t>Gender</w:t>
            </w:r>
          </w:p>
        </w:tc>
      </w:tr>
      <w:tr w:rsidR="00C52DFB" w14:paraId="22086DF0" w14:textId="77777777" w:rsidTr="00533EFB">
        <w:trPr>
          <w:trHeight w:val="240"/>
          <w:jc w:val="center"/>
        </w:trPr>
        <w:tc>
          <w:tcPr>
            <w:tcW w:w="3277" w:type="dxa"/>
            <w:tcBorders>
              <w:top w:val="single" w:sz="4" w:space="0" w:color="auto"/>
              <w:bottom w:val="single" w:sz="4" w:space="0" w:color="auto"/>
            </w:tcBorders>
          </w:tcPr>
          <w:p w14:paraId="24E90EC1"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560" w:type="dxa"/>
            <w:tcBorders>
              <w:top w:val="single" w:sz="4" w:space="0" w:color="auto"/>
              <w:bottom w:val="single" w:sz="4" w:space="0" w:color="auto"/>
            </w:tcBorders>
          </w:tcPr>
          <w:p w14:paraId="1BE7D8E2" w14:textId="05A31A1E"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1345" w:type="dxa"/>
            <w:tcBorders>
              <w:top w:val="single" w:sz="4" w:space="0" w:color="auto"/>
              <w:bottom w:val="single" w:sz="4" w:space="0" w:color="auto"/>
            </w:tcBorders>
          </w:tcPr>
          <w:p w14:paraId="2878169E" w14:textId="0E04912E"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C52DFB" w14:paraId="479EFCD1" w14:textId="77777777" w:rsidTr="00533EFB">
        <w:trPr>
          <w:trHeight w:val="165"/>
          <w:jc w:val="center"/>
        </w:trPr>
        <w:tc>
          <w:tcPr>
            <w:tcW w:w="3277" w:type="dxa"/>
            <w:tcBorders>
              <w:top w:val="single" w:sz="4" w:space="0" w:color="auto"/>
            </w:tcBorders>
          </w:tcPr>
          <w:p w14:paraId="386E4F0E"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560" w:type="dxa"/>
            <w:tcBorders>
              <w:top w:val="single" w:sz="4" w:space="0" w:color="auto"/>
            </w:tcBorders>
          </w:tcPr>
          <w:p w14:paraId="7ADB8EC5" w14:textId="3B0208CE"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1345" w:type="dxa"/>
            <w:tcBorders>
              <w:top w:val="single" w:sz="4" w:space="0" w:color="auto"/>
            </w:tcBorders>
          </w:tcPr>
          <w:p w14:paraId="54010EBB" w14:textId="5B1B1A64"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p>
        </w:tc>
      </w:tr>
      <w:tr w:rsidR="00C52DFB" w14:paraId="27AB950F" w14:textId="77777777" w:rsidTr="00533EFB">
        <w:trPr>
          <w:jc w:val="center"/>
        </w:trPr>
        <w:tc>
          <w:tcPr>
            <w:tcW w:w="6182" w:type="dxa"/>
            <w:gridSpan w:val="3"/>
          </w:tcPr>
          <w:p w14:paraId="3955B272" w14:textId="77777777" w:rsidR="00C52DFB" w:rsidRPr="005A7007" w:rsidRDefault="00C52DFB" w:rsidP="00E072CB">
            <w:pPr>
              <w:spacing w:line="360" w:lineRule="auto"/>
              <w:jc w:val="both"/>
              <w:rPr>
                <w:rFonts w:ascii="Times New Roman" w:hAnsi="Times New Roman" w:cs="Times New Roman"/>
                <w:b/>
                <w:sz w:val="24"/>
                <w:szCs w:val="24"/>
              </w:rPr>
            </w:pPr>
            <w:r w:rsidRPr="005A7007">
              <w:rPr>
                <w:rFonts w:ascii="Times New Roman" w:hAnsi="Times New Roman" w:cs="Times New Roman"/>
                <w:b/>
                <w:sz w:val="24"/>
                <w:szCs w:val="24"/>
              </w:rPr>
              <w:t>Age</w:t>
            </w:r>
          </w:p>
        </w:tc>
      </w:tr>
      <w:tr w:rsidR="00C52DFB" w14:paraId="7B8956F8" w14:textId="77777777" w:rsidTr="00533EFB">
        <w:trPr>
          <w:jc w:val="center"/>
        </w:trPr>
        <w:tc>
          <w:tcPr>
            <w:tcW w:w="3277" w:type="dxa"/>
          </w:tcPr>
          <w:p w14:paraId="7C822B86" w14:textId="6FF5B4F1"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20-30</w:t>
            </w:r>
          </w:p>
        </w:tc>
        <w:tc>
          <w:tcPr>
            <w:tcW w:w="1560" w:type="dxa"/>
          </w:tcPr>
          <w:p w14:paraId="28CCB409" w14:textId="5818A877"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345" w:type="dxa"/>
          </w:tcPr>
          <w:p w14:paraId="50237697" w14:textId="77288746"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C52DFB" w14:paraId="3338666C" w14:textId="77777777" w:rsidTr="00533EFB">
        <w:trPr>
          <w:jc w:val="center"/>
        </w:trPr>
        <w:tc>
          <w:tcPr>
            <w:tcW w:w="3277" w:type="dxa"/>
          </w:tcPr>
          <w:p w14:paraId="5EDA594F" w14:textId="402B72D8"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30-40</w:t>
            </w:r>
          </w:p>
        </w:tc>
        <w:tc>
          <w:tcPr>
            <w:tcW w:w="1560" w:type="dxa"/>
          </w:tcPr>
          <w:p w14:paraId="79A11738" w14:textId="3E787256"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1345" w:type="dxa"/>
          </w:tcPr>
          <w:p w14:paraId="3404B249" w14:textId="68DA8316"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r>
      <w:tr w:rsidR="00C52DFB" w14:paraId="30DFD72D" w14:textId="77777777" w:rsidTr="00533EFB">
        <w:trPr>
          <w:jc w:val="center"/>
        </w:trPr>
        <w:tc>
          <w:tcPr>
            <w:tcW w:w="3277" w:type="dxa"/>
          </w:tcPr>
          <w:p w14:paraId="15BE1727" w14:textId="0EA679D6"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Above 40</w:t>
            </w:r>
          </w:p>
        </w:tc>
        <w:tc>
          <w:tcPr>
            <w:tcW w:w="1560" w:type="dxa"/>
          </w:tcPr>
          <w:p w14:paraId="388AE572" w14:textId="4503D112"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345" w:type="dxa"/>
          </w:tcPr>
          <w:p w14:paraId="43911BAF" w14:textId="21E3CA2C"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52DFB" w14:paraId="293B9F65" w14:textId="77777777" w:rsidTr="00533EFB">
        <w:trPr>
          <w:jc w:val="center"/>
        </w:trPr>
        <w:tc>
          <w:tcPr>
            <w:tcW w:w="6182" w:type="dxa"/>
            <w:gridSpan w:val="3"/>
          </w:tcPr>
          <w:p w14:paraId="1B230320" w14:textId="77777777" w:rsidR="00C52DFB" w:rsidRPr="005A7007" w:rsidRDefault="00C52DFB" w:rsidP="00E072CB">
            <w:pPr>
              <w:spacing w:line="360" w:lineRule="auto"/>
              <w:jc w:val="both"/>
              <w:rPr>
                <w:rFonts w:ascii="Times New Roman" w:hAnsi="Times New Roman" w:cs="Times New Roman"/>
                <w:b/>
                <w:sz w:val="24"/>
                <w:szCs w:val="24"/>
              </w:rPr>
            </w:pPr>
            <w:r w:rsidRPr="005A7007">
              <w:rPr>
                <w:rFonts w:ascii="Times New Roman" w:hAnsi="Times New Roman" w:cs="Times New Roman"/>
                <w:b/>
                <w:sz w:val="24"/>
                <w:szCs w:val="24"/>
              </w:rPr>
              <w:t>Educational qualification</w:t>
            </w:r>
          </w:p>
        </w:tc>
      </w:tr>
      <w:tr w:rsidR="00C52DFB" w14:paraId="3989818D" w14:textId="77777777" w:rsidTr="00533EFB">
        <w:trPr>
          <w:jc w:val="center"/>
        </w:trPr>
        <w:tc>
          <w:tcPr>
            <w:tcW w:w="3277" w:type="dxa"/>
          </w:tcPr>
          <w:p w14:paraId="6F5EA514" w14:textId="1275D04C"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Bachelor</w:t>
            </w:r>
          </w:p>
        </w:tc>
        <w:tc>
          <w:tcPr>
            <w:tcW w:w="1560" w:type="dxa"/>
          </w:tcPr>
          <w:p w14:paraId="1CEFE3BC" w14:textId="2DC71C11"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345" w:type="dxa"/>
          </w:tcPr>
          <w:p w14:paraId="3A005354" w14:textId="0D999F21"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00C52DFB">
              <w:rPr>
                <w:rFonts w:ascii="Times New Roman" w:hAnsi="Times New Roman" w:cs="Times New Roman"/>
                <w:sz w:val="24"/>
                <w:szCs w:val="24"/>
              </w:rPr>
              <w:t>%</w:t>
            </w:r>
          </w:p>
        </w:tc>
      </w:tr>
      <w:tr w:rsidR="00C52DFB" w14:paraId="0D99ACB1" w14:textId="77777777" w:rsidTr="00533EFB">
        <w:trPr>
          <w:jc w:val="center"/>
        </w:trPr>
        <w:tc>
          <w:tcPr>
            <w:tcW w:w="3277" w:type="dxa"/>
          </w:tcPr>
          <w:p w14:paraId="6B3BD55D" w14:textId="26C87A7A" w:rsidR="00C52DFB" w:rsidRPr="00012E75"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Masters</w:t>
            </w:r>
          </w:p>
        </w:tc>
        <w:tc>
          <w:tcPr>
            <w:tcW w:w="1560" w:type="dxa"/>
          </w:tcPr>
          <w:p w14:paraId="71753423" w14:textId="4A8C9550"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345" w:type="dxa"/>
          </w:tcPr>
          <w:p w14:paraId="385E1D60" w14:textId="14D7256A"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C52DFB">
              <w:rPr>
                <w:rFonts w:ascii="Times New Roman" w:hAnsi="Times New Roman" w:cs="Times New Roman"/>
                <w:sz w:val="24"/>
                <w:szCs w:val="24"/>
              </w:rPr>
              <w:t>%</w:t>
            </w:r>
          </w:p>
        </w:tc>
      </w:tr>
      <w:tr w:rsidR="00C52DFB" w14:paraId="2DF25CDB" w14:textId="77777777" w:rsidTr="00533EFB">
        <w:trPr>
          <w:jc w:val="center"/>
        </w:trPr>
        <w:tc>
          <w:tcPr>
            <w:tcW w:w="3277" w:type="dxa"/>
          </w:tcPr>
          <w:p w14:paraId="5B82BA59" w14:textId="2E40E7BD" w:rsidR="00C52DFB" w:rsidRDefault="004C6977"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Ph.D</w:t>
            </w:r>
            <w:r w:rsidR="00533EFB">
              <w:rPr>
                <w:rFonts w:ascii="Times New Roman" w:hAnsi="Times New Roman" w:cs="Times New Roman"/>
                <w:sz w:val="24"/>
                <w:szCs w:val="24"/>
              </w:rPr>
              <w:t>.</w:t>
            </w:r>
          </w:p>
        </w:tc>
        <w:tc>
          <w:tcPr>
            <w:tcW w:w="1560" w:type="dxa"/>
          </w:tcPr>
          <w:p w14:paraId="4133BD14" w14:textId="0E48EF70" w:rsidR="00C52DFB" w:rsidRDefault="00044232"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345" w:type="dxa"/>
          </w:tcPr>
          <w:p w14:paraId="78E96C72" w14:textId="463D6377" w:rsidR="00C52DFB" w:rsidRDefault="00533E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C52DFB">
              <w:rPr>
                <w:rFonts w:ascii="Times New Roman" w:hAnsi="Times New Roman" w:cs="Times New Roman"/>
                <w:sz w:val="24"/>
                <w:szCs w:val="24"/>
              </w:rPr>
              <w:t>0%</w:t>
            </w:r>
          </w:p>
        </w:tc>
      </w:tr>
    </w:tbl>
    <w:p w14:paraId="6491979C" w14:textId="77777777" w:rsidR="00C52DFB" w:rsidRDefault="00C52DFB" w:rsidP="00E072CB">
      <w:pPr>
        <w:spacing w:line="360" w:lineRule="auto"/>
        <w:jc w:val="both"/>
        <w:rPr>
          <w:rFonts w:ascii="Times New Roman" w:hAnsi="Times New Roman" w:cs="Times New Roman"/>
          <w:sz w:val="24"/>
          <w:szCs w:val="24"/>
        </w:rPr>
      </w:pPr>
    </w:p>
    <w:p w14:paraId="40723AC0" w14:textId="1CC2FF32" w:rsidR="00C52DFB" w:rsidRDefault="00C52DFB" w:rsidP="00E072CB">
      <w:pPr>
        <w:spacing w:line="360" w:lineRule="auto"/>
        <w:jc w:val="both"/>
        <w:rPr>
          <w:rFonts w:ascii="Times New Roman" w:hAnsi="Times New Roman" w:cs="Times New Roman"/>
          <w:sz w:val="24"/>
          <w:szCs w:val="24"/>
        </w:rPr>
      </w:pPr>
    </w:p>
    <w:p w14:paraId="29D8F468" w14:textId="222C081D" w:rsidR="00044232" w:rsidRDefault="00044232" w:rsidP="00E072CB">
      <w:pPr>
        <w:spacing w:line="360" w:lineRule="auto"/>
        <w:jc w:val="center"/>
        <w:rPr>
          <w:rFonts w:ascii="Times New Roman" w:hAnsi="Times New Roman" w:cs="Times New Roman"/>
          <w:sz w:val="24"/>
          <w:szCs w:val="24"/>
        </w:rPr>
      </w:pPr>
      <w:r>
        <w:rPr>
          <w:noProof/>
          <w:lang w:val="en-US"/>
        </w:rPr>
        <w:drawing>
          <wp:inline distT="0" distB="0" distL="0" distR="0" wp14:anchorId="0E3FF823" wp14:editId="670EBCAE">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44B3FC" w14:textId="77777777" w:rsidR="00C52DFB" w:rsidRDefault="00C52DFB" w:rsidP="00E072CB">
      <w:pPr>
        <w:spacing w:line="360" w:lineRule="auto"/>
        <w:jc w:val="center"/>
        <w:rPr>
          <w:rFonts w:ascii="Times New Roman" w:hAnsi="Times New Roman" w:cs="Times New Roman"/>
          <w:sz w:val="24"/>
          <w:szCs w:val="24"/>
        </w:rPr>
      </w:pPr>
      <w:r w:rsidRPr="00EE1823">
        <w:rPr>
          <w:rFonts w:ascii="Times New Roman" w:hAnsi="Times New Roman" w:cs="Times New Roman"/>
          <w:b/>
          <w:sz w:val="24"/>
          <w:szCs w:val="24"/>
        </w:rPr>
        <w:t>Figure 1:</w:t>
      </w:r>
      <w:r w:rsidRPr="00E410AF">
        <w:rPr>
          <w:rFonts w:ascii="Times New Roman" w:hAnsi="Times New Roman" w:cs="Times New Roman"/>
          <w:sz w:val="24"/>
          <w:szCs w:val="24"/>
        </w:rPr>
        <w:t xml:space="preserve"> Graph showing the percentage of descriptive results</w:t>
      </w:r>
    </w:p>
    <w:p w14:paraId="3B69505A" w14:textId="6E6C7203" w:rsidR="00044232" w:rsidRDefault="00044232" w:rsidP="00E072CB">
      <w:pPr>
        <w:spacing w:line="360" w:lineRule="auto"/>
        <w:jc w:val="both"/>
        <w:rPr>
          <w:rFonts w:ascii="Times New Roman" w:hAnsi="Times New Roman" w:cs="Times New Roman"/>
          <w:sz w:val="24"/>
          <w:szCs w:val="24"/>
        </w:rPr>
      </w:pPr>
      <w:r w:rsidRPr="00044232">
        <w:rPr>
          <w:rFonts w:ascii="Times New Roman" w:hAnsi="Times New Roman" w:cs="Times New Roman"/>
          <w:sz w:val="24"/>
          <w:szCs w:val="24"/>
        </w:rPr>
        <w:t xml:space="preserve">Table </w:t>
      </w:r>
      <w:r w:rsidR="00E072CB">
        <w:rPr>
          <w:rFonts w:ascii="Times New Roman" w:hAnsi="Times New Roman" w:cs="Times New Roman"/>
          <w:sz w:val="24"/>
          <w:szCs w:val="24"/>
        </w:rPr>
        <w:t>2</w:t>
      </w:r>
      <w:r w:rsidRPr="00044232">
        <w:rPr>
          <w:rFonts w:ascii="Times New Roman" w:hAnsi="Times New Roman" w:cs="Times New Roman"/>
          <w:sz w:val="24"/>
          <w:szCs w:val="24"/>
        </w:rPr>
        <w:t xml:space="preserve"> provides the descriptive results of the study, highlighting the key characteristics of the participants in terms of gender, age, and educational qualification. The table shows a gender distribution where 66 participants (33%) are male, while 134 participants (67%) are female. Regarding age groups, the majority of participants fall within the 30-40 age range, with 130 individuals (65%), followed by 40 participants (20%) in the 20-30 age group and 30 participants (15%) above the age of 40.</w:t>
      </w:r>
      <w:r>
        <w:rPr>
          <w:rFonts w:ascii="Times New Roman" w:hAnsi="Times New Roman" w:cs="Times New Roman"/>
          <w:sz w:val="24"/>
          <w:szCs w:val="24"/>
        </w:rPr>
        <w:t xml:space="preserve"> </w:t>
      </w:r>
      <w:r w:rsidRPr="00044232">
        <w:rPr>
          <w:rFonts w:ascii="Times New Roman" w:hAnsi="Times New Roman" w:cs="Times New Roman"/>
          <w:sz w:val="24"/>
          <w:szCs w:val="24"/>
        </w:rPr>
        <w:t>In terms of educational qualification, it's observed that 100 participants (50%) hold a Bachelor's degree, 40 participants (20%) have completed a Master's degree, and 60 participants (30%) have achieved a Ph.D. qualification.</w:t>
      </w:r>
    </w:p>
    <w:p w14:paraId="7F56B3EE" w14:textId="25FAD2B9" w:rsidR="00C52DFB" w:rsidRPr="00B40433" w:rsidRDefault="00C52DFB" w:rsidP="00E072CB">
      <w:pPr>
        <w:pStyle w:val="ListParagraph"/>
        <w:numPr>
          <w:ilvl w:val="1"/>
          <w:numId w:val="27"/>
        </w:numPr>
        <w:spacing w:after="200" w:line="360" w:lineRule="auto"/>
        <w:jc w:val="both"/>
        <w:rPr>
          <w:rFonts w:ascii="Times New Roman" w:hAnsi="Times New Roman" w:cs="Times New Roman"/>
          <w:b/>
          <w:sz w:val="24"/>
          <w:szCs w:val="24"/>
        </w:rPr>
      </w:pPr>
      <w:r w:rsidRPr="00B40433">
        <w:rPr>
          <w:rFonts w:ascii="Times New Roman" w:hAnsi="Times New Roman" w:cs="Times New Roman"/>
          <w:b/>
          <w:sz w:val="24"/>
          <w:szCs w:val="24"/>
        </w:rPr>
        <w:t xml:space="preserve">Reliability test </w:t>
      </w:r>
    </w:p>
    <w:p w14:paraId="3C41B20A" w14:textId="18EA7B64" w:rsidR="00C52DFB" w:rsidRDefault="001002B4" w:rsidP="00E072CB">
      <w:pPr>
        <w:spacing w:line="360" w:lineRule="auto"/>
        <w:jc w:val="both"/>
        <w:rPr>
          <w:rFonts w:ascii="Times New Roman" w:hAnsi="Times New Roman" w:cs="Times New Roman"/>
          <w:sz w:val="24"/>
          <w:szCs w:val="24"/>
        </w:rPr>
      </w:pPr>
      <w:r w:rsidRPr="001002B4">
        <w:rPr>
          <w:rFonts w:ascii="Times New Roman" w:hAnsi="Times New Roman" w:cs="Times New Roman"/>
          <w:sz w:val="24"/>
          <w:szCs w:val="24"/>
        </w:rPr>
        <w:t>The results of the Cronbach's Alpha reliability test are shown in Table 3.</w:t>
      </w:r>
    </w:p>
    <w:p w14:paraId="3F57F7C9" w14:textId="4DD2FBE4" w:rsidR="00C52DFB" w:rsidRDefault="00C52DFB" w:rsidP="00E072CB">
      <w:pPr>
        <w:spacing w:line="360" w:lineRule="auto"/>
        <w:jc w:val="center"/>
        <w:rPr>
          <w:rFonts w:ascii="Times New Roman" w:hAnsi="Times New Roman" w:cs="Times New Roman"/>
          <w:sz w:val="24"/>
          <w:szCs w:val="24"/>
        </w:rPr>
      </w:pPr>
      <w:r w:rsidRPr="00857205">
        <w:rPr>
          <w:rFonts w:ascii="Times New Roman" w:hAnsi="Times New Roman" w:cs="Times New Roman"/>
          <w:b/>
          <w:sz w:val="24"/>
          <w:szCs w:val="24"/>
        </w:rPr>
        <w:t xml:space="preserve">Table </w:t>
      </w:r>
      <w:r w:rsidR="00E072CB">
        <w:rPr>
          <w:rFonts w:ascii="Times New Roman" w:hAnsi="Times New Roman" w:cs="Times New Roman"/>
          <w:b/>
          <w:sz w:val="24"/>
          <w:szCs w:val="24"/>
        </w:rPr>
        <w:t>3</w:t>
      </w:r>
      <w:r w:rsidRPr="00857205">
        <w:rPr>
          <w:rFonts w:ascii="Times New Roman" w:hAnsi="Times New Roman" w:cs="Times New Roman"/>
          <w:b/>
          <w:sz w:val="24"/>
          <w:szCs w:val="24"/>
        </w:rPr>
        <w:t xml:space="preserve">: </w:t>
      </w:r>
      <w:r w:rsidRPr="00857205">
        <w:rPr>
          <w:rFonts w:ascii="Times New Roman" w:hAnsi="Times New Roman" w:cs="Times New Roman"/>
          <w:sz w:val="24"/>
          <w:szCs w:val="24"/>
        </w:rPr>
        <w:t>Cronbach's Alpha</w:t>
      </w:r>
    </w:p>
    <w:tbl>
      <w:tblPr>
        <w:tblStyle w:val="TableGrid"/>
        <w:tblW w:w="6878" w:type="dxa"/>
        <w:jc w:val="center"/>
        <w:tblLook w:val="04A0" w:firstRow="1" w:lastRow="0" w:firstColumn="1" w:lastColumn="0" w:noHBand="0" w:noVBand="1"/>
      </w:tblPr>
      <w:tblGrid>
        <w:gridCol w:w="2851"/>
        <w:gridCol w:w="2591"/>
        <w:gridCol w:w="1436"/>
      </w:tblGrid>
      <w:tr w:rsidR="00C52DFB" w:rsidRPr="00533EFB" w14:paraId="4DDE14EF" w14:textId="77777777" w:rsidTr="00C52DFB">
        <w:trPr>
          <w:jc w:val="center"/>
        </w:trPr>
        <w:tc>
          <w:tcPr>
            <w:tcW w:w="6878" w:type="dxa"/>
            <w:gridSpan w:val="3"/>
            <w:hideMark/>
          </w:tcPr>
          <w:p w14:paraId="2CC99ECE" w14:textId="77777777" w:rsidR="00C52DFB" w:rsidRPr="00533EFB" w:rsidRDefault="00C52DFB" w:rsidP="00E072CB">
            <w:pPr>
              <w:pStyle w:val="NoSpacing"/>
              <w:spacing w:line="360" w:lineRule="auto"/>
              <w:jc w:val="both"/>
              <w:rPr>
                <w:rFonts w:ascii="Times New Roman" w:hAnsi="Times New Roman" w:cs="Times New Roman"/>
                <w:b/>
                <w:sz w:val="24"/>
              </w:rPr>
            </w:pPr>
            <w:r w:rsidRPr="00533EFB">
              <w:rPr>
                <w:rFonts w:ascii="Times New Roman" w:hAnsi="Times New Roman" w:cs="Times New Roman"/>
                <w:b/>
                <w:sz w:val="24"/>
                <w:lang w:val="en-US"/>
              </w:rPr>
              <w:t>Reliability Statistics</w:t>
            </w:r>
          </w:p>
        </w:tc>
      </w:tr>
      <w:tr w:rsidR="00C52DFB" w:rsidRPr="00533EFB" w14:paraId="177596F8" w14:textId="77777777" w:rsidTr="00533EFB">
        <w:trPr>
          <w:jc w:val="center"/>
        </w:trPr>
        <w:tc>
          <w:tcPr>
            <w:tcW w:w="2652" w:type="dxa"/>
            <w:hideMark/>
          </w:tcPr>
          <w:p w14:paraId="5BD5F555" w14:textId="77777777" w:rsidR="00C52DFB" w:rsidRPr="00533EFB" w:rsidRDefault="00C52DFB" w:rsidP="00E072CB">
            <w:pPr>
              <w:pStyle w:val="NoSpacing"/>
              <w:spacing w:line="360" w:lineRule="auto"/>
              <w:jc w:val="both"/>
              <w:rPr>
                <w:rFonts w:ascii="Times New Roman" w:hAnsi="Times New Roman" w:cs="Times New Roman"/>
                <w:b/>
                <w:sz w:val="24"/>
              </w:rPr>
            </w:pPr>
            <w:r w:rsidRPr="00533EFB">
              <w:rPr>
                <w:rFonts w:ascii="Times New Roman" w:hAnsi="Times New Roman" w:cs="Times New Roman"/>
                <w:b/>
                <w:sz w:val="24"/>
              </w:rPr>
              <w:t>Research Variables</w:t>
            </w:r>
          </w:p>
        </w:tc>
        <w:tc>
          <w:tcPr>
            <w:tcW w:w="0" w:type="auto"/>
            <w:hideMark/>
          </w:tcPr>
          <w:p w14:paraId="3A3195EC" w14:textId="77777777" w:rsidR="00C52DFB" w:rsidRPr="00533EFB" w:rsidRDefault="00C52DFB" w:rsidP="00E072CB">
            <w:pPr>
              <w:pStyle w:val="NoSpacing"/>
              <w:spacing w:line="360" w:lineRule="auto"/>
              <w:jc w:val="both"/>
              <w:rPr>
                <w:rFonts w:ascii="Times New Roman" w:hAnsi="Times New Roman" w:cs="Times New Roman"/>
                <w:b/>
                <w:sz w:val="24"/>
              </w:rPr>
            </w:pPr>
            <w:r w:rsidRPr="00533EFB">
              <w:rPr>
                <w:rFonts w:ascii="Times New Roman" w:hAnsi="Times New Roman" w:cs="Times New Roman"/>
                <w:b/>
                <w:sz w:val="24"/>
              </w:rPr>
              <w:t>Observable Variables</w:t>
            </w:r>
          </w:p>
        </w:tc>
        <w:tc>
          <w:tcPr>
            <w:tcW w:w="0" w:type="auto"/>
            <w:hideMark/>
          </w:tcPr>
          <w:p w14:paraId="1B51429F" w14:textId="77777777" w:rsidR="00C52DFB" w:rsidRPr="00533EFB" w:rsidRDefault="00C52DFB" w:rsidP="00E072CB">
            <w:pPr>
              <w:pStyle w:val="NoSpacing"/>
              <w:spacing w:line="360" w:lineRule="auto"/>
              <w:jc w:val="both"/>
              <w:rPr>
                <w:rFonts w:ascii="Times New Roman" w:hAnsi="Times New Roman" w:cs="Times New Roman"/>
                <w:b/>
                <w:sz w:val="24"/>
              </w:rPr>
            </w:pPr>
            <w:r w:rsidRPr="00533EFB">
              <w:rPr>
                <w:rFonts w:ascii="Times New Roman" w:hAnsi="Times New Roman" w:cs="Times New Roman"/>
                <w:b/>
                <w:sz w:val="24"/>
              </w:rPr>
              <w:t>Coefficient</w:t>
            </w:r>
          </w:p>
        </w:tc>
      </w:tr>
      <w:tr w:rsidR="00C52DFB" w:rsidRPr="00533EFB" w14:paraId="0E965583" w14:textId="77777777" w:rsidTr="00533EFB">
        <w:trPr>
          <w:jc w:val="center"/>
        </w:trPr>
        <w:tc>
          <w:tcPr>
            <w:tcW w:w="2652" w:type="dxa"/>
          </w:tcPr>
          <w:p w14:paraId="152D6D55" w14:textId="28C66023" w:rsidR="00C52DFB" w:rsidRPr="00533EFB" w:rsidRDefault="00533EFB" w:rsidP="00E072CB">
            <w:pPr>
              <w:pStyle w:val="NoSpacing"/>
              <w:spacing w:line="360" w:lineRule="auto"/>
              <w:jc w:val="both"/>
              <w:rPr>
                <w:rFonts w:ascii="Times New Roman" w:hAnsi="Times New Roman" w:cs="Times New Roman"/>
                <w:sz w:val="24"/>
              </w:rPr>
            </w:pPr>
            <w:r w:rsidRPr="00533EFB">
              <w:rPr>
                <w:rFonts w:ascii="Times New Roman" w:hAnsi="Times New Roman" w:cs="Times New Roman"/>
                <w:sz w:val="24"/>
                <w:szCs w:val="28"/>
              </w:rPr>
              <w:t>Green Human Resource Management (GHRM) Practices</w:t>
            </w:r>
          </w:p>
        </w:tc>
        <w:tc>
          <w:tcPr>
            <w:tcW w:w="0" w:type="auto"/>
          </w:tcPr>
          <w:p w14:paraId="0AC80310" w14:textId="099A0F93" w:rsidR="00C52DFB" w:rsidRPr="00533EFB" w:rsidRDefault="00533EFB" w:rsidP="00E072CB">
            <w:pPr>
              <w:pStyle w:val="NoSpacing"/>
              <w:spacing w:line="360" w:lineRule="auto"/>
              <w:jc w:val="both"/>
              <w:rPr>
                <w:rFonts w:ascii="Times New Roman" w:hAnsi="Times New Roman" w:cs="Times New Roman"/>
                <w:sz w:val="24"/>
              </w:rPr>
            </w:pPr>
            <w:r>
              <w:rPr>
                <w:rFonts w:ascii="Times New Roman" w:hAnsi="Times New Roman" w:cs="Times New Roman"/>
                <w:sz w:val="24"/>
              </w:rPr>
              <w:t>5</w:t>
            </w:r>
          </w:p>
        </w:tc>
        <w:tc>
          <w:tcPr>
            <w:tcW w:w="0" w:type="auto"/>
            <w:hideMark/>
          </w:tcPr>
          <w:p w14:paraId="362A4498" w14:textId="77777777" w:rsidR="00C52DFB" w:rsidRPr="00533EFB" w:rsidRDefault="00C52DFB" w:rsidP="00E072CB">
            <w:pPr>
              <w:pStyle w:val="NoSpacing"/>
              <w:spacing w:line="360" w:lineRule="auto"/>
              <w:jc w:val="both"/>
              <w:rPr>
                <w:rFonts w:ascii="Times New Roman" w:hAnsi="Times New Roman" w:cs="Times New Roman"/>
                <w:sz w:val="24"/>
              </w:rPr>
            </w:pPr>
            <w:r w:rsidRPr="00533EFB">
              <w:rPr>
                <w:rFonts w:ascii="Times New Roman" w:hAnsi="Times New Roman" w:cs="Times New Roman"/>
                <w:sz w:val="24"/>
              </w:rPr>
              <w:t>0.898</w:t>
            </w:r>
          </w:p>
        </w:tc>
      </w:tr>
      <w:tr w:rsidR="00C52DFB" w:rsidRPr="00533EFB" w14:paraId="3E6DD529" w14:textId="77777777" w:rsidTr="00533EFB">
        <w:trPr>
          <w:jc w:val="center"/>
        </w:trPr>
        <w:tc>
          <w:tcPr>
            <w:tcW w:w="2652" w:type="dxa"/>
          </w:tcPr>
          <w:p w14:paraId="385B3159" w14:textId="1EEAD1C5" w:rsidR="00C52DFB" w:rsidRPr="00533EFB" w:rsidRDefault="00533EFB" w:rsidP="00E072CB">
            <w:pPr>
              <w:pStyle w:val="NoSpacing"/>
              <w:spacing w:line="360" w:lineRule="auto"/>
              <w:jc w:val="both"/>
              <w:rPr>
                <w:rFonts w:ascii="Times New Roman" w:hAnsi="Times New Roman" w:cs="Times New Roman"/>
                <w:sz w:val="24"/>
                <w:szCs w:val="28"/>
              </w:rPr>
            </w:pPr>
            <w:r w:rsidRPr="00533EFB">
              <w:rPr>
                <w:rFonts w:ascii="Times New Roman" w:hAnsi="Times New Roman" w:cs="Times New Roman"/>
                <w:sz w:val="24"/>
                <w:szCs w:val="28"/>
              </w:rPr>
              <w:lastRenderedPageBreak/>
              <w:t>Employee Performance</w:t>
            </w:r>
            <w:r>
              <w:rPr>
                <w:rFonts w:ascii="Times New Roman" w:hAnsi="Times New Roman" w:cs="Times New Roman"/>
                <w:sz w:val="24"/>
                <w:szCs w:val="28"/>
              </w:rPr>
              <w:t xml:space="preserve"> [EP]</w:t>
            </w:r>
          </w:p>
        </w:tc>
        <w:tc>
          <w:tcPr>
            <w:tcW w:w="0" w:type="auto"/>
          </w:tcPr>
          <w:p w14:paraId="1D80E3FF" w14:textId="76542B2D" w:rsidR="00C52DFB" w:rsidRPr="00533EFB" w:rsidRDefault="00533EFB" w:rsidP="00E072CB">
            <w:pPr>
              <w:pStyle w:val="NoSpacing"/>
              <w:spacing w:line="360" w:lineRule="auto"/>
              <w:jc w:val="both"/>
              <w:rPr>
                <w:rFonts w:ascii="Times New Roman" w:hAnsi="Times New Roman" w:cs="Times New Roman"/>
                <w:sz w:val="24"/>
              </w:rPr>
            </w:pPr>
            <w:r>
              <w:rPr>
                <w:rFonts w:ascii="Times New Roman" w:hAnsi="Times New Roman" w:cs="Times New Roman"/>
                <w:sz w:val="24"/>
              </w:rPr>
              <w:t>5</w:t>
            </w:r>
          </w:p>
        </w:tc>
        <w:tc>
          <w:tcPr>
            <w:tcW w:w="0" w:type="auto"/>
            <w:hideMark/>
          </w:tcPr>
          <w:p w14:paraId="74B77E1B" w14:textId="77777777" w:rsidR="00C52DFB" w:rsidRPr="00533EFB" w:rsidRDefault="00C52DFB" w:rsidP="00E072CB">
            <w:pPr>
              <w:pStyle w:val="NoSpacing"/>
              <w:spacing w:line="360" w:lineRule="auto"/>
              <w:jc w:val="both"/>
              <w:rPr>
                <w:rFonts w:ascii="Times New Roman" w:hAnsi="Times New Roman" w:cs="Times New Roman"/>
                <w:sz w:val="24"/>
              </w:rPr>
            </w:pPr>
            <w:r w:rsidRPr="00533EFB">
              <w:rPr>
                <w:rFonts w:ascii="Times New Roman" w:hAnsi="Times New Roman" w:cs="Times New Roman"/>
                <w:sz w:val="24"/>
              </w:rPr>
              <w:t>0.891</w:t>
            </w:r>
          </w:p>
        </w:tc>
      </w:tr>
      <w:tr w:rsidR="00C52DFB" w:rsidRPr="00533EFB" w14:paraId="6B0B9DD8" w14:textId="77777777" w:rsidTr="00533EFB">
        <w:trPr>
          <w:jc w:val="center"/>
        </w:trPr>
        <w:tc>
          <w:tcPr>
            <w:tcW w:w="2652" w:type="dxa"/>
          </w:tcPr>
          <w:p w14:paraId="4AE33F88" w14:textId="347B572F" w:rsidR="00533EFB" w:rsidRPr="00533EFB" w:rsidRDefault="00533EFB" w:rsidP="00E072CB">
            <w:pPr>
              <w:pStyle w:val="NoSpacing"/>
              <w:spacing w:line="360" w:lineRule="auto"/>
              <w:jc w:val="both"/>
              <w:rPr>
                <w:rFonts w:ascii="Times New Roman" w:hAnsi="Times New Roman" w:cs="Times New Roman"/>
                <w:sz w:val="24"/>
                <w:szCs w:val="28"/>
              </w:rPr>
            </w:pPr>
            <w:r w:rsidRPr="00533EFB">
              <w:rPr>
                <w:rFonts w:ascii="Times New Roman" w:hAnsi="Times New Roman" w:cs="Times New Roman"/>
                <w:sz w:val="24"/>
                <w:szCs w:val="28"/>
              </w:rPr>
              <w:t>Challenges or barriers faced in implementing green HR practices</w:t>
            </w:r>
            <w:r w:rsidR="0095620B">
              <w:rPr>
                <w:rFonts w:ascii="Times New Roman" w:hAnsi="Times New Roman" w:cs="Times New Roman"/>
                <w:sz w:val="24"/>
                <w:szCs w:val="28"/>
              </w:rPr>
              <w:t xml:space="preserve"> [CG</w:t>
            </w:r>
            <w:r>
              <w:rPr>
                <w:rFonts w:ascii="Times New Roman" w:hAnsi="Times New Roman" w:cs="Times New Roman"/>
                <w:sz w:val="24"/>
                <w:szCs w:val="28"/>
              </w:rPr>
              <w:t>HR</w:t>
            </w:r>
            <w:r w:rsidR="0095620B">
              <w:rPr>
                <w:rFonts w:ascii="Times New Roman" w:hAnsi="Times New Roman" w:cs="Times New Roman"/>
                <w:sz w:val="24"/>
                <w:szCs w:val="28"/>
              </w:rPr>
              <w:t>]</w:t>
            </w:r>
          </w:p>
          <w:p w14:paraId="16974968" w14:textId="7E24A981" w:rsidR="00C52DFB" w:rsidRPr="00533EFB" w:rsidRDefault="00C52DFB" w:rsidP="00E072CB">
            <w:pPr>
              <w:pStyle w:val="NoSpacing"/>
              <w:spacing w:line="360" w:lineRule="auto"/>
              <w:jc w:val="both"/>
              <w:rPr>
                <w:rFonts w:ascii="Times New Roman" w:hAnsi="Times New Roman" w:cs="Times New Roman"/>
                <w:sz w:val="24"/>
              </w:rPr>
            </w:pPr>
          </w:p>
        </w:tc>
        <w:tc>
          <w:tcPr>
            <w:tcW w:w="0" w:type="auto"/>
          </w:tcPr>
          <w:p w14:paraId="44E7E782" w14:textId="16096712" w:rsidR="00C52DFB" w:rsidRPr="00533EFB" w:rsidRDefault="00533EFB" w:rsidP="00E072CB">
            <w:pPr>
              <w:pStyle w:val="NoSpacing"/>
              <w:spacing w:line="360" w:lineRule="auto"/>
              <w:jc w:val="both"/>
              <w:rPr>
                <w:rFonts w:ascii="Times New Roman" w:hAnsi="Times New Roman" w:cs="Times New Roman"/>
                <w:sz w:val="24"/>
              </w:rPr>
            </w:pPr>
            <w:r>
              <w:rPr>
                <w:rFonts w:ascii="Times New Roman" w:hAnsi="Times New Roman" w:cs="Times New Roman"/>
                <w:sz w:val="24"/>
              </w:rPr>
              <w:t>5</w:t>
            </w:r>
          </w:p>
        </w:tc>
        <w:tc>
          <w:tcPr>
            <w:tcW w:w="0" w:type="auto"/>
            <w:hideMark/>
          </w:tcPr>
          <w:p w14:paraId="0FA94012" w14:textId="77777777" w:rsidR="00C52DFB" w:rsidRPr="00533EFB" w:rsidRDefault="00C52DFB" w:rsidP="00E072CB">
            <w:pPr>
              <w:pStyle w:val="NoSpacing"/>
              <w:spacing w:line="360" w:lineRule="auto"/>
              <w:jc w:val="both"/>
              <w:rPr>
                <w:rFonts w:ascii="Times New Roman" w:hAnsi="Times New Roman" w:cs="Times New Roman"/>
                <w:sz w:val="24"/>
              </w:rPr>
            </w:pPr>
            <w:r w:rsidRPr="00533EFB">
              <w:rPr>
                <w:rFonts w:ascii="Times New Roman" w:hAnsi="Times New Roman" w:cs="Times New Roman"/>
                <w:sz w:val="24"/>
              </w:rPr>
              <w:t>0.871</w:t>
            </w:r>
          </w:p>
        </w:tc>
      </w:tr>
    </w:tbl>
    <w:p w14:paraId="3773759E" w14:textId="77777777" w:rsidR="00C52DFB" w:rsidRDefault="00C52DFB" w:rsidP="00E072CB">
      <w:pPr>
        <w:spacing w:after="0" w:line="360" w:lineRule="auto"/>
        <w:jc w:val="both"/>
        <w:rPr>
          <w:rFonts w:ascii="Times New Roman" w:hAnsi="Times New Roman" w:cs="Times New Roman"/>
          <w:sz w:val="24"/>
          <w:szCs w:val="24"/>
        </w:rPr>
      </w:pPr>
    </w:p>
    <w:p w14:paraId="1D1D6563" w14:textId="3CF886B3" w:rsidR="00533EFB" w:rsidRDefault="00B40433" w:rsidP="00E072CB">
      <w:pPr>
        <w:spacing w:after="0" w:line="360" w:lineRule="auto"/>
        <w:jc w:val="center"/>
        <w:rPr>
          <w:rFonts w:ascii="Times New Roman" w:hAnsi="Times New Roman" w:cs="Times New Roman"/>
          <w:sz w:val="24"/>
          <w:szCs w:val="24"/>
        </w:rPr>
      </w:pPr>
      <w:r>
        <w:rPr>
          <w:noProof/>
          <w:lang w:val="en-US"/>
        </w:rPr>
        <w:drawing>
          <wp:inline distT="0" distB="0" distL="0" distR="0" wp14:anchorId="255458FF" wp14:editId="0338EBF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FA2337" w14:textId="32163F95" w:rsidR="00B40433" w:rsidRDefault="00B40433" w:rsidP="00E072CB">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w:t>
      </w:r>
      <w:r w:rsidRPr="00857205">
        <w:rPr>
          <w:rFonts w:ascii="Times New Roman" w:hAnsi="Times New Roman" w:cs="Times New Roman"/>
          <w:b/>
          <w:sz w:val="24"/>
          <w:szCs w:val="24"/>
        </w:rPr>
        <w:t xml:space="preserve">e 2: </w:t>
      </w:r>
      <w:r w:rsidRPr="00857205">
        <w:rPr>
          <w:rFonts w:ascii="Times New Roman" w:hAnsi="Times New Roman" w:cs="Times New Roman"/>
          <w:sz w:val="24"/>
          <w:szCs w:val="24"/>
        </w:rPr>
        <w:t>Cronbach's Alpha</w:t>
      </w:r>
    </w:p>
    <w:p w14:paraId="658E13DB" w14:textId="77777777" w:rsidR="00B40433" w:rsidRDefault="00B40433" w:rsidP="00E072CB">
      <w:pPr>
        <w:spacing w:line="360" w:lineRule="auto"/>
        <w:jc w:val="both"/>
        <w:rPr>
          <w:rFonts w:ascii="Times New Roman" w:hAnsi="Times New Roman" w:cs="Times New Roman"/>
          <w:sz w:val="24"/>
          <w:szCs w:val="24"/>
        </w:rPr>
      </w:pPr>
    </w:p>
    <w:p w14:paraId="20653424" w14:textId="1FE17091" w:rsidR="00B40433" w:rsidRDefault="001002B4" w:rsidP="00E072CB">
      <w:pPr>
        <w:spacing w:line="360" w:lineRule="auto"/>
        <w:jc w:val="both"/>
        <w:rPr>
          <w:rFonts w:ascii="Times New Roman" w:hAnsi="Times New Roman" w:cs="Times New Roman"/>
          <w:sz w:val="24"/>
          <w:szCs w:val="24"/>
        </w:rPr>
      </w:pPr>
      <w:r w:rsidRPr="001002B4">
        <w:rPr>
          <w:rFonts w:ascii="Times New Roman" w:hAnsi="Times New Roman" w:cs="Times New Roman"/>
          <w:sz w:val="24"/>
          <w:szCs w:val="24"/>
        </w:rPr>
        <w:t>The Cronbach's Alpha coefficient for the "Green Human Resource Management (GHRM) Practises" variable is 0.898. This high score suggests that the questions or items linked to GHRM practises are closely connected and successfully measure the same underlying idea since it shows a high level of internal consistency among the observable variables within this construct. With a Cronbach's Alpha coefficient of 0.891, the "Employee Performance (EP)" variable has a high level of internal consistency. This shows that the evaluation criteria or elements related to employee performance are trustworthy and connected. With a Cronbach's Alpha coefficient of 0.871, the "Challenges or barriers faced in implementing green HR practises (CGHR)" variable likewise demonstrates strong internal consistency. This suggests that a valid and internally consistent collection of questions about obstacles to implementing green HR practises exists.</w:t>
      </w:r>
    </w:p>
    <w:p w14:paraId="743F0B69" w14:textId="12894FC6" w:rsidR="00C52DFB" w:rsidRPr="001B17E3" w:rsidRDefault="00C52DFB" w:rsidP="00E072CB">
      <w:pPr>
        <w:pStyle w:val="ListParagraph"/>
        <w:numPr>
          <w:ilvl w:val="1"/>
          <w:numId w:val="27"/>
        </w:numPr>
        <w:spacing w:after="200" w:line="360" w:lineRule="auto"/>
        <w:jc w:val="both"/>
        <w:rPr>
          <w:rFonts w:ascii="Times New Roman" w:hAnsi="Times New Roman" w:cs="Times New Roman"/>
          <w:b/>
          <w:sz w:val="24"/>
          <w:szCs w:val="24"/>
        </w:rPr>
      </w:pPr>
      <w:r w:rsidRPr="001B17E3">
        <w:rPr>
          <w:rFonts w:ascii="Times New Roman" w:hAnsi="Times New Roman" w:cs="Times New Roman"/>
          <w:b/>
          <w:sz w:val="24"/>
          <w:szCs w:val="24"/>
        </w:rPr>
        <w:lastRenderedPageBreak/>
        <w:t xml:space="preserve">Exploratory factor analysis </w:t>
      </w:r>
    </w:p>
    <w:p w14:paraId="31A59F40" w14:textId="0A9BCC50" w:rsidR="00C52DFB" w:rsidRDefault="00E072C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 </w:t>
      </w:r>
      <w:r w:rsidR="00C52DFB" w:rsidRPr="000B154A">
        <w:rPr>
          <w:rFonts w:ascii="Times New Roman" w:hAnsi="Times New Roman" w:cs="Times New Roman"/>
          <w:sz w:val="24"/>
          <w:szCs w:val="24"/>
        </w:rPr>
        <w:t>shows the discoveries of the KMO and Bartlett's Test for the independent variables.</w:t>
      </w:r>
    </w:p>
    <w:p w14:paraId="7D601C30" w14:textId="77777777" w:rsidR="00E072CB" w:rsidRDefault="00E072CB" w:rsidP="00E072CB">
      <w:pPr>
        <w:spacing w:line="360" w:lineRule="auto"/>
        <w:jc w:val="center"/>
        <w:rPr>
          <w:rFonts w:ascii="Times New Roman" w:hAnsi="Times New Roman" w:cs="Times New Roman"/>
          <w:b/>
          <w:sz w:val="24"/>
          <w:szCs w:val="24"/>
        </w:rPr>
      </w:pPr>
    </w:p>
    <w:p w14:paraId="39DB2780" w14:textId="2A3CE669" w:rsidR="00C52DFB" w:rsidRDefault="00C52DFB" w:rsidP="00E072CB">
      <w:pPr>
        <w:spacing w:line="360" w:lineRule="auto"/>
        <w:jc w:val="center"/>
        <w:rPr>
          <w:rFonts w:ascii="Times New Roman" w:hAnsi="Times New Roman" w:cs="Times New Roman"/>
          <w:sz w:val="24"/>
          <w:szCs w:val="24"/>
        </w:rPr>
      </w:pPr>
      <w:r w:rsidRPr="000B154A">
        <w:rPr>
          <w:rFonts w:ascii="Times New Roman" w:hAnsi="Times New Roman" w:cs="Times New Roman"/>
          <w:b/>
          <w:sz w:val="24"/>
          <w:szCs w:val="24"/>
        </w:rPr>
        <w:t xml:space="preserve">Table </w:t>
      </w:r>
      <w:r w:rsidR="00E072CB">
        <w:rPr>
          <w:rFonts w:ascii="Times New Roman" w:hAnsi="Times New Roman" w:cs="Times New Roman"/>
          <w:b/>
          <w:sz w:val="24"/>
          <w:szCs w:val="24"/>
        </w:rPr>
        <w:t>4</w:t>
      </w:r>
      <w:r w:rsidRPr="000B154A">
        <w:rPr>
          <w:rFonts w:ascii="Times New Roman" w:hAnsi="Times New Roman" w:cs="Times New Roman"/>
          <w:b/>
          <w:sz w:val="24"/>
          <w:szCs w:val="24"/>
        </w:rPr>
        <w:t>:</w:t>
      </w:r>
      <w:r w:rsidRPr="000B154A">
        <w:rPr>
          <w:rFonts w:ascii="Times New Roman" w:hAnsi="Times New Roman" w:cs="Times New Roman"/>
          <w:sz w:val="24"/>
          <w:szCs w:val="24"/>
        </w:rPr>
        <w:t xml:space="preserve"> KMO and Bartlett's Test</w:t>
      </w:r>
      <w:r>
        <w:rPr>
          <w:rFonts w:ascii="Times New Roman" w:hAnsi="Times New Roman" w:cs="Times New Roman"/>
          <w:sz w:val="24"/>
          <w:szCs w:val="24"/>
        </w:rPr>
        <w:t xml:space="preserve"> Results</w:t>
      </w:r>
    </w:p>
    <w:tbl>
      <w:tblPr>
        <w:tblW w:w="6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7"/>
        <w:gridCol w:w="2352"/>
        <w:gridCol w:w="1043"/>
      </w:tblGrid>
      <w:tr w:rsidR="00C52DFB" w:rsidRPr="0059111E" w14:paraId="0A58F04E" w14:textId="77777777" w:rsidTr="00C52DFB">
        <w:trPr>
          <w:cantSplit/>
          <w:jc w:val="center"/>
        </w:trPr>
        <w:tc>
          <w:tcPr>
            <w:tcW w:w="6322" w:type="dxa"/>
            <w:gridSpan w:val="3"/>
            <w:shd w:val="clear" w:color="auto" w:fill="FFFFFF"/>
            <w:vAlign w:val="center"/>
          </w:tcPr>
          <w:p w14:paraId="27873DC2"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59111E">
              <w:rPr>
                <w:rFonts w:ascii="Times New Roman" w:hAnsi="Times New Roman" w:cs="Times New Roman"/>
                <w:b/>
                <w:bCs/>
                <w:color w:val="010205"/>
                <w:sz w:val="24"/>
                <w:szCs w:val="24"/>
              </w:rPr>
              <w:t>KMO and Bartlett's Test</w:t>
            </w:r>
          </w:p>
        </w:tc>
      </w:tr>
      <w:tr w:rsidR="00C52DFB" w:rsidRPr="0059111E" w14:paraId="23122A05" w14:textId="77777777" w:rsidTr="00C52DFB">
        <w:trPr>
          <w:cantSplit/>
          <w:jc w:val="center"/>
        </w:trPr>
        <w:tc>
          <w:tcPr>
            <w:tcW w:w="5279" w:type="dxa"/>
            <w:gridSpan w:val="2"/>
            <w:shd w:val="clear" w:color="auto" w:fill="E0E0E0"/>
          </w:tcPr>
          <w:p w14:paraId="110795FD"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59111E">
              <w:rPr>
                <w:rFonts w:ascii="Times New Roman" w:hAnsi="Times New Roman" w:cs="Times New Roman"/>
                <w:color w:val="264A60"/>
                <w:sz w:val="24"/>
                <w:szCs w:val="24"/>
              </w:rPr>
              <w:t>Kaiser-Meyer-Olkin Measure of Sampling Adequacy.</w:t>
            </w:r>
          </w:p>
        </w:tc>
        <w:tc>
          <w:tcPr>
            <w:tcW w:w="1043" w:type="dxa"/>
            <w:shd w:val="clear" w:color="auto" w:fill="FFFFFF"/>
          </w:tcPr>
          <w:p w14:paraId="6B11C07B"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59111E">
              <w:rPr>
                <w:rFonts w:ascii="Times New Roman" w:hAnsi="Times New Roman" w:cs="Times New Roman"/>
                <w:color w:val="010205"/>
                <w:sz w:val="24"/>
                <w:szCs w:val="24"/>
              </w:rPr>
              <w:t>.851</w:t>
            </w:r>
          </w:p>
        </w:tc>
      </w:tr>
      <w:tr w:rsidR="00C52DFB" w:rsidRPr="0059111E" w14:paraId="7A133C09" w14:textId="77777777" w:rsidTr="00C52DFB">
        <w:trPr>
          <w:cantSplit/>
          <w:jc w:val="center"/>
        </w:trPr>
        <w:tc>
          <w:tcPr>
            <w:tcW w:w="2927" w:type="dxa"/>
            <w:vMerge w:val="restart"/>
            <w:shd w:val="clear" w:color="auto" w:fill="E0E0E0"/>
          </w:tcPr>
          <w:p w14:paraId="0AE2B48C"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59111E">
              <w:rPr>
                <w:rFonts w:ascii="Times New Roman" w:hAnsi="Times New Roman" w:cs="Times New Roman"/>
                <w:color w:val="264A60"/>
                <w:sz w:val="24"/>
                <w:szCs w:val="24"/>
              </w:rPr>
              <w:t>Bartlett's Test of Sphericity</w:t>
            </w:r>
          </w:p>
        </w:tc>
        <w:tc>
          <w:tcPr>
            <w:tcW w:w="2352" w:type="dxa"/>
            <w:shd w:val="clear" w:color="auto" w:fill="E0E0E0"/>
          </w:tcPr>
          <w:p w14:paraId="36351136"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59111E">
              <w:rPr>
                <w:rFonts w:ascii="Times New Roman" w:hAnsi="Times New Roman" w:cs="Times New Roman"/>
                <w:color w:val="264A60"/>
                <w:sz w:val="24"/>
                <w:szCs w:val="24"/>
              </w:rPr>
              <w:t>Approx. Chi-Square</w:t>
            </w:r>
          </w:p>
        </w:tc>
        <w:tc>
          <w:tcPr>
            <w:tcW w:w="1043" w:type="dxa"/>
            <w:shd w:val="clear" w:color="auto" w:fill="FFFFFF"/>
          </w:tcPr>
          <w:p w14:paraId="2CE220DB"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59111E">
              <w:rPr>
                <w:rFonts w:ascii="Times New Roman" w:hAnsi="Times New Roman" w:cs="Times New Roman"/>
                <w:color w:val="010205"/>
                <w:sz w:val="24"/>
                <w:szCs w:val="24"/>
              </w:rPr>
              <w:t>5</w:t>
            </w:r>
            <w:r>
              <w:rPr>
                <w:rFonts w:ascii="Times New Roman" w:hAnsi="Times New Roman" w:cs="Times New Roman"/>
                <w:color w:val="010205"/>
                <w:sz w:val="24"/>
                <w:szCs w:val="24"/>
              </w:rPr>
              <w:t>6</w:t>
            </w:r>
            <w:r w:rsidRPr="0059111E">
              <w:rPr>
                <w:rFonts w:ascii="Times New Roman" w:hAnsi="Times New Roman" w:cs="Times New Roman"/>
                <w:color w:val="010205"/>
                <w:sz w:val="24"/>
                <w:szCs w:val="24"/>
              </w:rPr>
              <w:t>40.239</w:t>
            </w:r>
          </w:p>
        </w:tc>
      </w:tr>
      <w:tr w:rsidR="00C52DFB" w:rsidRPr="0059111E" w14:paraId="5CA4DA37" w14:textId="77777777" w:rsidTr="00C52DFB">
        <w:trPr>
          <w:cantSplit/>
          <w:jc w:val="center"/>
        </w:trPr>
        <w:tc>
          <w:tcPr>
            <w:tcW w:w="2927" w:type="dxa"/>
            <w:vMerge/>
            <w:shd w:val="clear" w:color="auto" w:fill="E0E0E0"/>
          </w:tcPr>
          <w:p w14:paraId="4EF3143D" w14:textId="77777777" w:rsidR="00C52DFB" w:rsidRPr="0059111E" w:rsidRDefault="00C52DFB" w:rsidP="00E072CB">
            <w:pPr>
              <w:autoSpaceDE w:val="0"/>
              <w:autoSpaceDN w:val="0"/>
              <w:adjustRightInd w:val="0"/>
              <w:spacing w:after="0" w:line="360" w:lineRule="auto"/>
              <w:jc w:val="both"/>
              <w:rPr>
                <w:rFonts w:ascii="Times New Roman" w:hAnsi="Times New Roman" w:cs="Times New Roman"/>
                <w:color w:val="010205"/>
                <w:sz w:val="24"/>
                <w:szCs w:val="24"/>
              </w:rPr>
            </w:pPr>
          </w:p>
        </w:tc>
        <w:tc>
          <w:tcPr>
            <w:tcW w:w="2352" w:type="dxa"/>
            <w:shd w:val="clear" w:color="auto" w:fill="E0E0E0"/>
          </w:tcPr>
          <w:p w14:paraId="5E5C4272"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59111E">
              <w:rPr>
                <w:rFonts w:ascii="Times New Roman" w:hAnsi="Times New Roman" w:cs="Times New Roman"/>
                <w:color w:val="264A60"/>
                <w:sz w:val="24"/>
                <w:szCs w:val="24"/>
              </w:rPr>
              <w:t>df</w:t>
            </w:r>
          </w:p>
        </w:tc>
        <w:tc>
          <w:tcPr>
            <w:tcW w:w="1043" w:type="dxa"/>
            <w:shd w:val="clear" w:color="auto" w:fill="FFFFFF"/>
          </w:tcPr>
          <w:p w14:paraId="146E0AE6" w14:textId="4B9B4675" w:rsidR="00C52DFB" w:rsidRPr="0059111E" w:rsidRDefault="00533EFB" w:rsidP="00E072CB">
            <w:pPr>
              <w:autoSpaceDE w:val="0"/>
              <w:autoSpaceDN w:val="0"/>
              <w:adjustRightInd w:val="0"/>
              <w:spacing w:after="0" w:line="360" w:lineRule="auto"/>
              <w:ind w:left="60" w:right="60"/>
              <w:jc w:val="both"/>
              <w:rPr>
                <w:rFonts w:ascii="Times New Roman" w:hAnsi="Times New Roman" w:cs="Times New Roman"/>
                <w:color w:val="010205"/>
                <w:sz w:val="24"/>
                <w:szCs w:val="24"/>
              </w:rPr>
            </w:pPr>
            <w:r>
              <w:rPr>
                <w:rFonts w:ascii="Times New Roman" w:hAnsi="Times New Roman" w:cs="Times New Roman"/>
                <w:color w:val="010205"/>
                <w:sz w:val="24"/>
                <w:szCs w:val="24"/>
              </w:rPr>
              <w:t>199</w:t>
            </w:r>
          </w:p>
        </w:tc>
      </w:tr>
      <w:tr w:rsidR="00C52DFB" w:rsidRPr="0059111E" w14:paraId="04F1FB2D" w14:textId="77777777" w:rsidTr="00C52DFB">
        <w:trPr>
          <w:cantSplit/>
          <w:jc w:val="center"/>
        </w:trPr>
        <w:tc>
          <w:tcPr>
            <w:tcW w:w="2927" w:type="dxa"/>
            <w:vMerge/>
            <w:shd w:val="clear" w:color="auto" w:fill="E0E0E0"/>
          </w:tcPr>
          <w:p w14:paraId="3B5466D1" w14:textId="77777777" w:rsidR="00C52DFB" w:rsidRPr="0059111E" w:rsidRDefault="00C52DFB" w:rsidP="00E072CB">
            <w:pPr>
              <w:autoSpaceDE w:val="0"/>
              <w:autoSpaceDN w:val="0"/>
              <w:adjustRightInd w:val="0"/>
              <w:spacing w:after="0" w:line="360" w:lineRule="auto"/>
              <w:jc w:val="both"/>
              <w:rPr>
                <w:rFonts w:ascii="Times New Roman" w:hAnsi="Times New Roman" w:cs="Times New Roman"/>
                <w:color w:val="010205"/>
                <w:sz w:val="24"/>
                <w:szCs w:val="24"/>
              </w:rPr>
            </w:pPr>
          </w:p>
        </w:tc>
        <w:tc>
          <w:tcPr>
            <w:tcW w:w="2352" w:type="dxa"/>
            <w:shd w:val="clear" w:color="auto" w:fill="E0E0E0"/>
          </w:tcPr>
          <w:p w14:paraId="2FF93CEA"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59111E">
              <w:rPr>
                <w:rFonts w:ascii="Times New Roman" w:hAnsi="Times New Roman" w:cs="Times New Roman"/>
                <w:color w:val="264A60"/>
                <w:sz w:val="24"/>
                <w:szCs w:val="24"/>
              </w:rPr>
              <w:t>Sig.</w:t>
            </w:r>
          </w:p>
        </w:tc>
        <w:tc>
          <w:tcPr>
            <w:tcW w:w="1043" w:type="dxa"/>
            <w:shd w:val="clear" w:color="auto" w:fill="FFFFFF"/>
          </w:tcPr>
          <w:p w14:paraId="07A2A072"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59111E">
              <w:rPr>
                <w:rFonts w:ascii="Times New Roman" w:hAnsi="Times New Roman" w:cs="Times New Roman"/>
                <w:color w:val="010205"/>
                <w:sz w:val="24"/>
                <w:szCs w:val="24"/>
              </w:rPr>
              <w:t>.000</w:t>
            </w:r>
          </w:p>
        </w:tc>
      </w:tr>
    </w:tbl>
    <w:p w14:paraId="5EB8FF99" w14:textId="77777777" w:rsidR="00533EFB" w:rsidRDefault="00533EFB" w:rsidP="00E072CB">
      <w:pPr>
        <w:spacing w:line="360" w:lineRule="auto"/>
        <w:jc w:val="both"/>
        <w:rPr>
          <w:rFonts w:ascii="Times New Roman" w:hAnsi="Times New Roman" w:cs="Times New Roman"/>
          <w:sz w:val="24"/>
          <w:szCs w:val="24"/>
        </w:rPr>
      </w:pPr>
    </w:p>
    <w:p w14:paraId="2832AAF7" w14:textId="77777777" w:rsidR="001002B4" w:rsidRPr="001002B4" w:rsidRDefault="001002B4" w:rsidP="001002B4">
      <w:pPr>
        <w:spacing w:line="360" w:lineRule="auto"/>
        <w:jc w:val="both"/>
        <w:rPr>
          <w:rFonts w:ascii="Times New Roman" w:hAnsi="Times New Roman" w:cs="Times New Roman"/>
          <w:sz w:val="24"/>
          <w:szCs w:val="24"/>
        </w:rPr>
      </w:pPr>
      <w:r w:rsidRPr="001002B4">
        <w:rPr>
          <w:rFonts w:ascii="Times New Roman" w:hAnsi="Times New Roman" w:cs="Times New Roman"/>
          <w:sz w:val="24"/>
          <w:szCs w:val="24"/>
        </w:rPr>
        <w:t>The KMO test findings, which reveal that the KMO coefficient is 0..851 &gt; 0.5, suggest that the factor analysis is entirely compatible with the review data. The Bartlett test result, with a significance level of Sig = 0.000 0.005, shows that the observed variables are also correlated in the population. It is 5640.239. This result is entirely compatible with the multiplicity of independent causes.</w:t>
      </w:r>
    </w:p>
    <w:p w14:paraId="21EDA937" w14:textId="06DE3A83" w:rsidR="00C52DFB" w:rsidRDefault="00E072CB" w:rsidP="00E072CB">
      <w:pPr>
        <w:spacing w:line="360" w:lineRule="auto"/>
        <w:jc w:val="center"/>
        <w:rPr>
          <w:rFonts w:ascii="Times New Roman" w:hAnsi="Times New Roman" w:cs="Times New Roman"/>
          <w:sz w:val="24"/>
          <w:szCs w:val="24"/>
        </w:rPr>
      </w:pPr>
      <w:r>
        <w:rPr>
          <w:rFonts w:ascii="Times New Roman" w:hAnsi="Times New Roman" w:cs="Times New Roman"/>
          <w:b/>
          <w:sz w:val="24"/>
          <w:szCs w:val="24"/>
        </w:rPr>
        <w:t>Table 5</w:t>
      </w:r>
      <w:r w:rsidR="00C52DFB" w:rsidRPr="00042C66">
        <w:rPr>
          <w:rFonts w:ascii="Times New Roman" w:hAnsi="Times New Roman" w:cs="Times New Roman"/>
          <w:b/>
          <w:sz w:val="24"/>
          <w:szCs w:val="24"/>
        </w:rPr>
        <w:t>:</w:t>
      </w:r>
      <w:r w:rsidR="00C52DFB">
        <w:rPr>
          <w:rFonts w:ascii="Times New Roman" w:hAnsi="Times New Roman" w:cs="Times New Roman"/>
          <w:b/>
          <w:sz w:val="24"/>
          <w:szCs w:val="24"/>
        </w:rPr>
        <w:t xml:space="preserve"> </w:t>
      </w:r>
      <w:r w:rsidR="00C52DFB" w:rsidRPr="00B23684">
        <w:rPr>
          <w:rFonts w:ascii="Times New Roman" w:hAnsi="Times New Roman" w:cs="Times New Roman"/>
          <w:sz w:val="24"/>
          <w:szCs w:val="24"/>
        </w:rPr>
        <w:t>EFA exploratory factor analysis outcomes</w:t>
      </w:r>
    </w:p>
    <w:tbl>
      <w:tblPr>
        <w:tblW w:w="8448" w:type="dxa"/>
        <w:tblInd w:w="93" w:type="dxa"/>
        <w:tblLook w:val="04A0" w:firstRow="1" w:lastRow="0" w:firstColumn="1" w:lastColumn="0" w:noHBand="0" w:noVBand="1"/>
      </w:tblPr>
      <w:tblGrid>
        <w:gridCol w:w="2442"/>
        <w:gridCol w:w="2002"/>
        <w:gridCol w:w="2002"/>
        <w:gridCol w:w="2002"/>
      </w:tblGrid>
      <w:tr w:rsidR="0095620B" w:rsidRPr="002E6279" w14:paraId="0CE6A747" w14:textId="77777777" w:rsidTr="00E072CB">
        <w:trPr>
          <w:trHeight w:val="371"/>
        </w:trPr>
        <w:tc>
          <w:tcPr>
            <w:tcW w:w="24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8D8DC72"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6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E01C5"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Rotated Component Matrix</w:t>
            </w:r>
            <w:r w:rsidRPr="002E6279">
              <w:rPr>
                <w:rFonts w:ascii="Times New Roman" w:hAnsi="Times New Roman" w:cs="Times New Roman"/>
                <w:b/>
                <w:vertAlign w:val="superscript"/>
                <w:lang w:eastAsia="en-IN"/>
              </w:rPr>
              <w:t>a</w:t>
            </w:r>
          </w:p>
        </w:tc>
      </w:tr>
      <w:tr w:rsidR="0095620B" w:rsidRPr="002E6279" w14:paraId="775F0DAB" w14:textId="77777777" w:rsidTr="002E6279">
        <w:trPr>
          <w:trHeight w:val="327"/>
        </w:trPr>
        <w:tc>
          <w:tcPr>
            <w:tcW w:w="2442" w:type="dxa"/>
            <w:vMerge/>
            <w:tcBorders>
              <w:top w:val="single" w:sz="8" w:space="0" w:color="auto"/>
              <w:left w:val="single" w:sz="8" w:space="0" w:color="auto"/>
              <w:bottom w:val="single" w:sz="8" w:space="0" w:color="000000"/>
              <w:right w:val="single" w:sz="4" w:space="0" w:color="auto"/>
            </w:tcBorders>
            <w:vAlign w:val="center"/>
            <w:hideMark/>
          </w:tcPr>
          <w:p w14:paraId="07AC17ED" w14:textId="77777777" w:rsidR="0095620B" w:rsidRPr="002E6279" w:rsidRDefault="0095620B" w:rsidP="00E072CB">
            <w:pPr>
              <w:pStyle w:val="NoSpacing"/>
              <w:spacing w:line="360" w:lineRule="auto"/>
              <w:jc w:val="both"/>
              <w:rPr>
                <w:rFonts w:ascii="Times New Roman" w:hAnsi="Times New Roman" w:cs="Times New Roman"/>
                <w:lang w:eastAsia="en-IN"/>
              </w:rP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9D5C"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1</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D073"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2</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B98C"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3</w:t>
            </w:r>
          </w:p>
        </w:tc>
      </w:tr>
      <w:tr w:rsidR="0095620B" w:rsidRPr="002E6279" w14:paraId="36998E0A" w14:textId="77777777" w:rsidTr="002E6279">
        <w:trPr>
          <w:trHeight w:val="36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149C42D9"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GHRM1</w:t>
            </w:r>
          </w:p>
        </w:tc>
        <w:tc>
          <w:tcPr>
            <w:tcW w:w="2002" w:type="dxa"/>
            <w:tcBorders>
              <w:top w:val="single" w:sz="4" w:space="0" w:color="auto"/>
              <w:left w:val="nil"/>
              <w:bottom w:val="single" w:sz="8" w:space="0" w:color="auto"/>
              <w:right w:val="single" w:sz="8" w:space="0" w:color="auto"/>
            </w:tcBorders>
            <w:shd w:val="clear" w:color="auto" w:fill="auto"/>
            <w:vAlign w:val="center"/>
            <w:hideMark/>
          </w:tcPr>
          <w:p w14:paraId="49BD3DB2"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0.864</w:t>
            </w:r>
          </w:p>
        </w:tc>
        <w:tc>
          <w:tcPr>
            <w:tcW w:w="2002" w:type="dxa"/>
            <w:tcBorders>
              <w:top w:val="single" w:sz="4" w:space="0" w:color="auto"/>
              <w:left w:val="nil"/>
              <w:bottom w:val="single" w:sz="8" w:space="0" w:color="auto"/>
              <w:right w:val="single" w:sz="8" w:space="0" w:color="auto"/>
            </w:tcBorders>
            <w:shd w:val="clear" w:color="auto" w:fill="auto"/>
            <w:vAlign w:val="center"/>
            <w:hideMark/>
          </w:tcPr>
          <w:p w14:paraId="7BF4BEB6"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single" w:sz="4" w:space="0" w:color="auto"/>
              <w:left w:val="nil"/>
              <w:bottom w:val="single" w:sz="8" w:space="0" w:color="auto"/>
              <w:right w:val="single" w:sz="8" w:space="0" w:color="auto"/>
            </w:tcBorders>
            <w:shd w:val="clear" w:color="auto" w:fill="auto"/>
            <w:vAlign w:val="center"/>
            <w:hideMark/>
          </w:tcPr>
          <w:p w14:paraId="77453F47"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45209BA7" w14:textId="77777777" w:rsidTr="002E6279">
        <w:trPr>
          <w:trHeight w:val="258"/>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3BEAEA3A"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GHRM2</w:t>
            </w:r>
          </w:p>
        </w:tc>
        <w:tc>
          <w:tcPr>
            <w:tcW w:w="2002" w:type="dxa"/>
            <w:tcBorders>
              <w:top w:val="nil"/>
              <w:left w:val="nil"/>
              <w:bottom w:val="single" w:sz="8" w:space="0" w:color="auto"/>
              <w:right w:val="single" w:sz="8" w:space="0" w:color="auto"/>
            </w:tcBorders>
            <w:shd w:val="clear" w:color="auto" w:fill="auto"/>
            <w:vAlign w:val="center"/>
            <w:hideMark/>
          </w:tcPr>
          <w:p w14:paraId="3E288FAF"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0.861</w:t>
            </w:r>
          </w:p>
        </w:tc>
        <w:tc>
          <w:tcPr>
            <w:tcW w:w="2002" w:type="dxa"/>
            <w:tcBorders>
              <w:top w:val="nil"/>
              <w:left w:val="nil"/>
              <w:bottom w:val="single" w:sz="8" w:space="0" w:color="auto"/>
              <w:right w:val="single" w:sz="8" w:space="0" w:color="auto"/>
            </w:tcBorders>
            <w:shd w:val="clear" w:color="auto" w:fill="auto"/>
            <w:vAlign w:val="center"/>
            <w:hideMark/>
          </w:tcPr>
          <w:p w14:paraId="351CF388"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2B782C5"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75DE317A" w14:textId="77777777" w:rsidTr="002E6279">
        <w:trPr>
          <w:trHeight w:val="263"/>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0F003894"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GHRM3</w:t>
            </w:r>
          </w:p>
        </w:tc>
        <w:tc>
          <w:tcPr>
            <w:tcW w:w="2002" w:type="dxa"/>
            <w:tcBorders>
              <w:top w:val="nil"/>
              <w:left w:val="nil"/>
              <w:bottom w:val="single" w:sz="8" w:space="0" w:color="auto"/>
              <w:right w:val="single" w:sz="8" w:space="0" w:color="auto"/>
            </w:tcBorders>
            <w:shd w:val="clear" w:color="auto" w:fill="auto"/>
            <w:vAlign w:val="center"/>
            <w:hideMark/>
          </w:tcPr>
          <w:p w14:paraId="16873041"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0.759</w:t>
            </w:r>
          </w:p>
        </w:tc>
        <w:tc>
          <w:tcPr>
            <w:tcW w:w="2002" w:type="dxa"/>
            <w:tcBorders>
              <w:top w:val="nil"/>
              <w:left w:val="nil"/>
              <w:bottom w:val="single" w:sz="8" w:space="0" w:color="auto"/>
              <w:right w:val="single" w:sz="8" w:space="0" w:color="auto"/>
            </w:tcBorders>
            <w:shd w:val="clear" w:color="auto" w:fill="auto"/>
            <w:vAlign w:val="center"/>
            <w:hideMark/>
          </w:tcPr>
          <w:p w14:paraId="5B52E0B7"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1583A1AD"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31B0ACE2" w14:textId="77777777" w:rsidTr="002E6279">
        <w:trPr>
          <w:trHeight w:val="26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681D0809"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GHRM4</w:t>
            </w:r>
          </w:p>
        </w:tc>
        <w:tc>
          <w:tcPr>
            <w:tcW w:w="2002" w:type="dxa"/>
            <w:tcBorders>
              <w:top w:val="nil"/>
              <w:left w:val="nil"/>
              <w:bottom w:val="single" w:sz="8" w:space="0" w:color="auto"/>
              <w:right w:val="single" w:sz="8" w:space="0" w:color="auto"/>
            </w:tcBorders>
            <w:shd w:val="clear" w:color="auto" w:fill="auto"/>
            <w:vAlign w:val="center"/>
            <w:hideMark/>
          </w:tcPr>
          <w:p w14:paraId="3CCA1EB5"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0.73</w:t>
            </w:r>
          </w:p>
        </w:tc>
        <w:tc>
          <w:tcPr>
            <w:tcW w:w="2002" w:type="dxa"/>
            <w:tcBorders>
              <w:top w:val="nil"/>
              <w:left w:val="nil"/>
              <w:bottom w:val="single" w:sz="8" w:space="0" w:color="auto"/>
              <w:right w:val="single" w:sz="8" w:space="0" w:color="auto"/>
            </w:tcBorders>
            <w:shd w:val="clear" w:color="auto" w:fill="auto"/>
            <w:vAlign w:val="center"/>
            <w:hideMark/>
          </w:tcPr>
          <w:p w14:paraId="3108CCA3"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99F5C9C"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122C8755" w14:textId="77777777" w:rsidTr="002E6279">
        <w:trPr>
          <w:trHeight w:val="25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61E51644"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GHRM5</w:t>
            </w:r>
          </w:p>
        </w:tc>
        <w:tc>
          <w:tcPr>
            <w:tcW w:w="2002" w:type="dxa"/>
            <w:tcBorders>
              <w:top w:val="nil"/>
              <w:left w:val="nil"/>
              <w:bottom w:val="single" w:sz="8" w:space="0" w:color="auto"/>
              <w:right w:val="single" w:sz="8" w:space="0" w:color="auto"/>
            </w:tcBorders>
            <w:shd w:val="clear" w:color="auto" w:fill="auto"/>
            <w:vAlign w:val="center"/>
            <w:hideMark/>
          </w:tcPr>
          <w:p w14:paraId="2C942970"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0.587</w:t>
            </w:r>
          </w:p>
        </w:tc>
        <w:tc>
          <w:tcPr>
            <w:tcW w:w="2002" w:type="dxa"/>
            <w:tcBorders>
              <w:top w:val="nil"/>
              <w:left w:val="nil"/>
              <w:bottom w:val="single" w:sz="8" w:space="0" w:color="auto"/>
              <w:right w:val="single" w:sz="8" w:space="0" w:color="auto"/>
            </w:tcBorders>
            <w:shd w:val="clear" w:color="auto" w:fill="auto"/>
            <w:vAlign w:val="center"/>
            <w:hideMark/>
          </w:tcPr>
          <w:p w14:paraId="4B067565"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51D27703"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72FA7D16"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5150882B"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EP1</w:t>
            </w:r>
          </w:p>
        </w:tc>
        <w:tc>
          <w:tcPr>
            <w:tcW w:w="2002" w:type="dxa"/>
            <w:tcBorders>
              <w:top w:val="nil"/>
              <w:left w:val="nil"/>
              <w:bottom w:val="single" w:sz="8" w:space="0" w:color="auto"/>
              <w:right w:val="single" w:sz="8" w:space="0" w:color="auto"/>
            </w:tcBorders>
            <w:shd w:val="clear" w:color="auto" w:fill="auto"/>
            <w:vAlign w:val="center"/>
            <w:hideMark/>
          </w:tcPr>
          <w:p w14:paraId="1984AD9E"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120551A1"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0.774</w:t>
            </w:r>
          </w:p>
        </w:tc>
        <w:tc>
          <w:tcPr>
            <w:tcW w:w="2002" w:type="dxa"/>
            <w:tcBorders>
              <w:top w:val="nil"/>
              <w:left w:val="nil"/>
              <w:bottom w:val="single" w:sz="8" w:space="0" w:color="auto"/>
              <w:right w:val="single" w:sz="8" w:space="0" w:color="auto"/>
            </w:tcBorders>
            <w:shd w:val="clear" w:color="auto" w:fill="auto"/>
            <w:vAlign w:val="center"/>
            <w:hideMark/>
          </w:tcPr>
          <w:p w14:paraId="71194F0C"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36EF7D9C"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0E9DAD41"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EP2</w:t>
            </w:r>
          </w:p>
        </w:tc>
        <w:tc>
          <w:tcPr>
            <w:tcW w:w="2002" w:type="dxa"/>
            <w:tcBorders>
              <w:top w:val="nil"/>
              <w:left w:val="nil"/>
              <w:bottom w:val="single" w:sz="8" w:space="0" w:color="auto"/>
              <w:right w:val="single" w:sz="8" w:space="0" w:color="auto"/>
            </w:tcBorders>
            <w:shd w:val="clear" w:color="auto" w:fill="auto"/>
            <w:vAlign w:val="center"/>
            <w:hideMark/>
          </w:tcPr>
          <w:p w14:paraId="520C5E9E"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F96C298"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0.726</w:t>
            </w:r>
          </w:p>
        </w:tc>
        <w:tc>
          <w:tcPr>
            <w:tcW w:w="2002" w:type="dxa"/>
            <w:tcBorders>
              <w:top w:val="nil"/>
              <w:left w:val="nil"/>
              <w:bottom w:val="single" w:sz="8" w:space="0" w:color="auto"/>
              <w:right w:val="single" w:sz="8" w:space="0" w:color="auto"/>
            </w:tcBorders>
            <w:shd w:val="clear" w:color="auto" w:fill="auto"/>
            <w:vAlign w:val="center"/>
            <w:hideMark/>
          </w:tcPr>
          <w:p w14:paraId="15B409FA"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04B5B980"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1CB28F95"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EP3</w:t>
            </w:r>
          </w:p>
        </w:tc>
        <w:tc>
          <w:tcPr>
            <w:tcW w:w="2002" w:type="dxa"/>
            <w:tcBorders>
              <w:top w:val="nil"/>
              <w:left w:val="nil"/>
              <w:bottom w:val="single" w:sz="8" w:space="0" w:color="auto"/>
              <w:right w:val="single" w:sz="8" w:space="0" w:color="auto"/>
            </w:tcBorders>
            <w:shd w:val="clear" w:color="auto" w:fill="auto"/>
            <w:vAlign w:val="center"/>
            <w:hideMark/>
          </w:tcPr>
          <w:p w14:paraId="093B0CAB"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9619ED0"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0.713</w:t>
            </w:r>
          </w:p>
        </w:tc>
        <w:tc>
          <w:tcPr>
            <w:tcW w:w="2002" w:type="dxa"/>
            <w:tcBorders>
              <w:top w:val="nil"/>
              <w:left w:val="nil"/>
              <w:bottom w:val="single" w:sz="8" w:space="0" w:color="auto"/>
              <w:right w:val="single" w:sz="8" w:space="0" w:color="auto"/>
            </w:tcBorders>
            <w:shd w:val="clear" w:color="auto" w:fill="auto"/>
            <w:vAlign w:val="center"/>
            <w:hideMark/>
          </w:tcPr>
          <w:p w14:paraId="71166F38"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5A8D548D"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4A9A043E"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EP4</w:t>
            </w:r>
          </w:p>
        </w:tc>
        <w:tc>
          <w:tcPr>
            <w:tcW w:w="2002" w:type="dxa"/>
            <w:tcBorders>
              <w:top w:val="nil"/>
              <w:left w:val="nil"/>
              <w:bottom w:val="single" w:sz="8" w:space="0" w:color="auto"/>
              <w:right w:val="single" w:sz="8" w:space="0" w:color="auto"/>
            </w:tcBorders>
            <w:shd w:val="clear" w:color="auto" w:fill="auto"/>
            <w:vAlign w:val="center"/>
            <w:hideMark/>
          </w:tcPr>
          <w:p w14:paraId="11A1A6D4"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0189C080"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0.752</w:t>
            </w:r>
          </w:p>
        </w:tc>
        <w:tc>
          <w:tcPr>
            <w:tcW w:w="2002" w:type="dxa"/>
            <w:tcBorders>
              <w:top w:val="nil"/>
              <w:left w:val="nil"/>
              <w:bottom w:val="single" w:sz="8" w:space="0" w:color="auto"/>
              <w:right w:val="single" w:sz="8" w:space="0" w:color="auto"/>
            </w:tcBorders>
            <w:shd w:val="clear" w:color="auto" w:fill="auto"/>
            <w:vAlign w:val="center"/>
            <w:hideMark/>
          </w:tcPr>
          <w:p w14:paraId="1CAAABCB"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1FF60307"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7AF18757"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EP5</w:t>
            </w:r>
          </w:p>
        </w:tc>
        <w:tc>
          <w:tcPr>
            <w:tcW w:w="2002" w:type="dxa"/>
            <w:tcBorders>
              <w:top w:val="nil"/>
              <w:left w:val="nil"/>
              <w:bottom w:val="single" w:sz="8" w:space="0" w:color="auto"/>
              <w:right w:val="single" w:sz="8" w:space="0" w:color="auto"/>
            </w:tcBorders>
            <w:shd w:val="clear" w:color="auto" w:fill="auto"/>
            <w:vAlign w:val="center"/>
            <w:hideMark/>
          </w:tcPr>
          <w:p w14:paraId="1EE1FC3C"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5E96455D"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0.725</w:t>
            </w:r>
          </w:p>
        </w:tc>
        <w:tc>
          <w:tcPr>
            <w:tcW w:w="2002" w:type="dxa"/>
            <w:tcBorders>
              <w:top w:val="nil"/>
              <w:left w:val="nil"/>
              <w:bottom w:val="single" w:sz="8" w:space="0" w:color="auto"/>
              <w:right w:val="single" w:sz="8" w:space="0" w:color="auto"/>
            </w:tcBorders>
            <w:shd w:val="clear" w:color="auto" w:fill="auto"/>
            <w:vAlign w:val="center"/>
            <w:hideMark/>
          </w:tcPr>
          <w:p w14:paraId="45EFEA22"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r>
      <w:tr w:rsidR="0095620B" w:rsidRPr="002E6279" w14:paraId="7CC8C1D7"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3BDEF3DE"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CGHR1</w:t>
            </w:r>
          </w:p>
        </w:tc>
        <w:tc>
          <w:tcPr>
            <w:tcW w:w="2002" w:type="dxa"/>
            <w:tcBorders>
              <w:top w:val="nil"/>
              <w:left w:val="nil"/>
              <w:bottom w:val="single" w:sz="8" w:space="0" w:color="auto"/>
              <w:right w:val="single" w:sz="8" w:space="0" w:color="auto"/>
            </w:tcBorders>
            <w:shd w:val="clear" w:color="auto" w:fill="auto"/>
            <w:vAlign w:val="center"/>
            <w:hideMark/>
          </w:tcPr>
          <w:p w14:paraId="733E5AB2"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A2A50B5"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0466F4C4"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0.757</w:t>
            </w:r>
          </w:p>
        </w:tc>
      </w:tr>
      <w:tr w:rsidR="0095620B" w:rsidRPr="002E6279" w14:paraId="486A1D5A"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3CC14F9D"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CGHR2</w:t>
            </w:r>
          </w:p>
        </w:tc>
        <w:tc>
          <w:tcPr>
            <w:tcW w:w="2002" w:type="dxa"/>
            <w:tcBorders>
              <w:top w:val="nil"/>
              <w:left w:val="nil"/>
              <w:bottom w:val="single" w:sz="8" w:space="0" w:color="auto"/>
              <w:right w:val="single" w:sz="8" w:space="0" w:color="auto"/>
            </w:tcBorders>
            <w:shd w:val="clear" w:color="auto" w:fill="auto"/>
            <w:vAlign w:val="center"/>
            <w:hideMark/>
          </w:tcPr>
          <w:p w14:paraId="5F181346"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9A84B15"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085538A1"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0.726</w:t>
            </w:r>
          </w:p>
        </w:tc>
      </w:tr>
      <w:tr w:rsidR="0095620B" w:rsidRPr="002E6279" w14:paraId="52ED15EB"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29F4ED9F"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CGHR3</w:t>
            </w:r>
          </w:p>
        </w:tc>
        <w:tc>
          <w:tcPr>
            <w:tcW w:w="2002" w:type="dxa"/>
            <w:tcBorders>
              <w:top w:val="nil"/>
              <w:left w:val="nil"/>
              <w:bottom w:val="single" w:sz="8" w:space="0" w:color="auto"/>
              <w:right w:val="single" w:sz="8" w:space="0" w:color="auto"/>
            </w:tcBorders>
            <w:shd w:val="clear" w:color="auto" w:fill="auto"/>
            <w:vAlign w:val="center"/>
            <w:hideMark/>
          </w:tcPr>
          <w:p w14:paraId="344CC421"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000CF7E4"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0C8E8766"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0.708</w:t>
            </w:r>
          </w:p>
        </w:tc>
      </w:tr>
      <w:tr w:rsidR="0095620B" w:rsidRPr="002E6279" w14:paraId="7EA71AC3"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6C6EB2E7"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lastRenderedPageBreak/>
              <w:t>CGHR4</w:t>
            </w:r>
          </w:p>
        </w:tc>
        <w:tc>
          <w:tcPr>
            <w:tcW w:w="2002" w:type="dxa"/>
            <w:tcBorders>
              <w:top w:val="nil"/>
              <w:left w:val="nil"/>
              <w:bottom w:val="single" w:sz="8" w:space="0" w:color="auto"/>
              <w:right w:val="single" w:sz="8" w:space="0" w:color="auto"/>
            </w:tcBorders>
            <w:shd w:val="clear" w:color="auto" w:fill="auto"/>
            <w:vAlign w:val="center"/>
            <w:hideMark/>
          </w:tcPr>
          <w:p w14:paraId="6DD22A12"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32A4F2CB"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7D033221"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0.712</w:t>
            </w:r>
          </w:p>
        </w:tc>
      </w:tr>
      <w:tr w:rsidR="0095620B" w:rsidRPr="002E6279" w14:paraId="0311AD1D" w14:textId="77777777" w:rsidTr="0095620B">
        <w:trPr>
          <w:trHeight w:val="327"/>
        </w:trPr>
        <w:tc>
          <w:tcPr>
            <w:tcW w:w="2442" w:type="dxa"/>
            <w:tcBorders>
              <w:top w:val="nil"/>
              <w:left w:val="single" w:sz="8" w:space="0" w:color="auto"/>
              <w:bottom w:val="single" w:sz="8" w:space="0" w:color="auto"/>
              <w:right w:val="single" w:sz="8" w:space="0" w:color="auto"/>
            </w:tcBorders>
            <w:shd w:val="clear" w:color="auto" w:fill="auto"/>
            <w:vAlign w:val="center"/>
            <w:hideMark/>
          </w:tcPr>
          <w:p w14:paraId="6BBAB7ED" w14:textId="77777777" w:rsidR="0095620B" w:rsidRPr="002E6279" w:rsidRDefault="0095620B" w:rsidP="00E072CB">
            <w:pPr>
              <w:pStyle w:val="NoSpacing"/>
              <w:spacing w:line="360" w:lineRule="auto"/>
              <w:jc w:val="both"/>
              <w:rPr>
                <w:rFonts w:ascii="Times New Roman" w:hAnsi="Times New Roman" w:cs="Times New Roman"/>
                <w:b/>
                <w:lang w:eastAsia="en-IN"/>
              </w:rPr>
            </w:pPr>
            <w:r w:rsidRPr="002E6279">
              <w:rPr>
                <w:rFonts w:ascii="Times New Roman" w:hAnsi="Times New Roman" w:cs="Times New Roman"/>
                <w:b/>
                <w:lang w:eastAsia="en-IN"/>
              </w:rPr>
              <w:t>CGHR5</w:t>
            </w:r>
          </w:p>
        </w:tc>
        <w:tc>
          <w:tcPr>
            <w:tcW w:w="2002" w:type="dxa"/>
            <w:tcBorders>
              <w:top w:val="nil"/>
              <w:left w:val="nil"/>
              <w:bottom w:val="single" w:sz="8" w:space="0" w:color="auto"/>
              <w:right w:val="single" w:sz="8" w:space="0" w:color="auto"/>
            </w:tcBorders>
            <w:shd w:val="clear" w:color="auto" w:fill="auto"/>
            <w:vAlign w:val="center"/>
            <w:hideMark/>
          </w:tcPr>
          <w:p w14:paraId="752F007F"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2732FCA7"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 </w:t>
            </w:r>
          </w:p>
        </w:tc>
        <w:tc>
          <w:tcPr>
            <w:tcW w:w="2002" w:type="dxa"/>
            <w:tcBorders>
              <w:top w:val="nil"/>
              <w:left w:val="nil"/>
              <w:bottom w:val="single" w:sz="8" w:space="0" w:color="auto"/>
              <w:right w:val="single" w:sz="8" w:space="0" w:color="auto"/>
            </w:tcBorders>
            <w:shd w:val="clear" w:color="auto" w:fill="auto"/>
            <w:vAlign w:val="center"/>
            <w:hideMark/>
          </w:tcPr>
          <w:p w14:paraId="6A135786" w14:textId="77777777" w:rsidR="0095620B" w:rsidRPr="002E6279" w:rsidRDefault="0095620B" w:rsidP="00E072CB">
            <w:pPr>
              <w:pStyle w:val="NoSpacing"/>
              <w:spacing w:line="360" w:lineRule="auto"/>
              <w:jc w:val="both"/>
              <w:rPr>
                <w:rFonts w:ascii="Times New Roman" w:hAnsi="Times New Roman" w:cs="Times New Roman"/>
                <w:lang w:eastAsia="en-IN"/>
              </w:rPr>
            </w:pPr>
            <w:r w:rsidRPr="002E6279">
              <w:rPr>
                <w:rFonts w:ascii="Times New Roman" w:hAnsi="Times New Roman" w:cs="Times New Roman"/>
                <w:lang w:eastAsia="en-IN"/>
              </w:rPr>
              <w:t>0.755</w:t>
            </w:r>
          </w:p>
        </w:tc>
      </w:tr>
    </w:tbl>
    <w:p w14:paraId="7F9A6CFF" w14:textId="77777777" w:rsidR="002E6279" w:rsidRDefault="002E6279" w:rsidP="00E072CB">
      <w:pPr>
        <w:spacing w:line="360" w:lineRule="auto"/>
        <w:jc w:val="both"/>
        <w:rPr>
          <w:rFonts w:ascii="Times New Roman" w:hAnsi="Times New Roman" w:cs="Times New Roman"/>
          <w:sz w:val="24"/>
          <w:szCs w:val="24"/>
        </w:rPr>
      </w:pPr>
    </w:p>
    <w:p w14:paraId="625462BA" w14:textId="20E54E4A" w:rsidR="002E6279" w:rsidRDefault="002E6279" w:rsidP="00E072CB">
      <w:pPr>
        <w:spacing w:line="360" w:lineRule="auto"/>
        <w:jc w:val="both"/>
        <w:rPr>
          <w:rFonts w:ascii="Times New Roman" w:hAnsi="Times New Roman" w:cs="Times New Roman"/>
          <w:sz w:val="24"/>
          <w:szCs w:val="24"/>
        </w:rPr>
      </w:pPr>
      <w:r w:rsidRPr="002E6279">
        <w:rPr>
          <w:rFonts w:ascii="Times New Roman" w:hAnsi="Times New Roman" w:cs="Times New Roman"/>
          <w:sz w:val="24"/>
          <w:szCs w:val="24"/>
        </w:rPr>
        <w:t>The table presents three factors (labeled as 1, 2, and 3) and their respective relationships with the observable variables within the constructs.</w:t>
      </w:r>
      <w:r w:rsidRPr="002E6279">
        <w:t xml:space="preserve"> </w:t>
      </w:r>
      <w:r w:rsidRPr="002E6279">
        <w:rPr>
          <w:rFonts w:ascii="Times New Roman" w:hAnsi="Times New Roman" w:cs="Times New Roman"/>
          <w:sz w:val="24"/>
          <w:szCs w:val="24"/>
        </w:rPr>
        <w:t>GHRM1, GHRM2, GHRM3, GHRM4, and GHRM5 all load strongly on Factor 1. This suggests that these observable variables are closely related and contribute to the underlying construct of GHRM Practices. Factor 1 represents the shared variance among these variables, indicating that they collectively measure the concept of GHRM Practices.</w:t>
      </w:r>
      <w:r w:rsidRPr="002E6279">
        <w:t xml:space="preserve"> </w:t>
      </w:r>
      <w:r w:rsidRPr="002E6279">
        <w:rPr>
          <w:rFonts w:ascii="Times New Roman" w:hAnsi="Times New Roman" w:cs="Times New Roman"/>
          <w:sz w:val="24"/>
          <w:szCs w:val="24"/>
        </w:rPr>
        <w:t>EP1, EP2, EP3, EP4, and EP5 exhibit high loadings on Factor 2. This signifies that these observable variables are strongly associated with one another and form the Employee Performance construct. Factor 2 represents the commonality among these variables, indicating that they collectively measure the concept of Employee Performance.</w:t>
      </w:r>
      <w:r w:rsidRPr="002E6279">
        <w:t xml:space="preserve"> </w:t>
      </w:r>
      <w:r w:rsidRPr="002E6279">
        <w:rPr>
          <w:rFonts w:ascii="Times New Roman" w:hAnsi="Times New Roman" w:cs="Times New Roman"/>
          <w:sz w:val="24"/>
          <w:szCs w:val="24"/>
        </w:rPr>
        <w:t>CGHR1, CGHR2, CGHR3, CGHR4, and CGHR5 have substantial loadings on Factor 3. This indicates a strong relationship among these observable variables and suggests that they collectively contribute to the Challenges or Barriers construct. Factor 3 represents the shared variance among these variables, reflecting that they measure the concept of Challenges or Barriers in implementing green HR practices.</w:t>
      </w:r>
    </w:p>
    <w:p w14:paraId="36E1EF29" w14:textId="77777777" w:rsidR="00C52DFB" w:rsidRDefault="00C52DFB" w:rsidP="00E072CB">
      <w:pPr>
        <w:pStyle w:val="ListParagraph"/>
        <w:numPr>
          <w:ilvl w:val="1"/>
          <w:numId w:val="27"/>
        </w:numPr>
        <w:spacing w:after="200" w:line="360" w:lineRule="auto"/>
        <w:jc w:val="both"/>
        <w:rPr>
          <w:rFonts w:ascii="Times New Roman" w:hAnsi="Times New Roman" w:cs="Times New Roman"/>
          <w:b/>
          <w:sz w:val="24"/>
          <w:szCs w:val="24"/>
        </w:rPr>
      </w:pPr>
      <w:r w:rsidRPr="000A702C">
        <w:rPr>
          <w:rFonts w:ascii="Times New Roman" w:hAnsi="Times New Roman" w:cs="Times New Roman"/>
          <w:b/>
          <w:sz w:val="24"/>
          <w:szCs w:val="24"/>
        </w:rPr>
        <w:t>Regression model and hypothesis testing</w:t>
      </w:r>
    </w:p>
    <w:p w14:paraId="05EB4685" w14:textId="77777777" w:rsidR="00E84B58" w:rsidRPr="002E6279" w:rsidRDefault="00E84B58" w:rsidP="00E072CB">
      <w:pPr>
        <w:spacing w:line="360" w:lineRule="auto"/>
        <w:jc w:val="both"/>
        <w:rPr>
          <w:rFonts w:ascii="Times New Roman" w:hAnsi="Times New Roman" w:cs="Times New Roman"/>
          <w:bCs/>
          <w:sz w:val="24"/>
          <w:szCs w:val="28"/>
        </w:rPr>
      </w:pPr>
      <w:r w:rsidRPr="002E6279">
        <w:rPr>
          <w:rFonts w:ascii="Times New Roman" w:hAnsi="Times New Roman" w:cs="Times New Roman"/>
          <w:bCs/>
          <w:sz w:val="24"/>
          <w:szCs w:val="28"/>
        </w:rPr>
        <w:t xml:space="preserve">GHRM practices have significant influence on the employee Engagement, Employee Performance and </w:t>
      </w:r>
      <w:r w:rsidRPr="002E6279">
        <w:rPr>
          <w:rFonts w:ascii="Times New Roman" w:hAnsi="Times New Roman" w:cs="Times New Roman"/>
          <w:sz w:val="24"/>
          <w:szCs w:val="24"/>
        </w:rPr>
        <w:t>Challenges or Barriers in Implementing GHRM</w:t>
      </w:r>
      <w:r w:rsidRPr="002E6279">
        <w:rPr>
          <w:rFonts w:ascii="Times New Roman" w:hAnsi="Times New Roman" w:cs="Times New Roman"/>
          <w:bCs/>
          <w:sz w:val="24"/>
          <w:szCs w:val="28"/>
        </w:rPr>
        <w:t xml:space="preserve"> in Higher Education Institutions within the J&amp;K region.</w:t>
      </w:r>
    </w:p>
    <w:p w14:paraId="14A0BDA8" w14:textId="4F22EDD7" w:rsidR="00C52DFB" w:rsidRDefault="00C52DFB" w:rsidP="00E072CB">
      <w:pPr>
        <w:spacing w:line="360" w:lineRule="auto"/>
        <w:jc w:val="center"/>
        <w:rPr>
          <w:rFonts w:ascii="Times New Roman" w:hAnsi="Times New Roman" w:cs="Times New Roman"/>
          <w:sz w:val="24"/>
          <w:szCs w:val="24"/>
        </w:rPr>
      </w:pPr>
      <w:r w:rsidRPr="0089624C">
        <w:rPr>
          <w:rFonts w:ascii="Times New Roman" w:hAnsi="Times New Roman" w:cs="Times New Roman"/>
          <w:b/>
          <w:sz w:val="24"/>
          <w:szCs w:val="24"/>
        </w:rPr>
        <w:t xml:space="preserve">Table </w:t>
      </w:r>
      <w:r w:rsidR="00E072CB">
        <w:rPr>
          <w:rFonts w:ascii="Times New Roman" w:hAnsi="Times New Roman" w:cs="Times New Roman"/>
          <w:b/>
          <w:sz w:val="24"/>
          <w:szCs w:val="24"/>
        </w:rPr>
        <w:t>6</w:t>
      </w:r>
      <w:r w:rsidRPr="0089624C">
        <w:rPr>
          <w:rFonts w:ascii="Times New Roman" w:hAnsi="Times New Roman" w:cs="Times New Roman"/>
          <w:b/>
          <w:sz w:val="24"/>
          <w:szCs w:val="24"/>
        </w:rPr>
        <w:t>:</w:t>
      </w:r>
      <w:r>
        <w:rPr>
          <w:rFonts w:ascii="Times New Roman" w:hAnsi="Times New Roman" w:cs="Times New Roman"/>
          <w:b/>
          <w:sz w:val="24"/>
          <w:szCs w:val="24"/>
        </w:rPr>
        <w:t xml:space="preserve"> </w:t>
      </w:r>
      <w:r w:rsidRPr="0089624C">
        <w:rPr>
          <w:rFonts w:ascii="Times New Roman" w:hAnsi="Times New Roman" w:cs="Times New Roman"/>
          <w:sz w:val="24"/>
          <w:szCs w:val="24"/>
          <w:lang w:val="en-US"/>
        </w:rPr>
        <w:t>Model summary of variables</w:t>
      </w: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1362"/>
        <w:gridCol w:w="1362"/>
        <w:gridCol w:w="1867"/>
        <w:gridCol w:w="1958"/>
      </w:tblGrid>
      <w:tr w:rsidR="00C52DFB" w:rsidRPr="0059111E" w14:paraId="787E2AC8" w14:textId="77777777" w:rsidTr="00C52DFB">
        <w:trPr>
          <w:cantSplit/>
          <w:jc w:val="center"/>
        </w:trPr>
        <w:tc>
          <w:tcPr>
            <w:tcW w:w="7526" w:type="dxa"/>
            <w:gridSpan w:val="5"/>
            <w:shd w:val="clear" w:color="auto" w:fill="FFFFFF"/>
            <w:vAlign w:val="center"/>
          </w:tcPr>
          <w:p w14:paraId="75988DA0"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lang w:val="en-US"/>
              </w:rPr>
            </w:pPr>
            <w:r w:rsidRPr="0059111E">
              <w:rPr>
                <w:rFonts w:ascii="Times New Roman" w:hAnsi="Times New Roman" w:cs="Times New Roman"/>
                <w:b/>
                <w:bCs/>
                <w:color w:val="010205"/>
                <w:sz w:val="24"/>
                <w:szCs w:val="24"/>
                <w:lang w:val="en-US"/>
              </w:rPr>
              <w:t>Model Summary</w:t>
            </w:r>
          </w:p>
        </w:tc>
      </w:tr>
      <w:tr w:rsidR="00C52DFB" w:rsidRPr="0059111E" w14:paraId="144AB3FD" w14:textId="77777777" w:rsidTr="00C52DFB">
        <w:trPr>
          <w:cantSplit/>
          <w:jc w:val="center"/>
        </w:trPr>
        <w:tc>
          <w:tcPr>
            <w:tcW w:w="977" w:type="dxa"/>
            <w:shd w:val="clear" w:color="auto" w:fill="FFFFFF"/>
            <w:vAlign w:val="bottom"/>
          </w:tcPr>
          <w:p w14:paraId="1B3C3E02"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lang w:val="en-US"/>
              </w:rPr>
            </w:pPr>
            <w:r w:rsidRPr="0059111E">
              <w:rPr>
                <w:rFonts w:ascii="Times New Roman" w:hAnsi="Times New Roman" w:cs="Times New Roman"/>
                <w:color w:val="264A60"/>
                <w:sz w:val="24"/>
                <w:szCs w:val="24"/>
                <w:lang w:val="en-US"/>
              </w:rPr>
              <w:t>Model</w:t>
            </w:r>
          </w:p>
        </w:tc>
        <w:tc>
          <w:tcPr>
            <w:tcW w:w="1362" w:type="dxa"/>
            <w:shd w:val="clear" w:color="auto" w:fill="FFFFFF"/>
            <w:vAlign w:val="bottom"/>
          </w:tcPr>
          <w:p w14:paraId="7123963C"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lang w:val="en-US"/>
              </w:rPr>
            </w:pPr>
            <w:r w:rsidRPr="0059111E">
              <w:rPr>
                <w:rFonts w:ascii="Times New Roman" w:hAnsi="Times New Roman" w:cs="Times New Roman"/>
                <w:color w:val="264A60"/>
                <w:sz w:val="24"/>
                <w:szCs w:val="24"/>
                <w:lang w:val="en-US"/>
              </w:rPr>
              <w:t>R</w:t>
            </w:r>
          </w:p>
        </w:tc>
        <w:tc>
          <w:tcPr>
            <w:tcW w:w="1362" w:type="dxa"/>
            <w:shd w:val="clear" w:color="auto" w:fill="FFFFFF"/>
            <w:vAlign w:val="bottom"/>
          </w:tcPr>
          <w:p w14:paraId="7D476EE2"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lang w:val="en-US"/>
              </w:rPr>
            </w:pPr>
            <w:r w:rsidRPr="0059111E">
              <w:rPr>
                <w:rFonts w:ascii="Times New Roman" w:hAnsi="Times New Roman" w:cs="Times New Roman"/>
                <w:color w:val="264A60"/>
                <w:sz w:val="24"/>
                <w:szCs w:val="24"/>
                <w:lang w:val="en-US"/>
              </w:rPr>
              <w:t>R Square</w:t>
            </w:r>
          </w:p>
        </w:tc>
        <w:tc>
          <w:tcPr>
            <w:tcW w:w="1867" w:type="dxa"/>
            <w:shd w:val="clear" w:color="auto" w:fill="FFFFFF"/>
            <w:vAlign w:val="bottom"/>
          </w:tcPr>
          <w:p w14:paraId="3875D44E"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lang w:val="en-US"/>
              </w:rPr>
            </w:pPr>
            <w:r w:rsidRPr="0059111E">
              <w:rPr>
                <w:rFonts w:ascii="Times New Roman" w:hAnsi="Times New Roman" w:cs="Times New Roman"/>
                <w:color w:val="264A60"/>
                <w:sz w:val="24"/>
                <w:szCs w:val="24"/>
                <w:lang w:val="en-US"/>
              </w:rPr>
              <w:t>Adjusted R Square</w:t>
            </w:r>
          </w:p>
        </w:tc>
        <w:tc>
          <w:tcPr>
            <w:tcW w:w="1958" w:type="dxa"/>
            <w:shd w:val="clear" w:color="auto" w:fill="FFFFFF"/>
            <w:vAlign w:val="bottom"/>
          </w:tcPr>
          <w:p w14:paraId="1B5E8616"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lang w:val="en-US"/>
              </w:rPr>
            </w:pPr>
            <w:r w:rsidRPr="0059111E">
              <w:rPr>
                <w:rFonts w:ascii="Times New Roman" w:hAnsi="Times New Roman" w:cs="Times New Roman"/>
                <w:color w:val="264A60"/>
                <w:sz w:val="24"/>
                <w:szCs w:val="24"/>
                <w:lang w:val="en-US"/>
              </w:rPr>
              <w:t>Std. Error of the Estimate</w:t>
            </w:r>
          </w:p>
        </w:tc>
      </w:tr>
      <w:tr w:rsidR="00C52DFB" w:rsidRPr="0059111E" w14:paraId="6774C666" w14:textId="77777777" w:rsidTr="00C52DFB">
        <w:trPr>
          <w:cantSplit/>
          <w:jc w:val="center"/>
        </w:trPr>
        <w:tc>
          <w:tcPr>
            <w:tcW w:w="977" w:type="dxa"/>
            <w:shd w:val="clear" w:color="auto" w:fill="E0E0E0"/>
          </w:tcPr>
          <w:p w14:paraId="10E7BB04"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264A60"/>
                <w:sz w:val="24"/>
                <w:szCs w:val="24"/>
                <w:lang w:val="en-US"/>
              </w:rPr>
            </w:pPr>
            <w:r w:rsidRPr="0059111E">
              <w:rPr>
                <w:rFonts w:ascii="Times New Roman" w:hAnsi="Times New Roman" w:cs="Times New Roman"/>
                <w:color w:val="264A60"/>
                <w:sz w:val="24"/>
                <w:szCs w:val="24"/>
                <w:lang w:val="en-US"/>
              </w:rPr>
              <w:t>1</w:t>
            </w:r>
          </w:p>
        </w:tc>
        <w:tc>
          <w:tcPr>
            <w:tcW w:w="1362" w:type="dxa"/>
            <w:shd w:val="clear" w:color="auto" w:fill="FFFFFF"/>
          </w:tcPr>
          <w:p w14:paraId="24FE5495" w14:textId="5776A2C0"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lang w:val="en-US"/>
              </w:rPr>
            </w:pPr>
            <w:r w:rsidRPr="0059111E">
              <w:rPr>
                <w:rFonts w:ascii="Times New Roman" w:hAnsi="Times New Roman" w:cs="Times New Roman"/>
                <w:color w:val="010205"/>
                <w:sz w:val="24"/>
                <w:szCs w:val="24"/>
                <w:lang w:val="en-US"/>
              </w:rPr>
              <w:t>.</w:t>
            </w:r>
            <w:r w:rsidR="0095620B">
              <w:rPr>
                <w:rFonts w:ascii="Times New Roman" w:hAnsi="Times New Roman" w:cs="Times New Roman"/>
                <w:color w:val="010205"/>
                <w:sz w:val="24"/>
                <w:szCs w:val="24"/>
                <w:lang w:val="en-US"/>
              </w:rPr>
              <w:t>844</w:t>
            </w:r>
            <w:r w:rsidR="0095620B" w:rsidRPr="0059111E">
              <w:rPr>
                <w:rFonts w:ascii="Times New Roman" w:hAnsi="Times New Roman" w:cs="Times New Roman"/>
                <w:color w:val="010205"/>
                <w:sz w:val="24"/>
                <w:szCs w:val="24"/>
                <w:vertAlign w:val="superscript"/>
                <w:lang w:val="en-US"/>
              </w:rPr>
              <w:t xml:space="preserve"> </w:t>
            </w:r>
            <w:r w:rsidRPr="0059111E">
              <w:rPr>
                <w:rFonts w:ascii="Times New Roman" w:hAnsi="Times New Roman" w:cs="Times New Roman"/>
                <w:color w:val="010205"/>
                <w:sz w:val="24"/>
                <w:szCs w:val="24"/>
                <w:vertAlign w:val="superscript"/>
                <w:lang w:val="en-US"/>
              </w:rPr>
              <w:t>a</w:t>
            </w:r>
          </w:p>
        </w:tc>
        <w:tc>
          <w:tcPr>
            <w:tcW w:w="1362" w:type="dxa"/>
            <w:shd w:val="clear" w:color="auto" w:fill="FFFFFF"/>
          </w:tcPr>
          <w:p w14:paraId="4BFFA096" w14:textId="66210EE1" w:rsidR="00C52DFB" w:rsidRPr="0059111E" w:rsidRDefault="0095620B" w:rsidP="00E072CB">
            <w:pPr>
              <w:autoSpaceDE w:val="0"/>
              <w:autoSpaceDN w:val="0"/>
              <w:adjustRightInd w:val="0"/>
              <w:spacing w:after="0" w:line="360" w:lineRule="auto"/>
              <w:ind w:left="60" w:right="60"/>
              <w:jc w:val="both"/>
              <w:rPr>
                <w:rFonts w:ascii="Times New Roman" w:hAnsi="Times New Roman" w:cs="Times New Roman"/>
                <w:color w:val="010205"/>
                <w:sz w:val="24"/>
                <w:szCs w:val="24"/>
                <w:lang w:val="en-US"/>
              </w:rPr>
            </w:pPr>
            <w:r>
              <w:rPr>
                <w:rFonts w:ascii="Times New Roman" w:hAnsi="Times New Roman" w:cs="Times New Roman"/>
                <w:color w:val="010205"/>
                <w:sz w:val="24"/>
                <w:szCs w:val="24"/>
                <w:lang w:val="en-US"/>
              </w:rPr>
              <w:t>.856</w:t>
            </w:r>
          </w:p>
        </w:tc>
        <w:tc>
          <w:tcPr>
            <w:tcW w:w="1867" w:type="dxa"/>
            <w:shd w:val="clear" w:color="auto" w:fill="FFFFFF"/>
          </w:tcPr>
          <w:p w14:paraId="28C066C5" w14:textId="0638CB2C" w:rsidR="00C52DFB" w:rsidRPr="0059111E" w:rsidRDefault="0095620B" w:rsidP="00E072CB">
            <w:pPr>
              <w:autoSpaceDE w:val="0"/>
              <w:autoSpaceDN w:val="0"/>
              <w:adjustRightInd w:val="0"/>
              <w:spacing w:after="0" w:line="360" w:lineRule="auto"/>
              <w:ind w:left="60" w:right="60"/>
              <w:jc w:val="both"/>
              <w:rPr>
                <w:rFonts w:ascii="Times New Roman" w:hAnsi="Times New Roman" w:cs="Times New Roman"/>
                <w:color w:val="010205"/>
                <w:sz w:val="24"/>
                <w:szCs w:val="24"/>
                <w:lang w:val="en-US"/>
              </w:rPr>
            </w:pPr>
            <w:r>
              <w:rPr>
                <w:rFonts w:ascii="Times New Roman" w:hAnsi="Times New Roman" w:cs="Times New Roman"/>
                <w:color w:val="010205"/>
                <w:sz w:val="24"/>
                <w:szCs w:val="24"/>
                <w:lang w:val="en-US"/>
              </w:rPr>
              <w:t>.623</w:t>
            </w:r>
          </w:p>
        </w:tc>
        <w:tc>
          <w:tcPr>
            <w:tcW w:w="1958" w:type="dxa"/>
            <w:shd w:val="clear" w:color="auto" w:fill="FFFFFF"/>
          </w:tcPr>
          <w:p w14:paraId="783369F5" w14:textId="77777777"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lang w:val="en-US"/>
              </w:rPr>
            </w:pPr>
            <w:r w:rsidRPr="0059111E">
              <w:rPr>
                <w:rFonts w:ascii="Times New Roman" w:hAnsi="Times New Roman" w:cs="Times New Roman"/>
                <w:color w:val="010205"/>
                <w:sz w:val="24"/>
                <w:szCs w:val="24"/>
                <w:lang w:val="en-US"/>
              </w:rPr>
              <w:t>.90049</w:t>
            </w:r>
          </w:p>
        </w:tc>
      </w:tr>
      <w:tr w:rsidR="00C52DFB" w:rsidRPr="0059111E" w14:paraId="51A9354E" w14:textId="77777777" w:rsidTr="00C52DFB">
        <w:trPr>
          <w:cantSplit/>
          <w:trHeight w:val="373"/>
          <w:jc w:val="center"/>
        </w:trPr>
        <w:tc>
          <w:tcPr>
            <w:tcW w:w="7526" w:type="dxa"/>
            <w:gridSpan w:val="5"/>
            <w:shd w:val="clear" w:color="auto" w:fill="FFFFFF"/>
          </w:tcPr>
          <w:p w14:paraId="05EC3490" w14:textId="408CFDFF" w:rsidR="00C52DFB" w:rsidRPr="0059111E" w:rsidRDefault="00C52DFB" w:rsidP="00E072CB">
            <w:pPr>
              <w:autoSpaceDE w:val="0"/>
              <w:autoSpaceDN w:val="0"/>
              <w:adjustRightInd w:val="0"/>
              <w:spacing w:after="0" w:line="360" w:lineRule="auto"/>
              <w:ind w:left="60" w:right="60"/>
              <w:jc w:val="both"/>
              <w:rPr>
                <w:rFonts w:ascii="Times New Roman" w:hAnsi="Times New Roman" w:cs="Times New Roman"/>
                <w:color w:val="010205"/>
                <w:sz w:val="24"/>
                <w:szCs w:val="24"/>
                <w:lang w:val="en-US"/>
              </w:rPr>
            </w:pPr>
            <w:r w:rsidRPr="0059111E">
              <w:rPr>
                <w:rFonts w:ascii="Times New Roman" w:hAnsi="Times New Roman" w:cs="Times New Roman"/>
                <w:color w:val="010205"/>
                <w:sz w:val="24"/>
                <w:szCs w:val="24"/>
                <w:lang w:val="en-US"/>
              </w:rPr>
              <w:t xml:space="preserve">a. Predictors: (Constant), </w:t>
            </w:r>
            <w:r w:rsidR="0095620B" w:rsidRPr="0095620B">
              <w:rPr>
                <w:rFonts w:ascii="Times New Roman" w:hAnsi="Times New Roman" w:cs="Times New Roman"/>
                <w:sz w:val="24"/>
                <w:szCs w:val="28"/>
              </w:rPr>
              <w:t>Implementation of GHRM Practices</w:t>
            </w:r>
          </w:p>
        </w:tc>
      </w:tr>
    </w:tbl>
    <w:p w14:paraId="47079113" w14:textId="77777777" w:rsidR="002E6279" w:rsidRDefault="002E6279" w:rsidP="00E072CB">
      <w:pPr>
        <w:spacing w:line="360" w:lineRule="auto"/>
        <w:jc w:val="both"/>
        <w:rPr>
          <w:rFonts w:ascii="Times New Roman" w:hAnsi="Times New Roman" w:cs="Times New Roman"/>
          <w:sz w:val="24"/>
          <w:szCs w:val="24"/>
        </w:rPr>
      </w:pPr>
    </w:p>
    <w:p w14:paraId="636EC5A1" w14:textId="3F615B4C" w:rsidR="00C52DFB" w:rsidRDefault="001002B4" w:rsidP="00E072CB">
      <w:pPr>
        <w:spacing w:line="360" w:lineRule="auto"/>
        <w:jc w:val="both"/>
        <w:rPr>
          <w:rFonts w:ascii="Times New Roman" w:hAnsi="Times New Roman" w:cs="Times New Roman"/>
          <w:sz w:val="24"/>
          <w:szCs w:val="24"/>
        </w:rPr>
      </w:pPr>
      <w:r w:rsidRPr="001002B4">
        <w:rPr>
          <w:rFonts w:ascii="Times New Roman" w:hAnsi="Times New Roman" w:cs="Times New Roman"/>
          <w:sz w:val="24"/>
          <w:szCs w:val="24"/>
        </w:rPr>
        <w:t xml:space="preserve">The adequacy of the relapse model is summed up in Table 6. Employee engagement, employee performance, and difficulties or hindrances in carrying out GHRM are unequivocally connected with the free factor, "Execution of GHRM Works on," as per the worth of R, which </w:t>
      </w:r>
      <w:r w:rsidRPr="001002B4">
        <w:rPr>
          <w:rFonts w:ascii="Times New Roman" w:hAnsi="Times New Roman" w:cs="Times New Roman"/>
          <w:sz w:val="24"/>
          <w:szCs w:val="24"/>
        </w:rPr>
        <w:lastRenderedPageBreak/>
        <w:t>is 0.844. The free factor might represent around 85.6% of the variety in the reliant factors, as per the R Square worth of 0.856.</w:t>
      </w:r>
      <w:r w:rsidR="002E6279" w:rsidRPr="002E6279">
        <w:rPr>
          <w:rFonts w:ascii="Times New Roman" w:hAnsi="Times New Roman" w:cs="Times New Roman"/>
          <w:sz w:val="24"/>
          <w:szCs w:val="24"/>
        </w:rPr>
        <w:t xml:space="preserve"> </w:t>
      </w:r>
    </w:p>
    <w:p w14:paraId="4B0AB04C" w14:textId="78F263CC" w:rsidR="00C52DFB" w:rsidRDefault="00C52DFB" w:rsidP="00E072CB">
      <w:pPr>
        <w:spacing w:line="360" w:lineRule="auto"/>
        <w:jc w:val="center"/>
        <w:rPr>
          <w:rFonts w:ascii="Times New Roman" w:hAnsi="Times New Roman" w:cs="Times New Roman"/>
          <w:sz w:val="24"/>
          <w:szCs w:val="24"/>
        </w:rPr>
      </w:pPr>
      <w:r w:rsidRPr="00E11C6D">
        <w:rPr>
          <w:rFonts w:ascii="Times New Roman" w:hAnsi="Times New Roman" w:cs="Times New Roman"/>
          <w:b/>
          <w:sz w:val="24"/>
          <w:szCs w:val="24"/>
        </w:rPr>
        <w:t xml:space="preserve">Table </w:t>
      </w:r>
      <w:r w:rsidR="00E072CB">
        <w:rPr>
          <w:rFonts w:ascii="Times New Roman" w:hAnsi="Times New Roman" w:cs="Times New Roman"/>
          <w:b/>
          <w:sz w:val="24"/>
          <w:szCs w:val="24"/>
        </w:rPr>
        <w:t>7</w:t>
      </w:r>
      <w:r w:rsidRPr="00E11C6D">
        <w:rPr>
          <w:rFonts w:ascii="Times New Roman" w:hAnsi="Times New Roman" w:cs="Times New Roman"/>
          <w:b/>
          <w:sz w:val="24"/>
          <w:szCs w:val="24"/>
        </w:rPr>
        <w:t>:</w:t>
      </w:r>
      <w:r>
        <w:rPr>
          <w:rFonts w:ascii="Times New Roman" w:hAnsi="Times New Roman" w:cs="Times New Roman"/>
          <w:b/>
          <w:sz w:val="24"/>
          <w:szCs w:val="24"/>
        </w:rPr>
        <w:t xml:space="preserve"> </w:t>
      </w:r>
      <w:r w:rsidRPr="00C059C6">
        <w:rPr>
          <w:rFonts w:ascii="Times New Roman" w:hAnsi="Times New Roman" w:cs="Times New Roman"/>
          <w:sz w:val="24"/>
          <w:szCs w:val="24"/>
        </w:rPr>
        <w:t>Multiple linear regression analysis findings</w:t>
      </w:r>
    </w:p>
    <w:tbl>
      <w:tblPr>
        <w:tblW w:w="7306" w:type="dxa"/>
        <w:jc w:val="center"/>
        <w:tblLook w:val="04A0" w:firstRow="1" w:lastRow="0" w:firstColumn="1" w:lastColumn="0" w:noHBand="0" w:noVBand="1"/>
      </w:tblPr>
      <w:tblGrid>
        <w:gridCol w:w="922"/>
        <w:gridCol w:w="1363"/>
        <w:gridCol w:w="1031"/>
        <w:gridCol w:w="971"/>
        <w:gridCol w:w="1017"/>
        <w:gridCol w:w="1012"/>
        <w:gridCol w:w="990"/>
      </w:tblGrid>
      <w:tr w:rsidR="00C52DFB" w:rsidRPr="00E11C6D" w14:paraId="2B290822" w14:textId="77777777" w:rsidTr="00C52DFB">
        <w:trPr>
          <w:trHeight w:val="288"/>
          <w:jc w:val="center"/>
        </w:trPr>
        <w:tc>
          <w:tcPr>
            <w:tcW w:w="73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1A2C79" w14:textId="77777777" w:rsidR="00C52DFB" w:rsidRPr="00E11C6D" w:rsidRDefault="00C52DFB" w:rsidP="00E072CB">
            <w:pPr>
              <w:spacing w:after="0" w:line="360" w:lineRule="auto"/>
              <w:jc w:val="both"/>
              <w:rPr>
                <w:rFonts w:ascii="Times New Roman" w:hAnsi="Times New Roman" w:cs="Times New Roman"/>
                <w:b/>
                <w:bCs/>
                <w:sz w:val="24"/>
                <w:szCs w:val="24"/>
                <w:lang w:val="en-US"/>
              </w:rPr>
            </w:pPr>
            <w:r w:rsidRPr="00E11C6D">
              <w:rPr>
                <w:rFonts w:ascii="Times New Roman" w:hAnsi="Times New Roman" w:cs="Times New Roman"/>
                <w:b/>
                <w:bCs/>
                <w:sz w:val="24"/>
                <w:szCs w:val="24"/>
                <w:lang w:val="en-US"/>
              </w:rPr>
              <w:t>ANOVA</w:t>
            </w:r>
            <w:r w:rsidRPr="00E11C6D">
              <w:rPr>
                <w:rFonts w:ascii="Times New Roman" w:hAnsi="Times New Roman" w:cs="Times New Roman"/>
                <w:b/>
                <w:bCs/>
                <w:sz w:val="24"/>
                <w:szCs w:val="24"/>
                <w:vertAlign w:val="superscript"/>
                <w:lang w:val="en-US"/>
              </w:rPr>
              <w:t>a</w:t>
            </w:r>
          </w:p>
        </w:tc>
      </w:tr>
      <w:tr w:rsidR="00C52DFB" w:rsidRPr="00E11C6D" w14:paraId="013284EC" w14:textId="77777777" w:rsidTr="00C52DFB">
        <w:trPr>
          <w:trHeight w:val="480"/>
          <w:jc w:val="center"/>
        </w:trPr>
        <w:tc>
          <w:tcPr>
            <w:tcW w:w="22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29C2A9"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Model</w:t>
            </w:r>
          </w:p>
        </w:tc>
        <w:tc>
          <w:tcPr>
            <w:tcW w:w="1031" w:type="dxa"/>
            <w:tcBorders>
              <w:top w:val="nil"/>
              <w:left w:val="nil"/>
              <w:bottom w:val="single" w:sz="4" w:space="0" w:color="auto"/>
              <w:right w:val="single" w:sz="4" w:space="0" w:color="auto"/>
            </w:tcBorders>
            <w:shd w:val="clear" w:color="auto" w:fill="auto"/>
            <w:vAlign w:val="bottom"/>
            <w:hideMark/>
          </w:tcPr>
          <w:p w14:paraId="3D1DC415"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Sum of Squares</w:t>
            </w:r>
          </w:p>
        </w:tc>
        <w:tc>
          <w:tcPr>
            <w:tcW w:w="971" w:type="dxa"/>
            <w:tcBorders>
              <w:top w:val="nil"/>
              <w:left w:val="nil"/>
              <w:bottom w:val="single" w:sz="4" w:space="0" w:color="auto"/>
              <w:right w:val="single" w:sz="4" w:space="0" w:color="auto"/>
            </w:tcBorders>
            <w:shd w:val="clear" w:color="auto" w:fill="auto"/>
            <w:vAlign w:val="bottom"/>
            <w:hideMark/>
          </w:tcPr>
          <w:p w14:paraId="39F828AE"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df</w:t>
            </w:r>
          </w:p>
        </w:tc>
        <w:tc>
          <w:tcPr>
            <w:tcW w:w="1017" w:type="dxa"/>
            <w:tcBorders>
              <w:top w:val="nil"/>
              <w:left w:val="nil"/>
              <w:bottom w:val="single" w:sz="4" w:space="0" w:color="auto"/>
              <w:right w:val="single" w:sz="4" w:space="0" w:color="auto"/>
            </w:tcBorders>
            <w:shd w:val="clear" w:color="auto" w:fill="auto"/>
            <w:vAlign w:val="bottom"/>
            <w:hideMark/>
          </w:tcPr>
          <w:p w14:paraId="003D66E5"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Mean Square</w:t>
            </w:r>
          </w:p>
        </w:tc>
        <w:tc>
          <w:tcPr>
            <w:tcW w:w="1012" w:type="dxa"/>
            <w:tcBorders>
              <w:top w:val="nil"/>
              <w:left w:val="nil"/>
              <w:bottom w:val="single" w:sz="4" w:space="0" w:color="auto"/>
              <w:right w:val="single" w:sz="4" w:space="0" w:color="auto"/>
            </w:tcBorders>
            <w:shd w:val="clear" w:color="auto" w:fill="auto"/>
            <w:vAlign w:val="bottom"/>
            <w:hideMark/>
          </w:tcPr>
          <w:p w14:paraId="4EA0FDD6"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F</w:t>
            </w:r>
          </w:p>
        </w:tc>
        <w:tc>
          <w:tcPr>
            <w:tcW w:w="990" w:type="dxa"/>
            <w:tcBorders>
              <w:top w:val="nil"/>
              <w:left w:val="nil"/>
              <w:bottom w:val="single" w:sz="4" w:space="0" w:color="auto"/>
              <w:right w:val="single" w:sz="4" w:space="0" w:color="auto"/>
            </w:tcBorders>
            <w:shd w:val="clear" w:color="auto" w:fill="auto"/>
            <w:vAlign w:val="bottom"/>
            <w:hideMark/>
          </w:tcPr>
          <w:p w14:paraId="1136DFC0"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Sig.</w:t>
            </w:r>
          </w:p>
        </w:tc>
      </w:tr>
      <w:tr w:rsidR="00C52DFB" w:rsidRPr="00E11C6D" w14:paraId="7638BB75" w14:textId="77777777" w:rsidTr="00C52DFB">
        <w:trPr>
          <w:trHeight w:val="456"/>
          <w:jc w:val="center"/>
        </w:trPr>
        <w:tc>
          <w:tcPr>
            <w:tcW w:w="922"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0A21FFBE"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1</w:t>
            </w:r>
          </w:p>
        </w:tc>
        <w:tc>
          <w:tcPr>
            <w:tcW w:w="1363" w:type="dxa"/>
            <w:tcBorders>
              <w:top w:val="nil"/>
              <w:left w:val="nil"/>
              <w:bottom w:val="single" w:sz="4" w:space="0" w:color="auto"/>
              <w:right w:val="single" w:sz="4" w:space="0" w:color="auto"/>
            </w:tcBorders>
            <w:shd w:val="clear" w:color="auto" w:fill="D9D9D9" w:themeFill="background1" w:themeFillShade="D9"/>
            <w:hideMark/>
          </w:tcPr>
          <w:p w14:paraId="555CE3BB"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Regression</w:t>
            </w:r>
          </w:p>
        </w:tc>
        <w:tc>
          <w:tcPr>
            <w:tcW w:w="1031" w:type="dxa"/>
            <w:tcBorders>
              <w:top w:val="nil"/>
              <w:left w:val="nil"/>
              <w:bottom w:val="single" w:sz="4" w:space="0" w:color="auto"/>
              <w:right w:val="single" w:sz="4" w:space="0" w:color="auto"/>
            </w:tcBorders>
            <w:shd w:val="clear" w:color="auto" w:fill="auto"/>
            <w:noWrap/>
            <w:hideMark/>
          </w:tcPr>
          <w:p w14:paraId="67995BC1" w14:textId="4EF9DB0B" w:rsidR="00C52DFB" w:rsidRPr="00E11C6D" w:rsidRDefault="007D2130" w:rsidP="00E072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345.082</w:t>
            </w:r>
          </w:p>
        </w:tc>
        <w:tc>
          <w:tcPr>
            <w:tcW w:w="971" w:type="dxa"/>
            <w:tcBorders>
              <w:top w:val="nil"/>
              <w:left w:val="nil"/>
              <w:bottom w:val="single" w:sz="4" w:space="0" w:color="auto"/>
              <w:right w:val="single" w:sz="4" w:space="0" w:color="auto"/>
            </w:tcBorders>
            <w:shd w:val="clear" w:color="auto" w:fill="auto"/>
            <w:noWrap/>
            <w:hideMark/>
          </w:tcPr>
          <w:p w14:paraId="0161E30B" w14:textId="19061A0A" w:rsidR="00C52DFB" w:rsidRPr="00E11C6D" w:rsidRDefault="007D2130" w:rsidP="00E072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17" w:type="dxa"/>
            <w:tcBorders>
              <w:top w:val="nil"/>
              <w:left w:val="nil"/>
              <w:bottom w:val="single" w:sz="4" w:space="0" w:color="auto"/>
              <w:right w:val="single" w:sz="4" w:space="0" w:color="auto"/>
            </w:tcBorders>
            <w:shd w:val="clear" w:color="auto" w:fill="auto"/>
            <w:noWrap/>
            <w:hideMark/>
          </w:tcPr>
          <w:p w14:paraId="234FCE00" w14:textId="0FBB67C2" w:rsidR="00C52DFB" w:rsidRPr="00E11C6D" w:rsidRDefault="007D2130" w:rsidP="007D213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69.629</w:t>
            </w:r>
          </w:p>
        </w:tc>
        <w:tc>
          <w:tcPr>
            <w:tcW w:w="1012" w:type="dxa"/>
            <w:tcBorders>
              <w:top w:val="nil"/>
              <w:left w:val="nil"/>
              <w:bottom w:val="single" w:sz="4" w:space="0" w:color="auto"/>
              <w:right w:val="single" w:sz="4" w:space="0" w:color="auto"/>
            </w:tcBorders>
            <w:shd w:val="clear" w:color="auto" w:fill="auto"/>
            <w:noWrap/>
            <w:hideMark/>
          </w:tcPr>
          <w:p w14:paraId="479EA7E6" w14:textId="111281C9" w:rsidR="00C52DFB" w:rsidRPr="00E11C6D" w:rsidRDefault="00C52DFB" w:rsidP="007D213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423</w:t>
            </w:r>
            <w:r w:rsidR="007D2130">
              <w:rPr>
                <w:rFonts w:ascii="Times New Roman" w:hAnsi="Times New Roman" w:cs="Times New Roman"/>
                <w:sz w:val="24"/>
                <w:szCs w:val="24"/>
                <w:lang w:val="en-US"/>
              </w:rPr>
              <w:t>.236</w:t>
            </w:r>
          </w:p>
        </w:tc>
        <w:tc>
          <w:tcPr>
            <w:tcW w:w="990" w:type="dxa"/>
            <w:tcBorders>
              <w:top w:val="nil"/>
              <w:left w:val="nil"/>
              <w:bottom w:val="single" w:sz="4" w:space="0" w:color="auto"/>
              <w:right w:val="single" w:sz="4" w:space="0" w:color="auto"/>
            </w:tcBorders>
            <w:shd w:val="clear" w:color="auto" w:fill="auto"/>
            <w:noWrap/>
            <w:hideMark/>
          </w:tcPr>
          <w:p w14:paraId="2C9BF5FD"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.000</w:t>
            </w:r>
            <w:r w:rsidRPr="00E11C6D">
              <w:rPr>
                <w:rFonts w:ascii="Times New Roman" w:hAnsi="Times New Roman" w:cs="Times New Roman"/>
                <w:sz w:val="24"/>
                <w:szCs w:val="24"/>
                <w:vertAlign w:val="superscript"/>
                <w:lang w:val="en-US"/>
              </w:rPr>
              <w:t>b</w:t>
            </w:r>
          </w:p>
        </w:tc>
      </w:tr>
      <w:tr w:rsidR="00C52DFB" w:rsidRPr="00E11C6D" w14:paraId="4FE77539" w14:textId="77777777" w:rsidTr="00C52DFB">
        <w:trPr>
          <w:trHeight w:val="288"/>
          <w:jc w:val="center"/>
        </w:trPr>
        <w:tc>
          <w:tcPr>
            <w:tcW w:w="92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7C5B74" w14:textId="77777777" w:rsidR="00C52DFB" w:rsidRPr="00E11C6D" w:rsidRDefault="00C52DFB" w:rsidP="00E072CB">
            <w:pPr>
              <w:spacing w:after="0" w:line="360" w:lineRule="auto"/>
              <w:jc w:val="both"/>
              <w:rPr>
                <w:rFonts w:ascii="Times New Roman" w:hAnsi="Times New Roman" w:cs="Times New Roman"/>
                <w:sz w:val="24"/>
                <w:szCs w:val="24"/>
                <w:lang w:val="en-US"/>
              </w:rPr>
            </w:pPr>
          </w:p>
        </w:tc>
        <w:tc>
          <w:tcPr>
            <w:tcW w:w="1363" w:type="dxa"/>
            <w:tcBorders>
              <w:top w:val="nil"/>
              <w:left w:val="nil"/>
              <w:bottom w:val="single" w:sz="4" w:space="0" w:color="auto"/>
              <w:right w:val="single" w:sz="4" w:space="0" w:color="auto"/>
            </w:tcBorders>
            <w:shd w:val="clear" w:color="auto" w:fill="D9D9D9" w:themeFill="background1" w:themeFillShade="D9"/>
            <w:hideMark/>
          </w:tcPr>
          <w:p w14:paraId="32CD7D2F"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Residual</w:t>
            </w:r>
          </w:p>
        </w:tc>
        <w:tc>
          <w:tcPr>
            <w:tcW w:w="1031" w:type="dxa"/>
            <w:tcBorders>
              <w:top w:val="nil"/>
              <w:left w:val="nil"/>
              <w:bottom w:val="single" w:sz="4" w:space="0" w:color="auto"/>
              <w:right w:val="single" w:sz="4" w:space="0" w:color="auto"/>
            </w:tcBorders>
            <w:shd w:val="clear" w:color="auto" w:fill="auto"/>
            <w:noWrap/>
            <w:hideMark/>
          </w:tcPr>
          <w:p w14:paraId="10483A49" w14:textId="3B0BB5BC" w:rsidR="00C52DFB" w:rsidRPr="00E11C6D" w:rsidRDefault="007D2130" w:rsidP="007D213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269.235</w:t>
            </w:r>
          </w:p>
        </w:tc>
        <w:tc>
          <w:tcPr>
            <w:tcW w:w="971" w:type="dxa"/>
            <w:tcBorders>
              <w:top w:val="nil"/>
              <w:left w:val="nil"/>
              <w:bottom w:val="single" w:sz="4" w:space="0" w:color="auto"/>
              <w:right w:val="single" w:sz="4" w:space="0" w:color="auto"/>
            </w:tcBorders>
            <w:shd w:val="clear" w:color="auto" w:fill="auto"/>
            <w:noWrap/>
            <w:hideMark/>
          </w:tcPr>
          <w:p w14:paraId="3DF0BD90" w14:textId="120594D3" w:rsidR="00C52DFB" w:rsidRPr="00E11C6D" w:rsidRDefault="007D2130" w:rsidP="00E072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198</w:t>
            </w:r>
          </w:p>
        </w:tc>
        <w:tc>
          <w:tcPr>
            <w:tcW w:w="1017" w:type="dxa"/>
            <w:tcBorders>
              <w:top w:val="nil"/>
              <w:left w:val="nil"/>
              <w:bottom w:val="single" w:sz="4" w:space="0" w:color="auto"/>
              <w:right w:val="single" w:sz="4" w:space="0" w:color="auto"/>
            </w:tcBorders>
            <w:shd w:val="clear" w:color="auto" w:fill="auto"/>
            <w:noWrap/>
            <w:hideMark/>
          </w:tcPr>
          <w:p w14:paraId="57A51C3F" w14:textId="7A55B1BE" w:rsidR="00C52DFB" w:rsidRPr="00E11C6D" w:rsidRDefault="007D2130" w:rsidP="00E072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.922</w:t>
            </w:r>
          </w:p>
        </w:tc>
        <w:tc>
          <w:tcPr>
            <w:tcW w:w="1012" w:type="dxa"/>
            <w:tcBorders>
              <w:top w:val="nil"/>
              <w:left w:val="nil"/>
              <w:bottom w:val="single" w:sz="4" w:space="0" w:color="auto"/>
              <w:right w:val="single" w:sz="4" w:space="0" w:color="auto"/>
            </w:tcBorders>
            <w:shd w:val="clear" w:color="auto" w:fill="auto"/>
            <w:hideMark/>
          </w:tcPr>
          <w:p w14:paraId="74397C0B"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w:t>
            </w:r>
          </w:p>
        </w:tc>
        <w:tc>
          <w:tcPr>
            <w:tcW w:w="990" w:type="dxa"/>
            <w:tcBorders>
              <w:top w:val="nil"/>
              <w:left w:val="nil"/>
              <w:bottom w:val="single" w:sz="4" w:space="0" w:color="auto"/>
              <w:right w:val="single" w:sz="4" w:space="0" w:color="auto"/>
            </w:tcBorders>
            <w:shd w:val="clear" w:color="auto" w:fill="auto"/>
            <w:hideMark/>
          </w:tcPr>
          <w:p w14:paraId="5C58A60F"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w:t>
            </w:r>
          </w:p>
        </w:tc>
      </w:tr>
      <w:tr w:rsidR="00C52DFB" w:rsidRPr="00E11C6D" w14:paraId="48586344" w14:textId="77777777" w:rsidTr="00C52DFB">
        <w:trPr>
          <w:trHeight w:val="288"/>
          <w:jc w:val="center"/>
        </w:trPr>
        <w:tc>
          <w:tcPr>
            <w:tcW w:w="92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88FB7F" w14:textId="77777777" w:rsidR="00C52DFB" w:rsidRPr="00E11C6D" w:rsidRDefault="00C52DFB" w:rsidP="00E072CB">
            <w:pPr>
              <w:spacing w:after="0" w:line="360" w:lineRule="auto"/>
              <w:jc w:val="both"/>
              <w:rPr>
                <w:rFonts w:ascii="Times New Roman" w:hAnsi="Times New Roman" w:cs="Times New Roman"/>
                <w:sz w:val="24"/>
                <w:szCs w:val="24"/>
                <w:lang w:val="en-US"/>
              </w:rPr>
            </w:pPr>
          </w:p>
        </w:tc>
        <w:tc>
          <w:tcPr>
            <w:tcW w:w="1363" w:type="dxa"/>
            <w:tcBorders>
              <w:top w:val="nil"/>
              <w:left w:val="nil"/>
              <w:bottom w:val="single" w:sz="4" w:space="0" w:color="auto"/>
              <w:right w:val="single" w:sz="4" w:space="0" w:color="auto"/>
            </w:tcBorders>
            <w:shd w:val="clear" w:color="auto" w:fill="D9D9D9" w:themeFill="background1" w:themeFillShade="D9"/>
            <w:hideMark/>
          </w:tcPr>
          <w:p w14:paraId="0B2537A4"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Total</w:t>
            </w:r>
          </w:p>
        </w:tc>
        <w:tc>
          <w:tcPr>
            <w:tcW w:w="1031" w:type="dxa"/>
            <w:tcBorders>
              <w:top w:val="nil"/>
              <w:left w:val="nil"/>
              <w:bottom w:val="single" w:sz="4" w:space="0" w:color="auto"/>
              <w:right w:val="single" w:sz="4" w:space="0" w:color="auto"/>
            </w:tcBorders>
            <w:shd w:val="clear" w:color="auto" w:fill="auto"/>
            <w:noWrap/>
            <w:hideMark/>
          </w:tcPr>
          <w:p w14:paraId="2DD455D6" w14:textId="27667C38" w:rsidR="00C52DFB" w:rsidRPr="00E11C6D" w:rsidRDefault="007D2130" w:rsidP="00E072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614.317</w:t>
            </w:r>
          </w:p>
        </w:tc>
        <w:tc>
          <w:tcPr>
            <w:tcW w:w="971" w:type="dxa"/>
            <w:tcBorders>
              <w:top w:val="nil"/>
              <w:left w:val="nil"/>
              <w:bottom w:val="single" w:sz="4" w:space="0" w:color="auto"/>
              <w:right w:val="single" w:sz="4" w:space="0" w:color="auto"/>
            </w:tcBorders>
            <w:shd w:val="clear" w:color="auto" w:fill="auto"/>
            <w:noWrap/>
            <w:hideMark/>
          </w:tcPr>
          <w:p w14:paraId="45EDC29E"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199</w:t>
            </w:r>
          </w:p>
        </w:tc>
        <w:tc>
          <w:tcPr>
            <w:tcW w:w="1017" w:type="dxa"/>
            <w:tcBorders>
              <w:top w:val="nil"/>
              <w:left w:val="nil"/>
              <w:bottom w:val="single" w:sz="4" w:space="0" w:color="auto"/>
              <w:right w:val="single" w:sz="4" w:space="0" w:color="auto"/>
            </w:tcBorders>
            <w:shd w:val="clear" w:color="auto" w:fill="auto"/>
            <w:hideMark/>
          </w:tcPr>
          <w:p w14:paraId="4D4FF300"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w:t>
            </w:r>
          </w:p>
        </w:tc>
        <w:tc>
          <w:tcPr>
            <w:tcW w:w="1012" w:type="dxa"/>
            <w:tcBorders>
              <w:top w:val="nil"/>
              <w:left w:val="nil"/>
              <w:bottom w:val="single" w:sz="4" w:space="0" w:color="auto"/>
              <w:right w:val="single" w:sz="4" w:space="0" w:color="auto"/>
            </w:tcBorders>
            <w:shd w:val="clear" w:color="auto" w:fill="auto"/>
            <w:hideMark/>
          </w:tcPr>
          <w:p w14:paraId="0F2A2B68"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w:t>
            </w:r>
          </w:p>
        </w:tc>
        <w:tc>
          <w:tcPr>
            <w:tcW w:w="990" w:type="dxa"/>
            <w:tcBorders>
              <w:top w:val="nil"/>
              <w:left w:val="nil"/>
              <w:bottom w:val="single" w:sz="4" w:space="0" w:color="auto"/>
              <w:right w:val="single" w:sz="4" w:space="0" w:color="auto"/>
            </w:tcBorders>
            <w:shd w:val="clear" w:color="auto" w:fill="auto"/>
            <w:hideMark/>
          </w:tcPr>
          <w:p w14:paraId="5FCFF78A" w14:textId="77777777"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w:t>
            </w:r>
          </w:p>
        </w:tc>
      </w:tr>
      <w:tr w:rsidR="00C52DFB" w:rsidRPr="00E11C6D" w14:paraId="49E63E41" w14:textId="77777777" w:rsidTr="00C52DFB">
        <w:trPr>
          <w:trHeight w:val="288"/>
          <w:jc w:val="center"/>
        </w:trPr>
        <w:tc>
          <w:tcPr>
            <w:tcW w:w="7306" w:type="dxa"/>
            <w:gridSpan w:val="7"/>
            <w:tcBorders>
              <w:top w:val="single" w:sz="4" w:space="0" w:color="auto"/>
              <w:left w:val="single" w:sz="4" w:space="0" w:color="auto"/>
              <w:bottom w:val="single" w:sz="4" w:space="0" w:color="auto"/>
              <w:right w:val="single" w:sz="4" w:space="0" w:color="auto"/>
            </w:tcBorders>
            <w:shd w:val="clear" w:color="auto" w:fill="auto"/>
            <w:hideMark/>
          </w:tcPr>
          <w:p w14:paraId="01E50465" w14:textId="5A8CEAA1"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xml:space="preserve">a. Dependent Variable: </w:t>
            </w:r>
            <w:r w:rsidR="0095620B" w:rsidRPr="0095620B">
              <w:rPr>
                <w:rFonts w:ascii="Times New Roman" w:hAnsi="Times New Roman" w:cs="Times New Roman"/>
                <w:sz w:val="24"/>
                <w:szCs w:val="24"/>
              </w:rPr>
              <w:t>Employee Engagement</w:t>
            </w:r>
            <w:r w:rsidR="0095620B">
              <w:rPr>
                <w:rFonts w:ascii="Times New Roman" w:hAnsi="Times New Roman" w:cs="Times New Roman"/>
                <w:sz w:val="24"/>
                <w:szCs w:val="24"/>
              </w:rPr>
              <w:t xml:space="preserve">, </w:t>
            </w:r>
            <w:r w:rsidR="0095620B" w:rsidRPr="0095620B">
              <w:rPr>
                <w:rFonts w:ascii="Times New Roman" w:hAnsi="Times New Roman" w:cs="Times New Roman"/>
                <w:sz w:val="24"/>
                <w:szCs w:val="24"/>
              </w:rPr>
              <w:t>Employee Performance</w:t>
            </w:r>
            <w:r w:rsidR="0095620B">
              <w:rPr>
                <w:rFonts w:ascii="Times New Roman" w:hAnsi="Times New Roman" w:cs="Times New Roman"/>
                <w:sz w:val="24"/>
                <w:szCs w:val="24"/>
              </w:rPr>
              <w:t xml:space="preserve">, </w:t>
            </w:r>
            <w:r w:rsidR="0095620B" w:rsidRPr="0095620B">
              <w:rPr>
                <w:rFonts w:ascii="Times New Roman" w:hAnsi="Times New Roman" w:cs="Times New Roman"/>
                <w:sz w:val="24"/>
                <w:szCs w:val="24"/>
              </w:rPr>
              <w:t>Challenges or Barriers in Implementing GHRM</w:t>
            </w:r>
          </w:p>
        </w:tc>
      </w:tr>
      <w:tr w:rsidR="00C52DFB" w:rsidRPr="00E11C6D" w14:paraId="0FBFDA07" w14:textId="77777777" w:rsidTr="00C52DFB">
        <w:trPr>
          <w:trHeight w:val="288"/>
          <w:jc w:val="center"/>
        </w:trPr>
        <w:tc>
          <w:tcPr>
            <w:tcW w:w="7306" w:type="dxa"/>
            <w:gridSpan w:val="7"/>
            <w:tcBorders>
              <w:top w:val="single" w:sz="4" w:space="0" w:color="auto"/>
              <w:left w:val="single" w:sz="4" w:space="0" w:color="auto"/>
              <w:bottom w:val="single" w:sz="4" w:space="0" w:color="auto"/>
              <w:right w:val="single" w:sz="4" w:space="0" w:color="auto"/>
            </w:tcBorders>
            <w:shd w:val="clear" w:color="auto" w:fill="auto"/>
            <w:hideMark/>
          </w:tcPr>
          <w:p w14:paraId="20EF19DC" w14:textId="66EE5329" w:rsidR="00C52DFB" w:rsidRPr="00E11C6D" w:rsidRDefault="00C52DFB" w:rsidP="00E072CB">
            <w:pPr>
              <w:spacing w:after="0" w:line="360" w:lineRule="auto"/>
              <w:jc w:val="both"/>
              <w:rPr>
                <w:rFonts w:ascii="Times New Roman" w:hAnsi="Times New Roman" w:cs="Times New Roman"/>
                <w:sz w:val="24"/>
                <w:szCs w:val="24"/>
                <w:lang w:val="en-US"/>
              </w:rPr>
            </w:pPr>
            <w:r w:rsidRPr="00E11C6D">
              <w:rPr>
                <w:rFonts w:ascii="Times New Roman" w:hAnsi="Times New Roman" w:cs="Times New Roman"/>
                <w:sz w:val="24"/>
                <w:szCs w:val="24"/>
                <w:lang w:val="en-US"/>
              </w:rPr>
              <w:t xml:space="preserve">b. Predictors: (Constant), </w:t>
            </w:r>
            <w:r w:rsidR="0095620B" w:rsidRPr="0095620B">
              <w:rPr>
                <w:rFonts w:ascii="Times New Roman" w:hAnsi="Times New Roman" w:cs="Times New Roman"/>
                <w:sz w:val="24"/>
                <w:szCs w:val="28"/>
              </w:rPr>
              <w:t>Implementation of GHRM Practices</w:t>
            </w:r>
          </w:p>
        </w:tc>
      </w:tr>
    </w:tbl>
    <w:p w14:paraId="4E1BEE7F" w14:textId="77777777" w:rsidR="00C52DFB" w:rsidRDefault="00C52DFB" w:rsidP="00E072CB">
      <w:pPr>
        <w:spacing w:after="0" w:line="360" w:lineRule="auto"/>
        <w:jc w:val="both"/>
        <w:rPr>
          <w:rFonts w:ascii="Times New Roman" w:hAnsi="Times New Roman" w:cs="Times New Roman"/>
          <w:sz w:val="24"/>
          <w:szCs w:val="24"/>
        </w:rPr>
      </w:pPr>
    </w:p>
    <w:p w14:paraId="4DF65151" w14:textId="6AF7A891" w:rsidR="002E6279" w:rsidRDefault="001002B4" w:rsidP="00E072CB">
      <w:pPr>
        <w:spacing w:after="0" w:line="360" w:lineRule="auto"/>
        <w:jc w:val="both"/>
        <w:rPr>
          <w:rFonts w:ascii="Times New Roman" w:hAnsi="Times New Roman" w:cs="Times New Roman"/>
          <w:sz w:val="24"/>
          <w:szCs w:val="24"/>
        </w:rPr>
      </w:pPr>
      <w:r w:rsidRPr="001002B4">
        <w:rPr>
          <w:rFonts w:ascii="Times New Roman" w:hAnsi="Times New Roman" w:cs="Times New Roman"/>
          <w:sz w:val="24"/>
          <w:szCs w:val="24"/>
        </w:rPr>
        <w:t xml:space="preserve">The analysis of variance (ANOVA) findings are shown in Table 7, and they shed light on the regression model's overall significance and fit. The "Regression" section demonstrates that the regression model is very significant, with a sum of squares of </w:t>
      </w:r>
      <w:r w:rsidR="007D2130">
        <w:rPr>
          <w:rFonts w:ascii="Times New Roman" w:hAnsi="Times New Roman" w:cs="Times New Roman"/>
          <w:sz w:val="24"/>
          <w:szCs w:val="24"/>
        </w:rPr>
        <w:t>345</w:t>
      </w:r>
      <w:r w:rsidRPr="001002B4">
        <w:rPr>
          <w:rFonts w:ascii="Times New Roman" w:hAnsi="Times New Roman" w:cs="Times New Roman"/>
          <w:sz w:val="24"/>
          <w:szCs w:val="24"/>
        </w:rPr>
        <w:t>.0</w:t>
      </w:r>
      <w:r w:rsidR="007D2130">
        <w:rPr>
          <w:rFonts w:ascii="Times New Roman" w:hAnsi="Times New Roman" w:cs="Times New Roman"/>
          <w:sz w:val="24"/>
          <w:szCs w:val="24"/>
        </w:rPr>
        <w:t>82</w:t>
      </w:r>
      <w:r w:rsidRPr="001002B4">
        <w:rPr>
          <w:rFonts w:ascii="Times New Roman" w:hAnsi="Times New Roman" w:cs="Times New Roman"/>
          <w:sz w:val="24"/>
          <w:szCs w:val="24"/>
        </w:rPr>
        <w:t xml:space="preserve"> and an F-statistic of 423.</w:t>
      </w:r>
      <w:r w:rsidR="007D2130">
        <w:rPr>
          <w:rFonts w:ascii="Times New Roman" w:hAnsi="Times New Roman" w:cs="Times New Roman"/>
          <w:sz w:val="24"/>
          <w:szCs w:val="24"/>
        </w:rPr>
        <w:t>236</w:t>
      </w:r>
      <w:r w:rsidRPr="001002B4">
        <w:rPr>
          <w:rFonts w:ascii="Times New Roman" w:hAnsi="Times New Roman" w:cs="Times New Roman"/>
          <w:sz w:val="24"/>
          <w:szCs w:val="24"/>
        </w:rPr>
        <w:t>. The dependent variables' variation is significantly explained by the model, according to the p-value (Sig.) of.000, which validates the statistical significance.</w:t>
      </w:r>
    </w:p>
    <w:p w14:paraId="5473AF31" w14:textId="77777777" w:rsidR="00E072CB" w:rsidRDefault="00E072CB" w:rsidP="00E072CB">
      <w:pPr>
        <w:spacing w:line="360" w:lineRule="auto"/>
        <w:jc w:val="center"/>
        <w:rPr>
          <w:rFonts w:ascii="Times New Roman" w:hAnsi="Times New Roman" w:cs="Times New Roman"/>
          <w:b/>
          <w:sz w:val="24"/>
          <w:szCs w:val="24"/>
        </w:rPr>
      </w:pPr>
    </w:p>
    <w:p w14:paraId="20996192" w14:textId="418CDFD4" w:rsidR="00C52DFB" w:rsidRDefault="00C52DFB" w:rsidP="00E072CB">
      <w:pPr>
        <w:spacing w:line="360" w:lineRule="auto"/>
        <w:jc w:val="center"/>
        <w:rPr>
          <w:rFonts w:ascii="Times New Roman" w:hAnsi="Times New Roman" w:cs="Times New Roman"/>
          <w:sz w:val="24"/>
          <w:szCs w:val="24"/>
        </w:rPr>
      </w:pPr>
      <w:r w:rsidRPr="003F0170">
        <w:rPr>
          <w:rFonts w:ascii="Times New Roman" w:hAnsi="Times New Roman" w:cs="Times New Roman"/>
          <w:b/>
          <w:sz w:val="24"/>
          <w:szCs w:val="24"/>
        </w:rPr>
        <w:t xml:space="preserve">Table </w:t>
      </w:r>
      <w:r w:rsidR="00E072CB">
        <w:rPr>
          <w:rFonts w:ascii="Times New Roman" w:hAnsi="Times New Roman" w:cs="Times New Roman"/>
          <w:b/>
          <w:sz w:val="24"/>
          <w:szCs w:val="24"/>
        </w:rPr>
        <w:t>8</w:t>
      </w:r>
      <w:r w:rsidRPr="003F0170">
        <w:rPr>
          <w:rFonts w:ascii="Times New Roman" w:hAnsi="Times New Roman" w:cs="Times New Roman"/>
          <w:b/>
          <w:sz w:val="24"/>
          <w:szCs w:val="24"/>
        </w:rPr>
        <w:t>:</w:t>
      </w:r>
      <w:r>
        <w:rPr>
          <w:rFonts w:ascii="Times New Roman" w:hAnsi="Times New Roman" w:cs="Times New Roman"/>
          <w:b/>
          <w:sz w:val="24"/>
          <w:szCs w:val="24"/>
        </w:rPr>
        <w:t xml:space="preserve"> </w:t>
      </w:r>
      <w:r w:rsidRPr="003F0170">
        <w:rPr>
          <w:rFonts w:ascii="Times New Roman" w:hAnsi="Times New Roman" w:cs="Times New Roman"/>
          <w:sz w:val="24"/>
          <w:szCs w:val="24"/>
        </w:rPr>
        <w:t>Coefficients of regression model</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2322"/>
        <w:gridCol w:w="1263"/>
        <w:gridCol w:w="1263"/>
        <w:gridCol w:w="1393"/>
        <w:gridCol w:w="972"/>
        <w:gridCol w:w="972"/>
      </w:tblGrid>
      <w:tr w:rsidR="00C52DFB" w:rsidRPr="003F0170" w14:paraId="4CE9242B" w14:textId="77777777" w:rsidTr="00C52DFB">
        <w:trPr>
          <w:cantSplit/>
          <w:trHeight w:val="370"/>
        </w:trPr>
        <w:tc>
          <w:tcPr>
            <w:tcW w:w="8880" w:type="dxa"/>
            <w:gridSpan w:val="7"/>
            <w:shd w:val="clear" w:color="auto" w:fill="FFFFFF"/>
            <w:vAlign w:val="center"/>
          </w:tcPr>
          <w:p w14:paraId="3740D2F0" w14:textId="77777777" w:rsidR="00C52DFB" w:rsidRPr="003F0170" w:rsidRDefault="00C52DFB" w:rsidP="00E072CB">
            <w:pPr>
              <w:spacing w:after="0" w:line="360" w:lineRule="auto"/>
              <w:jc w:val="both"/>
              <w:rPr>
                <w:rFonts w:ascii="Times New Roman" w:hAnsi="Times New Roman" w:cs="Times New Roman"/>
                <w:sz w:val="24"/>
                <w:szCs w:val="24"/>
              </w:rPr>
            </w:pPr>
            <w:r w:rsidRPr="003F0170">
              <w:rPr>
                <w:rFonts w:ascii="Times New Roman" w:hAnsi="Times New Roman" w:cs="Times New Roman"/>
                <w:b/>
                <w:bCs/>
                <w:sz w:val="24"/>
                <w:szCs w:val="24"/>
              </w:rPr>
              <w:t>Coefficients</w:t>
            </w:r>
            <w:r w:rsidRPr="003F0170">
              <w:rPr>
                <w:rFonts w:ascii="Times New Roman" w:hAnsi="Times New Roman" w:cs="Times New Roman"/>
                <w:b/>
                <w:bCs/>
                <w:sz w:val="24"/>
                <w:szCs w:val="24"/>
                <w:vertAlign w:val="superscript"/>
              </w:rPr>
              <w:t>a</w:t>
            </w:r>
          </w:p>
        </w:tc>
      </w:tr>
      <w:tr w:rsidR="00C52DFB" w:rsidRPr="003F0170" w14:paraId="5B12EEC6" w14:textId="77777777" w:rsidTr="00C52DFB">
        <w:trPr>
          <w:cantSplit/>
          <w:trHeight w:val="724"/>
        </w:trPr>
        <w:tc>
          <w:tcPr>
            <w:tcW w:w="3017" w:type="dxa"/>
            <w:gridSpan w:val="2"/>
            <w:vMerge w:val="restart"/>
            <w:shd w:val="clear" w:color="auto" w:fill="FFFFFF"/>
            <w:vAlign w:val="bottom"/>
          </w:tcPr>
          <w:p w14:paraId="271D5D70"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Model</w:t>
            </w:r>
          </w:p>
        </w:tc>
        <w:tc>
          <w:tcPr>
            <w:tcW w:w="2526" w:type="dxa"/>
            <w:gridSpan w:val="2"/>
            <w:shd w:val="clear" w:color="auto" w:fill="FFFFFF"/>
            <w:vAlign w:val="bottom"/>
          </w:tcPr>
          <w:p w14:paraId="2C966708"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Unstandardized Coefficients</w:t>
            </w:r>
          </w:p>
        </w:tc>
        <w:tc>
          <w:tcPr>
            <w:tcW w:w="1393" w:type="dxa"/>
            <w:shd w:val="clear" w:color="auto" w:fill="FFFFFF"/>
            <w:vAlign w:val="bottom"/>
          </w:tcPr>
          <w:p w14:paraId="20FB737A"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Standardized Coefficients</w:t>
            </w:r>
          </w:p>
        </w:tc>
        <w:tc>
          <w:tcPr>
            <w:tcW w:w="972" w:type="dxa"/>
            <w:vMerge w:val="restart"/>
            <w:shd w:val="clear" w:color="auto" w:fill="FFFFFF"/>
            <w:vAlign w:val="bottom"/>
          </w:tcPr>
          <w:p w14:paraId="6989D36E"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t</w:t>
            </w:r>
          </w:p>
        </w:tc>
        <w:tc>
          <w:tcPr>
            <w:tcW w:w="972" w:type="dxa"/>
            <w:vMerge w:val="restart"/>
            <w:shd w:val="clear" w:color="auto" w:fill="FFFFFF"/>
            <w:vAlign w:val="bottom"/>
          </w:tcPr>
          <w:p w14:paraId="67810112"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Sig.</w:t>
            </w:r>
          </w:p>
        </w:tc>
      </w:tr>
      <w:tr w:rsidR="00C52DFB" w:rsidRPr="003F0170" w14:paraId="77A70AC1" w14:textId="77777777" w:rsidTr="00C52DFB">
        <w:trPr>
          <w:cantSplit/>
          <w:trHeight w:val="163"/>
        </w:trPr>
        <w:tc>
          <w:tcPr>
            <w:tcW w:w="3017" w:type="dxa"/>
            <w:gridSpan w:val="2"/>
            <w:vMerge/>
            <w:shd w:val="clear" w:color="auto" w:fill="FFFFFF"/>
            <w:vAlign w:val="bottom"/>
          </w:tcPr>
          <w:p w14:paraId="005EF69A" w14:textId="77777777" w:rsidR="00C52DFB" w:rsidRPr="003F0170" w:rsidRDefault="00C52DFB" w:rsidP="00E072CB">
            <w:pPr>
              <w:spacing w:after="0" w:line="360" w:lineRule="auto"/>
              <w:jc w:val="both"/>
              <w:rPr>
                <w:rFonts w:ascii="Times New Roman" w:hAnsi="Times New Roman" w:cs="Times New Roman"/>
                <w:sz w:val="24"/>
                <w:szCs w:val="24"/>
              </w:rPr>
            </w:pPr>
          </w:p>
        </w:tc>
        <w:tc>
          <w:tcPr>
            <w:tcW w:w="1263" w:type="dxa"/>
            <w:shd w:val="clear" w:color="auto" w:fill="FFFFFF"/>
            <w:vAlign w:val="bottom"/>
          </w:tcPr>
          <w:p w14:paraId="56272F29"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B</w:t>
            </w:r>
          </w:p>
        </w:tc>
        <w:tc>
          <w:tcPr>
            <w:tcW w:w="1263" w:type="dxa"/>
            <w:shd w:val="clear" w:color="auto" w:fill="FFFFFF"/>
            <w:vAlign w:val="bottom"/>
          </w:tcPr>
          <w:p w14:paraId="38492119"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Std. Error</w:t>
            </w:r>
          </w:p>
        </w:tc>
        <w:tc>
          <w:tcPr>
            <w:tcW w:w="1393" w:type="dxa"/>
            <w:shd w:val="clear" w:color="auto" w:fill="FFFFFF"/>
            <w:vAlign w:val="bottom"/>
          </w:tcPr>
          <w:p w14:paraId="68877ED7" w14:textId="77777777" w:rsidR="00C52DFB" w:rsidRPr="00553EEC" w:rsidRDefault="00C52DFB" w:rsidP="00E072CB">
            <w:pPr>
              <w:spacing w:after="0" w:line="360" w:lineRule="auto"/>
              <w:jc w:val="both"/>
              <w:rPr>
                <w:rFonts w:ascii="Times New Roman" w:hAnsi="Times New Roman" w:cs="Times New Roman"/>
                <w:b/>
                <w:sz w:val="24"/>
                <w:szCs w:val="24"/>
              </w:rPr>
            </w:pPr>
            <w:r w:rsidRPr="00553EEC">
              <w:rPr>
                <w:rFonts w:ascii="Times New Roman" w:hAnsi="Times New Roman" w:cs="Times New Roman"/>
                <w:b/>
                <w:sz w:val="24"/>
                <w:szCs w:val="24"/>
              </w:rPr>
              <w:t>Beta</w:t>
            </w:r>
          </w:p>
        </w:tc>
        <w:tc>
          <w:tcPr>
            <w:tcW w:w="972" w:type="dxa"/>
            <w:vMerge/>
            <w:shd w:val="clear" w:color="auto" w:fill="FFFFFF"/>
            <w:vAlign w:val="bottom"/>
          </w:tcPr>
          <w:p w14:paraId="3119F83D" w14:textId="77777777" w:rsidR="00C52DFB" w:rsidRPr="003F0170" w:rsidRDefault="00C52DFB" w:rsidP="00E072CB">
            <w:pPr>
              <w:spacing w:after="0" w:line="360" w:lineRule="auto"/>
              <w:jc w:val="both"/>
              <w:rPr>
                <w:rFonts w:ascii="Times New Roman" w:hAnsi="Times New Roman" w:cs="Times New Roman"/>
                <w:sz w:val="24"/>
                <w:szCs w:val="24"/>
              </w:rPr>
            </w:pPr>
          </w:p>
        </w:tc>
        <w:tc>
          <w:tcPr>
            <w:tcW w:w="972" w:type="dxa"/>
            <w:vMerge/>
            <w:shd w:val="clear" w:color="auto" w:fill="FFFFFF"/>
            <w:vAlign w:val="bottom"/>
          </w:tcPr>
          <w:p w14:paraId="4C5518D9" w14:textId="77777777" w:rsidR="00C52DFB" w:rsidRPr="003F0170" w:rsidRDefault="00C52DFB" w:rsidP="00E072CB">
            <w:pPr>
              <w:spacing w:after="0" w:line="360" w:lineRule="auto"/>
              <w:jc w:val="both"/>
              <w:rPr>
                <w:rFonts w:ascii="Times New Roman" w:hAnsi="Times New Roman" w:cs="Times New Roman"/>
                <w:sz w:val="24"/>
                <w:szCs w:val="24"/>
              </w:rPr>
            </w:pPr>
          </w:p>
        </w:tc>
      </w:tr>
      <w:tr w:rsidR="00C52DFB" w:rsidRPr="003F0170" w14:paraId="38720CC4" w14:textId="77777777" w:rsidTr="00C52DFB">
        <w:trPr>
          <w:cantSplit/>
          <w:trHeight w:val="355"/>
        </w:trPr>
        <w:tc>
          <w:tcPr>
            <w:tcW w:w="695" w:type="dxa"/>
            <w:vMerge w:val="restart"/>
            <w:shd w:val="clear" w:color="auto" w:fill="E0E0E0"/>
          </w:tcPr>
          <w:p w14:paraId="5E548AB8" w14:textId="77777777" w:rsidR="00C52DFB" w:rsidRPr="003F0170" w:rsidRDefault="00C52DFB" w:rsidP="00E072CB">
            <w:pPr>
              <w:spacing w:after="0" w:line="360" w:lineRule="auto"/>
              <w:jc w:val="both"/>
              <w:rPr>
                <w:rFonts w:ascii="Times New Roman" w:hAnsi="Times New Roman" w:cs="Times New Roman"/>
                <w:sz w:val="24"/>
                <w:szCs w:val="24"/>
              </w:rPr>
            </w:pPr>
            <w:r w:rsidRPr="003F0170">
              <w:rPr>
                <w:rFonts w:ascii="Times New Roman" w:hAnsi="Times New Roman" w:cs="Times New Roman"/>
                <w:sz w:val="24"/>
                <w:szCs w:val="24"/>
              </w:rPr>
              <w:t>1</w:t>
            </w:r>
          </w:p>
        </w:tc>
        <w:tc>
          <w:tcPr>
            <w:tcW w:w="2322" w:type="dxa"/>
            <w:shd w:val="clear" w:color="auto" w:fill="E0E0E0"/>
          </w:tcPr>
          <w:p w14:paraId="6C5A9161" w14:textId="77777777" w:rsidR="00C52DFB" w:rsidRPr="003F0170" w:rsidRDefault="00C52DFB" w:rsidP="00E072CB">
            <w:pPr>
              <w:spacing w:after="0" w:line="360" w:lineRule="auto"/>
              <w:jc w:val="both"/>
              <w:rPr>
                <w:rFonts w:ascii="Times New Roman" w:hAnsi="Times New Roman" w:cs="Times New Roman"/>
                <w:sz w:val="24"/>
                <w:szCs w:val="24"/>
              </w:rPr>
            </w:pPr>
            <w:r w:rsidRPr="003F0170">
              <w:rPr>
                <w:rFonts w:ascii="Times New Roman" w:hAnsi="Times New Roman" w:cs="Times New Roman"/>
                <w:sz w:val="24"/>
                <w:szCs w:val="24"/>
              </w:rPr>
              <w:t>(Constant)</w:t>
            </w:r>
          </w:p>
        </w:tc>
        <w:tc>
          <w:tcPr>
            <w:tcW w:w="1263" w:type="dxa"/>
            <w:shd w:val="clear" w:color="auto" w:fill="FFFFFF"/>
          </w:tcPr>
          <w:p w14:paraId="69881C97" w14:textId="77777777" w:rsidR="00C52DFB" w:rsidRPr="003F0170" w:rsidRDefault="00C52DFB" w:rsidP="00E07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.470</w:t>
            </w:r>
          </w:p>
        </w:tc>
        <w:tc>
          <w:tcPr>
            <w:tcW w:w="1263" w:type="dxa"/>
            <w:shd w:val="clear" w:color="auto" w:fill="FFFFFF"/>
          </w:tcPr>
          <w:p w14:paraId="25BDAB58" w14:textId="77777777" w:rsidR="00C52DFB" w:rsidRPr="003F0170" w:rsidRDefault="00C52DFB" w:rsidP="00E07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393" w:type="dxa"/>
            <w:shd w:val="clear" w:color="auto" w:fill="FFFFFF"/>
            <w:vAlign w:val="center"/>
          </w:tcPr>
          <w:p w14:paraId="78630451" w14:textId="77777777" w:rsidR="00C52DFB" w:rsidRPr="003F0170" w:rsidRDefault="00C52DFB" w:rsidP="00E072CB">
            <w:pPr>
              <w:spacing w:after="0" w:line="360" w:lineRule="auto"/>
              <w:jc w:val="both"/>
              <w:rPr>
                <w:rFonts w:ascii="Times New Roman" w:hAnsi="Times New Roman" w:cs="Times New Roman"/>
                <w:sz w:val="24"/>
                <w:szCs w:val="24"/>
              </w:rPr>
            </w:pPr>
          </w:p>
        </w:tc>
        <w:tc>
          <w:tcPr>
            <w:tcW w:w="972" w:type="dxa"/>
            <w:shd w:val="clear" w:color="auto" w:fill="FFFFFF"/>
          </w:tcPr>
          <w:p w14:paraId="09A97DDB" w14:textId="77777777" w:rsidR="00C52DFB" w:rsidRPr="003F0170" w:rsidRDefault="00C52DFB" w:rsidP="00E072CB">
            <w:pPr>
              <w:spacing w:after="0" w:line="360" w:lineRule="auto"/>
              <w:jc w:val="both"/>
              <w:rPr>
                <w:rFonts w:ascii="Times New Roman" w:hAnsi="Times New Roman" w:cs="Times New Roman"/>
                <w:sz w:val="24"/>
                <w:szCs w:val="24"/>
              </w:rPr>
            </w:pPr>
          </w:p>
        </w:tc>
        <w:tc>
          <w:tcPr>
            <w:tcW w:w="972" w:type="dxa"/>
            <w:shd w:val="clear" w:color="auto" w:fill="FFFFFF"/>
          </w:tcPr>
          <w:p w14:paraId="464DF9B9" w14:textId="77777777" w:rsidR="00C52DFB" w:rsidRPr="003F0170" w:rsidRDefault="00C52DFB" w:rsidP="00E072CB">
            <w:pPr>
              <w:spacing w:after="0" w:line="360" w:lineRule="auto"/>
              <w:jc w:val="both"/>
              <w:rPr>
                <w:rFonts w:ascii="Times New Roman" w:hAnsi="Times New Roman" w:cs="Times New Roman"/>
                <w:sz w:val="24"/>
                <w:szCs w:val="24"/>
              </w:rPr>
            </w:pPr>
            <w:r w:rsidRPr="003F0170">
              <w:rPr>
                <w:rFonts w:ascii="Times New Roman" w:hAnsi="Times New Roman" w:cs="Times New Roman"/>
                <w:sz w:val="24"/>
                <w:szCs w:val="24"/>
              </w:rPr>
              <w:t>.000</w:t>
            </w:r>
          </w:p>
        </w:tc>
      </w:tr>
      <w:tr w:rsidR="00C52DFB" w:rsidRPr="003F0170" w14:paraId="6394813C" w14:textId="77777777" w:rsidTr="00C52DFB">
        <w:trPr>
          <w:cantSplit/>
          <w:trHeight w:val="163"/>
        </w:trPr>
        <w:tc>
          <w:tcPr>
            <w:tcW w:w="695" w:type="dxa"/>
            <w:vMerge/>
            <w:shd w:val="clear" w:color="auto" w:fill="E0E0E0"/>
          </w:tcPr>
          <w:p w14:paraId="0A609DE3" w14:textId="77777777" w:rsidR="00C52DFB" w:rsidRPr="003F0170" w:rsidRDefault="00C52DFB" w:rsidP="00E072CB">
            <w:pPr>
              <w:spacing w:after="0" w:line="360" w:lineRule="auto"/>
              <w:jc w:val="both"/>
              <w:rPr>
                <w:rFonts w:ascii="Times New Roman" w:hAnsi="Times New Roman" w:cs="Times New Roman"/>
                <w:sz w:val="24"/>
                <w:szCs w:val="24"/>
              </w:rPr>
            </w:pPr>
          </w:p>
        </w:tc>
        <w:tc>
          <w:tcPr>
            <w:tcW w:w="2322" w:type="dxa"/>
            <w:shd w:val="clear" w:color="auto" w:fill="E0E0E0"/>
          </w:tcPr>
          <w:p w14:paraId="3795C969" w14:textId="56AB6FFE" w:rsidR="00C52DFB" w:rsidRPr="00121391" w:rsidRDefault="0095620B" w:rsidP="00E072CB">
            <w:pPr>
              <w:spacing w:after="0" w:line="360" w:lineRule="auto"/>
              <w:jc w:val="both"/>
              <w:rPr>
                <w:rFonts w:ascii="Times New Roman" w:hAnsi="Times New Roman" w:cs="Times New Roman"/>
                <w:sz w:val="24"/>
                <w:szCs w:val="24"/>
              </w:rPr>
            </w:pPr>
            <w:r w:rsidRPr="0095620B">
              <w:rPr>
                <w:rFonts w:ascii="Times New Roman" w:hAnsi="Times New Roman" w:cs="Times New Roman"/>
                <w:sz w:val="24"/>
                <w:szCs w:val="28"/>
              </w:rPr>
              <w:t>Implementation of GHRM Practices</w:t>
            </w:r>
          </w:p>
        </w:tc>
        <w:tc>
          <w:tcPr>
            <w:tcW w:w="1263" w:type="dxa"/>
            <w:shd w:val="clear" w:color="auto" w:fill="FFFFFF"/>
          </w:tcPr>
          <w:p w14:paraId="085C809D" w14:textId="77777777" w:rsidR="00C52DFB" w:rsidRPr="003F0170" w:rsidRDefault="00C52DFB" w:rsidP="00E07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.203</w:t>
            </w:r>
          </w:p>
        </w:tc>
        <w:tc>
          <w:tcPr>
            <w:tcW w:w="1263" w:type="dxa"/>
            <w:shd w:val="clear" w:color="auto" w:fill="FFFFFF"/>
          </w:tcPr>
          <w:p w14:paraId="5FBEB4BD" w14:textId="77777777" w:rsidR="00C52DFB" w:rsidRPr="003F0170" w:rsidRDefault="00C52DFB" w:rsidP="00E07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.019</w:t>
            </w:r>
          </w:p>
        </w:tc>
        <w:tc>
          <w:tcPr>
            <w:tcW w:w="1393" w:type="dxa"/>
            <w:shd w:val="clear" w:color="auto" w:fill="FFFFFF"/>
          </w:tcPr>
          <w:p w14:paraId="3228AF39" w14:textId="77777777" w:rsidR="00C52DFB" w:rsidRPr="003F0170" w:rsidRDefault="00C52DFB" w:rsidP="00E07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.238</w:t>
            </w:r>
          </w:p>
        </w:tc>
        <w:tc>
          <w:tcPr>
            <w:tcW w:w="972" w:type="dxa"/>
            <w:shd w:val="clear" w:color="auto" w:fill="FFFFFF"/>
          </w:tcPr>
          <w:p w14:paraId="5DD6DB26" w14:textId="77777777" w:rsidR="00C52DFB" w:rsidRPr="003F0170" w:rsidRDefault="00C52DFB" w:rsidP="00E07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8.589</w:t>
            </w:r>
          </w:p>
        </w:tc>
        <w:tc>
          <w:tcPr>
            <w:tcW w:w="972" w:type="dxa"/>
            <w:shd w:val="clear" w:color="auto" w:fill="FFFFFF"/>
          </w:tcPr>
          <w:p w14:paraId="16A2188C" w14:textId="77777777" w:rsidR="00C52DFB" w:rsidRPr="003F0170" w:rsidRDefault="00C52DFB" w:rsidP="00E072CB">
            <w:pPr>
              <w:spacing w:after="0" w:line="360" w:lineRule="auto"/>
              <w:jc w:val="both"/>
              <w:rPr>
                <w:rFonts w:ascii="Times New Roman" w:hAnsi="Times New Roman" w:cs="Times New Roman"/>
                <w:sz w:val="24"/>
                <w:szCs w:val="24"/>
              </w:rPr>
            </w:pPr>
            <w:r w:rsidRPr="003F0170">
              <w:rPr>
                <w:rFonts w:ascii="Times New Roman" w:hAnsi="Times New Roman" w:cs="Times New Roman"/>
                <w:sz w:val="24"/>
                <w:szCs w:val="24"/>
              </w:rPr>
              <w:t>.000</w:t>
            </w:r>
          </w:p>
        </w:tc>
      </w:tr>
      <w:tr w:rsidR="00C52DFB" w:rsidRPr="003F0170" w14:paraId="2DBC3860" w14:textId="77777777" w:rsidTr="00C52DFB">
        <w:trPr>
          <w:cantSplit/>
          <w:trHeight w:val="370"/>
        </w:trPr>
        <w:tc>
          <w:tcPr>
            <w:tcW w:w="8880" w:type="dxa"/>
            <w:gridSpan w:val="7"/>
            <w:shd w:val="clear" w:color="auto" w:fill="FFFFFF"/>
          </w:tcPr>
          <w:p w14:paraId="5FB7EAEC" w14:textId="49570EF4" w:rsidR="00C52DFB" w:rsidRPr="003F0170" w:rsidRDefault="00C52DFB" w:rsidP="00E072CB">
            <w:pPr>
              <w:spacing w:after="0" w:line="360" w:lineRule="auto"/>
              <w:jc w:val="both"/>
              <w:rPr>
                <w:rFonts w:ascii="Times New Roman" w:hAnsi="Times New Roman" w:cs="Times New Roman"/>
                <w:sz w:val="24"/>
                <w:szCs w:val="24"/>
              </w:rPr>
            </w:pPr>
            <w:r w:rsidRPr="003F0170">
              <w:rPr>
                <w:rFonts w:ascii="Times New Roman" w:hAnsi="Times New Roman" w:cs="Times New Roman"/>
                <w:sz w:val="24"/>
                <w:szCs w:val="24"/>
              </w:rPr>
              <w:t xml:space="preserve">a. Dependent Variable: </w:t>
            </w:r>
            <w:r w:rsidR="0095620B" w:rsidRPr="0095620B">
              <w:rPr>
                <w:rFonts w:ascii="Times New Roman" w:hAnsi="Times New Roman" w:cs="Times New Roman"/>
                <w:sz w:val="24"/>
                <w:szCs w:val="24"/>
              </w:rPr>
              <w:t>Employee Engagement</w:t>
            </w:r>
            <w:r w:rsidR="0095620B">
              <w:rPr>
                <w:rFonts w:ascii="Times New Roman" w:hAnsi="Times New Roman" w:cs="Times New Roman"/>
                <w:sz w:val="24"/>
                <w:szCs w:val="24"/>
              </w:rPr>
              <w:t xml:space="preserve">, </w:t>
            </w:r>
            <w:r w:rsidR="0095620B" w:rsidRPr="0095620B">
              <w:rPr>
                <w:rFonts w:ascii="Times New Roman" w:hAnsi="Times New Roman" w:cs="Times New Roman"/>
                <w:sz w:val="24"/>
                <w:szCs w:val="24"/>
              </w:rPr>
              <w:t>Employee Performance</w:t>
            </w:r>
            <w:r w:rsidR="0095620B">
              <w:rPr>
                <w:rFonts w:ascii="Times New Roman" w:hAnsi="Times New Roman" w:cs="Times New Roman"/>
                <w:sz w:val="24"/>
                <w:szCs w:val="24"/>
              </w:rPr>
              <w:t xml:space="preserve">, </w:t>
            </w:r>
            <w:r w:rsidR="0095620B" w:rsidRPr="0095620B">
              <w:rPr>
                <w:rFonts w:ascii="Times New Roman" w:hAnsi="Times New Roman" w:cs="Times New Roman"/>
                <w:sz w:val="24"/>
                <w:szCs w:val="24"/>
              </w:rPr>
              <w:t>Challenges or Barriers in Implementing GHRM</w:t>
            </w:r>
          </w:p>
        </w:tc>
      </w:tr>
    </w:tbl>
    <w:p w14:paraId="28CB9025" w14:textId="77777777" w:rsidR="00C52DFB" w:rsidRDefault="00C52DFB" w:rsidP="00E072CB">
      <w:pPr>
        <w:spacing w:after="0" w:line="360" w:lineRule="auto"/>
        <w:jc w:val="both"/>
        <w:rPr>
          <w:rFonts w:ascii="Times New Roman" w:hAnsi="Times New Roman" w:cs="Times New Roman"/>
          <w:sz w:val="24"/>
          <w:szCs w:val="24"/>
        </w:rPr>
      </w:pPr>
    </w:p>
    <w:p w14:paraId="0BFBFECF" w14:textId="053559E7" w:rsidR="00C52DFB" w:rsidRDefault="002E6279" w:rsidP="00E072CB">
      <w:pPr>
        <w:spacing w:after="0" w:line="360" w:lineRule="auto"/>
        <w:jc w:val="both"/>
        <w:rPr>
          <w:rFonts w:ascii="Times New Roman" w:hAnsi="Times New Roman" w:cs="Times New Roman"/>
          <w:sz w:val="24"/>
          <w:szCs w:val="24"/>
        </w:rPr>
      </w:pPr>
      <w:r w:rsidRPr="002E6279">
        <w:rPr>
          <w:rFonts w:ascii="Times New Roman" w:hAnsi="Times New Roman" w:cs="Times New Roman"/>
          <w:sz w:val="24"/>
          <w:szCs w:val="24"/>
        </w:rPr>
        <w:t xml:space="preserve">Table 7 delves into the coefficients of the regression model, providing specific information about the relationships between variables. The "Unstandardized Coefficients (B)" for the </w:t>
      </w:r>
      <w:r w:rsidRPr="002E6279">
        <w:rPr>
          <w:rFonts w:ascii="Times New Roman" w:hAnsi="Times New Roman" w:cs="Times New Roman"/>
          <w:sz w:val="24"/>
          <w:szCs w:val="24"/>
        </w:rPr>
        <w:lastRenderedPageBreak/>
        <w:t>constant is 0.470, and for "Implementation of GHRM Practices," it is 0.203. These coefficients signify the change in the dependent variables for each unit change in the independent variable. The standardized coefficient (Beta) for "Implementation of GHRM Practices" is 0.238, indicating the strength and direction of the relationship. The t-statistic is 8.589, and the p-value (Sig.) is .000 for "Implementation of GHRM Practices," suggesting it is highly significant.</w:t>
      </w:r>
    </w:p>
    <w:p w14:paraId="793DC1B6" w14:textId="77777777" w:rsidR="002E6279" w:rsidRDefault="002E6279" w:rsidP="00E072CB">
      <w:pPr>
        <w:spacing w:after="0" w:line="360" w:lineRule="auto"/>
        <w:jc w:val="both"/>
        <w:rPr>
          <w:rFonts w:ascii="Times New Roman" w:hAnsi="Times New Roman" w:cs="Times New Roman"/>
          <w:sz w:val="24"/>
          <w:szCs w:val="24"/>
        </w:rPr>
      </w:pPr>
    </w:p>
    <w:p w14:paraId="5097F563" w14:textId="05C8B947" w:rsidR="00C52DFB" w:rsidRDefault="00C52DFB" w:rsidP="00E072CB">
      <w:pPr>
        <w:spacing w:line="360" w:lineRule="auto"/>
        <w:jc w:val="both"/>
        <w:rPr>
          <w:rFonts w:ascii="Times New Roman" w:hAnsi="Times New Roman" w:cs="Times New Roman"/>
          <w:sz w:val="24"/>
          <w:szCs w:val="24"/>
        </w:rPr>
      </w:pPr>
      <w:r w:rsidRPr="00A5408E">
        <w:rPr>
          <w:rFonts w:ascii="Times New Roman" w:hAnsi="Times New Roman" w:cs="Times New Roman"/>
          <w:sz w:val="24"/>
          <w:szCs w:val="24"/>
        </w:rPr>
        <w:t>Chi Square analysis is used to determine whether the two v</w:t>
      </w:r>
      <w:r w:rsidR="00726592">
        <w:rPr>
          <w:rFonts w:ascii="Times New Roman" w:hAnsi="Times New Roman" w:cs="Times New Roman"/>
          <w:sz w:val="24"/>
          <w:szCs w:val="24"/>
        </w:rPr>
        <w:t>ariables stated in hypothesis 2</w:t>
      </w:r>
      <w:r w:rsidRPr="00A5408E">
        <w:rPr>
          <w:rFonts w:ascii="Times New Roman" w:hAnsi="Times New Roman" w:cs="Times New Roman"/>
          <w:sz w:val="24"/>
          <w:szCs w:val="24"/>
        </w:rPr>
        <w:t xml:space="preserve"> are associated.</w:t>
      </w:r>
    </w:p>
    <w:p w14:paraId="70ADA915" w14:textId="1120B255" w:rsidR="00C52DFB" w:rsidRDefault="00C52DFB" w:rsidP="00726592">
      <w:pPr>
        <w:spacing w:line="360" w:lineRule="auto"/>
        <w:jc w:val="center"/>
        <w:rPr>
          <w:rFonts w:ascii="Times New Roman" w:hAnsi="Times New Roman" w:cs="Times New Roman"/>
          <w:sz w:val="24"/>
          <w:szCs w:val="24"/>
        </w:rPr>
      </w:pPr>
      <w:r w:rsidRPr="00D672E7">
        <w:rPr>
          <w:rFonts w:ascii="Times New Roman" w:hAnsi="Times New Roman" w:cs="Times New Roman"/>
          <w:b/>
          <w:sz w:val="24"/>
          <w:szCs w:val="24"/>
        </w:rPr>
        <w:t xml:space="preserve">Table </w:t>
      </w:r>
      <w:r w:rsidR="00726592">
        <w:rPr>
          <w:rFonts w:ascii="Times New Roman" w:hAnsi="Times New Roman" w:cs="Times New Roman"/>
          <w:b/>
          <w:sz w:val="24"/>
          <w:szCs w:val="24"/>
        </w:rPr>
        <w:t>9</w:t>
      </w:r>
      <w:r w:rsidRPr="00D672E7">
        <w:rPr>
          <w:rFonts w:ascii="Times New Roman" w:hAnsi="Times New Roman" w:cs="Times New Roman"/>
          <w:b/>
          <w:sz w:val="24"/>
          <w:szCs w:val="24"/>
        </w:rPr>
        <w:t>:</w:t>
      </w:r>
      <w:r>
        <w:rPr>
          <w:rFonts w:ascii="Times New Roman" w:hAnsi="Times New Roman" w:cs="Times New Roman"/>
          <w:b/>
          <w:sz w:val="24"/>
          <w:szCs w:val="24"/>
        </w:rPr>
        <w:t xml:space="preserve"> </w:t>
      </w:r>
      <w:r w:rsidRPr="00D672E7">
        <w:rPr>
          <w:rFonts w:ascii="Times New Roman" w:hAnsi="Times New Roman" w:cs="Times New Roman"/>
          <w:sz w:val="24"/>
          <w:szCs w:val="24"/>
        </w:rPr>
        <w:t>Chi Square Test</w:t>
      </w:r>
      <w:r>
        <w:rPr>
          <w:rFonts w:ascii="Times New Roman" w:hAnsi="Times New Roman" w:cs="Times New Roman"/>
          <w:sz w:val="24"/>
          <w:szCs w:val="24"/>
        </w:rPr>
        <w:t xml:space="preserve"> Results</w:t>
      </w:r>
    </w:p>
    <w:tbl>
      <w:tblPr>
        <w:tblStyle w:val="TableGrid"/>
        <w:tblW w:w="0" w:type="auto"/>
        <w:jc w:val="center"/>
        <w:tblLook w:val="04A0" w:firstRow="1" w:lastRow="0" w:firstColumn="1" w:lastColumn="0" w:noHBand="0" w:noVBand="1"/>
      </w:tblPr>
      <w:tblGrid>
        <w:gridCol w:w="3118"/>
        <w:gridCol w:w="851"/>
        <w:gridCol w:w="850"/>
        <w:gridCol w:w="1621"/>
      </w:tblGrid>
      <w:tr w:rsidR="00C52DFB" w14:paraId="1B19D9F5" w14:textId="77777777" w:rsidTr="00C52DFB">
        <w:trPr>
          <w:jc w:val="center"/>
        </w:trPr>
        <w:tc>
          <w:tcPr>
            <w:tcW w:w="6440" w:type="dxa"/>
            <w:gridSpan w:val="4"/>
          </w:tcPr>
          <w:p w14:paraId="513C8DD4" w14:textId="77777777" w:rsidR="00C52DFB" w:rsidRPr="00381B74" w:rsidRDefault="00C52DFB" w:rsidP="00E072CB">
            <w:pPr>
              <w:spacing w:line="360" w:lineRule="auto"/>
              <w:jc w:val="both"/>
              <w:rPr>
                <w:rFonts w:ascii="Times New Roman" w:hAnsi="Times New Roman" w:cs="Times New Roman"/>
                <w:b/>
                <w:sz w:val="24"/>
                <w:szCs w:val="24"/>
              </w:rPr>
            </w:pPr>
            <w:r w:rsidRPr="00381B74">
              <w:rPr>
                <w:rFonts w:ascii="Times New Roman" w:hAnsi="Times New Roman" w:cs="Times New Roman"/>
                <w:b/>
                <w:sz w:val="24"/>
                <w:szCs w:val="24"/>
              </w:rPr>
              <w:t>Chi Square Test</w:t>
            </w:r>
          </w:p>
        </w:tc>
      </w:tr>
      <w:tr w:rsidR="00C52DFB" w14:paraId="2BD6F022" w14:textId="77777777" w:rsidTr="00C52DFB">
        <w:trPr>
          <w:jc w:val="center"/>
        </w:trPr>
        <w:tc>
          <w:tcPr>
            <w:tcW w:w="3118" w:type="dxa"/>
          </w:tcPr>
          <w:p w14:paraId="49CB3A9C" w14:textId="77777777" w:rsidR="00C52DFB" w:rsidRPr="00381B74" w:rsidRDefault="00C52DFB" w:rsidP="00E072CB">
            <w:pPr>
              <w:spacing w:line="360" w:lineRule="auto"/>
              <w:jc w:val="both"/>
              <w:rPr>
                <w:rFonts w:ascii="Times New Roman" w:hAnsi="Times New Roman" w:cs="Times New Roman"/>
                <w:b/>
                <w:sz w:val="24"/>
                <w:szCs w:val="24"/>
              </w:rPr>
            </w:pPr>
          </w:p>
        </w:tc>
        <w:tc>
          <w:tcPr>
            <w:tcW w:w="851" w:type="dxa"/>
          </w:tcPr>
          <w:p w14:paraId="14944BC4" w14:textId="77777777" w:rsidR="00C52DFB" w:rsidRPr="00381B74" w:rsidRDefault="00C52DFB" w:rsidP="00E072CB">
            <w:pPr>
              <w:spacing w:line="360" w:lineRule="auto"/>
              <w:jc w:val="both"/>
              <w:rPr>
                <w:rFonts w:ascii="Times New Roman" w:hAnsi="Times New Roman" w:cs="Times New Roman"/>
                <w:b/>
                <w:sz w:val="24"/>
                <w:szCs w:val="24"/>
              </w:rPr>
            </w:pPr>
            <w:r w:rsidRPr="00381B74">
              <w:rPr>
                <w:rFonts w:ascii="Times New Roman" w:hAnsi="Times New Roman" w:cs="Times New Roman"/>
                <w:b/>
                <w:sz w:val="24"/>
                <w:szCs w:val="24"/>
              </w:rPr>
              <w:t>Value</w:t>
            </w:r>
          </w:p>
        </w:tc>
        <w:tc>
          <w:tcPr>
            <w:tcW w:w="850" w:type="dxa"/>
          </w:tcPr>
          <w:p w14:paraId="182B508F" w14:textId="77777777" w:rsidR="00C52DFB" w:rsidRPr="00381B74" w:rsidRDefault="00C52DFB" w:rsidP="00E072CB">
            <w:pPr>
              <w:spacing w:line="360" w:lineRule="auto"/>
              <w:jc w:val="both"/>
              <w:rPr>
                <w:rFonts w:ascii="Times New Roman" w:hAnsi="Times New Roman" w:cs="Times New Roman"/>
                <w:b/>
                <w:sz w:val="24"/>
                <w:szCs w:val="24"/>
              </w:rPr>
            </w:pPr>
            <w:r w:rsidRPr="00381B74">
              <w:rPr>
                <w:rFonts w:ascii="Times New Roman" w:hAnsi="Times New Roman" w:cs="Times New Roman"/>
                <w:b/>
                <w:sz w:val="24"/>
                <w:szCs w:val="24"/>
              </w:rPr>
              <w:t>df</w:t>
            </w:r>
          </w:p>
        </w:tc>
        <w:tc>
          <w:tcPr>
            <w:tcW w:w="1621" w:type="dxa"/>
          </w:tcPr>
          <w:p w14:paraId="50BE33D2" w14:textId="77777777" w:rsidR="00C52DFB" w:rsidRPr="00381B74" w:rsidRDefault="00C52DFB" w:rsidP="00E072CB">
            <w:pPr>
              <w:spacing w:line="360" w:lineRule="auto"/>
              <w:jc w:val="both"/>
              <w:rPr>
                <w:rFonts w:ascii="Times New Roman" w:hAnsi="Times New Roman" w:cs="Times New Roman"/>
                <w:b/>
                <w:sz w:val="24"/>
                <w:szCs w:val="24"/>
              </w:rPr>
            </w:pPr>
            <w:r w:rsidRPr="00381B74">
              <w:rPr>
                <w:rFonts w:ascii="Times New Roman" w:hAnsi="Times New Roman" w:cs="Times New Roman"/>
                <w:b/>
                <w:sz w:val="24"/>
                <w:szCs w:val="24"/>
              </w:rPr>
              <w:t>Asymp. Sig. (2-sided)</w:t>
            </w:r>
          </w:p>
        </w:tc>
      </w:tr>
      <w:tr w:rsidR="00C52DFB" w14:paraId="02C770D7" w14:textId="77777777" w:rsidTr="00C52DFB">
        <w:trPr>
          <w:jc w:val="center"/>
        </w:trPr>
        <w:tc>
          <w:tcPr>
            <w:tcW w:w="3118" w:type="dxa"/>
            <w:shd w:val="clear" w:color="auto" w:fill="D9D9D9" w:themeFill="background1" w:themeFillShade="D9"/>
          </w:tcPr>
          <w:p w14:paraId="6FC710F4"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Pearson Chi-Square</w:t>
            </w:r>
          </w:p>
        </w:tc>
        <w:tc>
          <w:tcPr>
            <w:tcW w:w="851" w:type="dxa"/>
          </w:tcPr>
          <w:p w14:paraId="42E26138" w14:textId="77777777" w:rsidR="00C52DFB" w:rsidRPr="00381B74" w:rsidRDefault="00C52DFB" w:rsidP="00E072CB">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7.556</w:t>
            </w:r>
            <w:r>
              <w:rPr>
                <w:rFonts w:ascii="Times New Roman" w:hAnsi="Times New Roman" w:cs="Times New Roman"/>
                <w:sz w:val="24"/>
                <w:szCs w:val="24"/>
                <w:vertAlign w:val="superscript"/>
              </w:rPr>
              <w:t>a</w:t>
            </w:r>
          </w:p>
        </w:tc>
        <w:tc>
          <w:tcPr>
            <w:tcW w:w="850" w:type="dxa"/>
          </w:tcPr>
          <w:p w14:paraId="01B86F80"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621" w:type="dxa"/>
          </w:tcPr>
          <w:p w14:paraId="1B9A1FEC"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.237</w:t>
            </w:r>
          </w:p>
        </w:tc>
      </w:tr>
      <w:tr w:rsidR="00C52DFB" w14:paraId="7E5BABF8" w14:textId="77777777" w:rsidTr="00C52DFB">
        <w:trPr>
          <w:jc w:val="center"/>
        </w:trPr>
        <w:tc>
          <w:tcPr>
            <w:tcW w:w="3118" w:type="dxa"/>
            <w:shd w:val="clear" w:color="auto" w:fill="D9D9D9" w:themeFill="background1" w:themeFillShade="D9"/>
          </w:tcPr>
          <w:p w14:paraId="384092E4"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Likelihood Ratio</w:t>
            </w:r>
          </w:p>
        </w:tc>
        <w:tc>
          <w:tcPr>
            <w:tcW w:w="851" w:type="dxa"/>
          </w:tcPr>
          <w:p w14:paraId="205003CF"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7.414</w:t>
            </w:r>
          </w:p>
        </w:tc>
        <w:tc>
          <w:tcPr>
            <w:tcW w:w="850" w:type="dxa"/>
          </w:tcPr>
          <w:p w14:paraId="38AED18D"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621" w:type="dxa"/>
          </w:tcPr>
          <w:p w14:paraId="25A9CE4A"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r>
      <w:tr w:rsidR="00C52DFB" w14:paraId="55B1CCE0" w14:textId="77777777" w:rsidTr="00C52DFB">
        <w:trPr>
          <w:jc w:val="center"/>
        </w:trPr>
        <w:tc>
          <w:tcPr>
            <w:tcW w:w="3118" w:type="dxa"/>
            <w:shd w:val="clear" w:color="auto" w:fill="D9D9D9" w:themeFill="background1" w:themeFillShade="D9"/>
          </w:tcPr>
          <w:p w14:paraId="1DE1470D"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Linear-by-Linear Association</w:t>
            </w:r>
          </w:p>
        </w:tc>
        <w:tc>
          <w:tcPr>
            <w:tcW w:w="851" w:type="dxa"/>
          </w:tcPr>
          <w:p w14:paraId="666F7E3C"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.518</w:t>
            </w:r>
          </w:p>
        </w:tc>
        <w:tc>
          <w:tcPr>
            <w:tcW w:w="850" w:type="dxa"/>
          </w:tcPr>
          <w:p w14:paraId="5E4AACB2"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21" w:type="dxa"/>
          </w:tcPr>
          <w:p w14:paraId="71D00DE4"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.474</w:t>
            </w:r>
          </w:p>
        </w:tc>
      </w:tr>
      <w:tr w:rsidR="00C52DFB" w14:paraId="78832E51" w14:textId="77777777" w:rsidTr="00C52DFB">
        <w:trPr>
          <w:jc w:val="center"/>
        </w:trPr>
        <w:tc>
          <w:tcPr>
            <w:tcW w:w="3118" w:type="dxa"/>
            <w:shd w:val="clear" w:color="auto" w:fill="D9D9D9" w:themeFill="background1" w:themeFillShade="D9"/>
          </w:tcPr>
          <w:p w14:paraId="210DA08B"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No. of valid cases</w:t>
            </w:r>
          </w:p>
        </w:tc>
        <w:tc>
          <w:tcPr>
            <w:tcW w:w="851" w:type="dxa"/>
          </w:tcPr>
          <w:p w14:paraId="22D4AEF1" w14:textId="77777777" w:rsidR="00C52DFB" w:rsidRDefault="00C52DFB" w:rsidP="00E072CB">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850" w:type="dxa"/>
          </w:tcPr>
          <w:p w14:paraId="5448211A" w14:textId="77777777" w:rsidR="00C52DFB" w:rsidRDefault="00C52DFB" w:rsidP="00E072CB">
            <w:pPr>
              <w:spacing w:line="360" w:lineRule="auto"/>
              <w:jc w:val="both"/>
              <w:rPr>
                <w:rFonts w:ascii="Times New Roman" w:hAnsi="Times New Roman" w:cs="Times New Roman"/>
                <w:sz w:val="24"/>
                <w:szCs w:val="24"/>
              </w:rPr>
            </w:pPr>
          </w:p>
        </w:tc>
        <w:tc>
          <w:tcPr>
            <w:tcW w:w="1621" w:type="dxa"/>
          </w:tcPr>
          <w:p w14:paraId="6E2ABC35" w14:textId="77777777" w:rsidR="00C52DFB" w:rsidRDefault="00C52DFB" w:rsidP="00E072CB">
            <w:pPr>
              <w:spacing w:line="360" w:lineRule="auto"/>
              <w:jc w:val="both"/>
              <w:rPr>
                <w:rFonts w:ascii="Times New Roman" w:hAnsi="Times New Roman" w:cs="Times New Roman"/>
                <w:sz w:val="24"/>
                <w:szCs w:val="24"/>
              </w:rPr>
            </w:pPr>
          </w:p>
        </w:tc>
      </w:tr>
    </w:tbl>
    <w:p w14:paraId="5B94DD60" w14:textId="77777777" w:rsidR="00C52DFB" w:rsidRDefault="00C52DFB" w:rsidP="00E072CB">
      <w:pPr>
        <w:spacing w:line="360" w:lineRule="auto"/>
        <w:jc w:val="both"/>
        <w:rPr>
          <w:rFonts w:ascii="Times New Roman" w:hAnsi="Times New Roman" w:cs="Times New Roman"/>
          <w:sz w:val="24"/>
          <w:szCs w:val="24"/>
        </w:rPr>
      </w:pPr>
    </w:p>
    <w:p w14:paraId="4E91E516" w14:textId="3A0AC14E" w:rsidR="0004713D" w:rsidRDefault="001002B4" w:rsidP="00E072CB">
      <w:pPr>
        <w:spacing w:line="360" w:lineRule="auto"/>
        <w:jc w:val="both"/>
        <w:rPr>
          <w:rFonts w:ascii="Times New Roman" w:hAnsi="Times New Roman" w:cs="Times New Roman"/>
          <w:bCs/>
          <w:sz w:val="24"/>
          <w:szCs w:val="28"/>
        </w:rPr>
      </w:pPr>
      <w:r w:rsidRPr="001002B4">
        <w:rPr>
          <w:rFonts w:ascii="Times New Roman" w:hAnsi="Times New Roman" w:cs="Times New Roman"/>
          <w:bCs/>
          <w:sz w:val="24"/>
          <w:szCs w:val="28"/>
        </w:rPr>
        <w:t xml:space="preserve">With six degrees of freedom, the computed Pearson Chi-Square value is 7.556. The corresponding asymptotic significance (Sig.) on two sides is.237. This shows that there is no statistically significant correlation between the adoption of GHRM practises and the levels of employee engagement, according to the Pearson Chi-Square test. The link may not be statistically significant since the p-value is higher than the normal significance level of.05 (5%). With six degrees of freedom, the Likelihood Ratio Chi-Square is 7.414 and has a two-sided significance of.250. The Likelihood Ratio test, like the Pearson Chi-Square test, does not reveal a statistically significant link between the variables. A result of.518 is produced by the Linear-by-Linear Association test with three degrees of freedom and a significance level of.474. </w:t>
      </w:r>
    </w:p>
    <w:p w14:paraId="0A1CA5C1" w14:textId="43FD6A54" w:rsidR="00E072CB" w:rsidRDefault="00E072CB" w:rsidP="00E072CB">
      <w:pPr>
        <w:pStyle w:val="ListParagraph"/>
        <w:numPr>
          <w:ilvl w:val="1"/>
          <w:numId w:val="27"/>
        </w:numPr>
        <w:spacing w:line="360" w:lineRule="auto"/>
        <w:jc w:val="both"/>
        <w:rPr>
          <w:rFonts w:ascii="Times New Roman" w:hAnsi="Times New Roman" w:cs="Times New Roman"/>
          <w:b/>
          <w:bCs/>
          <w:sz w:val="24"/>
          <w:szCs w:val="28"/>
        </w:rPr>
      </w:pPr>
      <w:r w:rsidRPr="00E072CB">
        <w:rPr>
          <w:rFonts w:ascii="Times New Roman" w:hAnsi="Times New Roman" w:cs="Times New Roman"/>
          <w:b/>
          <w:bCs/>
          <w:sz w:val="24"/>
          <w:szCs w:val="28"/>
        </w:rPr>
        <w:t xml:space="preserve">Discussion </w:t>
      </w:r>
    </w:p>
    <w:p w14:paraId="2E050158" w14:textId="1392D316" w:rsidR="001002B4" w:rsidRPr="001002B4" w:rsidRDefault="005F2B91" w:rsidP="001002B4">
      <w:pPr>
        <w:spacing w:line="360" w:lineRule="auto"/>
        <w:jc w:val="both"/>
        <w:rPr>
          <w:rFonts w:ascii="Times New Roman" w:hAnsi="Times New Roman" w:cs="Times New Roman"/>
          <w:bCs/>
          <w:sz w:val="24"/>
          <w:szCs w:val="28"/>
        </w:rPr>
      </w:pPr>
      <w:r w:rsidRPr="005F2B91">
        <w:rPr>
          <w:rFonts w:ascii="Times New Roman" w:hAnsi="Times New Roman" w:cs="Times New Roman"/>
          <w:bCs/>
          <w:sz w:val="24"/>
          <w:szCs w:val="28"/>
        </w:rPr>
        <w:t xml:space="preserve">The study's findings provide insight into the connections between Green Human Resource Management (GHRM) practices and a few dimensions of employee performance and engagement at Higher Education Institutions (HEIs) in Jammu and Kashmir (J&amp;K). To fully comprehend the consequences of these discoveries, it is important to analyse and evaluate their </w:t>
      </w:r>
      <w:r w:rsidRPr="005F2B91">
        <w:rPr>
          <w:rFonts w:ascii="Times New Roman" w:hAnsi="Times New Roman" w:cs="Times New Roman"/>
          <w:bCs/>
          <w:sz w:val="24"/>
          <w:szCs w:val="28"/>
        </w:rPr>
        <w:lastRenderedPageBreak/>
        <w:t>interpretation. The shown measurements provide a summary of the segment attributes of the exploratory members.</w:t>
      </w:r>
      <w:r w:rsidRPr="005F2B91">
        <w:t xml:space="preserve"> </w:t>
      </w:r>
      <w:r w:rsidRPr="005F2B91">
        <w:rPr>
          <w:rFonts w:ascii="Times New Roman" w:hAnsi="Times New Roman" w:cs="Times New Roman"/>
          <w:bCs/>
          <w:sz w:val="24"/>
          <w:szCs w:val="28"/>
        </w:rPr>
        <w:t>The majority of the sample, which was made up of employees from different departments within the chosen HEIs, was concentrated in the age range of thirty to forty. Considering that higher education staff members frequently have suitable age ranges, this outcome seems reasonable. Accordingly, a sizable percentage of respondents had four-year credentials, indicating the degree of education acquired by professionals in the field.</w:t>
      </w:r>
      <w:r w:rsidR="00A525B6" w:rsidRPr="00A525B6">
        <w:rPr>
          <w:rFonts w:ascii="Times New Roman" w:hAnsi="Times New Roman" w:cs="Times New Roman"/>
          <w:bCs/>
          <w:sz w:val="24"/>
          <w:szCs w:val="28"/>
        </w:rPr>
        <w:t xml:space="preserve"> </w:t>
      </w:r>
      <w:r w:rsidR="00D25351" w:rsidRPr="00D25351">
        <w:rPr>
          <w:rFonts w:ascii="Times New Roman" w:hAnsi="Times New Roman" w:cs="Times New Roman"/>
          <w:bCs/>
          <w:sz w:val="24"/>
          <w:szCs w:val="28"/>
        </w:rPr>
        <w:t xml:space="preserve">Moreover, the review had a slightly </w:t>
      </w:r>
      <w:r w:rsidR="005C7A24" w:rsidRPr="00D25351">
        <w:rPr>
          <w:rFonts w:ascii="Times New Roman" w:hAnsi="Times New Roman" w:cs="Times New Roman"/>
          <w:bCs/>
          <w:sz w:val="24"/>
          <w:szCs w:val="28"/>
        </w:rPr>
        <w:t>biased</w:t>
      </w:r>
      <w:r w:rsidR="00D25351" w:rsidRPr="00D25351">
        <w:rPr>
          <w:rFonts w:ascii="Times New Roman" w:hAnsi="Times New Roman" w:cs="Times New Roman"/>
          <w:bCs/>
          <w:sz w:val="24"/>
          <w:szCs w:val="28"/>
        </w:rPr>
        <w:t xml:space="preserve"> orientation delivery, with a higher percentage of female participants than male. The findings on the members' ages and educational backgrounds align with the socioeconomic trend</w:t>
      </w:r>
      <w:r w:rsidR="00D25351">
        <w:rPr>
          <w:rFonts w:ascii="Times New Roman" w:hAnsi="Times New Roman" w:cs="Times New Roman"/>
          <w:bCs/>
          <w:sz w:val="24"/>
          <w:szCs w:val="28"/>
        </w:rPr>
        <w:t>s frequently seen at the institution</w:t>
      </w:r>
      <w:r w:rsidR="00D25351" w:rsidRPr="00D25351">
        <w:rPr>
          <w:rFonts w:ascii="Times New Roman" w:hAnsi="Times New Roman" w:cs="Times New Roman"/>
          <w:bCs/>
          <w:sz w:val="24"/>
          <w:szCs w:val="28"/>
        </w:rPr>
        <w:t>s.</w:t>
      </w:r>
    </w:p>
    <w:p w14:paraId="6802E809" w14:textId="535827E8" w:rsidR="00E072CB" w:rsidRDefault="00DC056A" w:rsidP="001002B4">
      <w:pPr>
        <w:spacing w:line="360" w:lineRule="auto"/>
        <w:jc w:val="both"/>
        <w:rPr>
          <w:rFonts w:ascii="Times New Roman" w:hAnsi="Times New Roman" w:cs="Times New Roman"/>
          <w:bCs/>
          <w:sz w:val="24"/>
          <w:szCs w:val="28"/>
        </w:rPr>
      </w:pPr>
      <w:r w:rsidRPr="00DC056A">
        <w:rPr>
          <w:rFonts w:ascii="Times New Roman" w:hAnsi="Times New Roman" w:cs="Times New Roman"/>
          <w:bCs/>
          <w:sz w:val="24"/>
          <w:szCs w:val="28"/>
        </w:rPr>
        <w:t>The relapse analysis provided a plethora of insights on the connections between GHRM practice adoption at HEIs in the J&amp;K area and employee engagement, performance, and obstacles or issues. Even while earlier studies in the field of economic management have shown a reasonable link between GHRM practices and employee performance, further study is undoubtedly necessary to determine the main factors influencing this association.</w:t>
      </w:r>
      <w:r w:rsidR="001002B4" w:rsidRPr="001002B4">
        <w:rPr>
          <w:rFonts w:ascii="Times New Roman" w:hAnsi="Times New Roman" w:cs="Times New Roman"/>
          <w:bCs/>
          <w:sz w:val="24"/>
          <w:szCs w:val="28"/>
        </w:rPr>
        <w:t xml:space="preserve">. </w:t>
      </w:r>
      <w:r w:rsidR="008E6330" w:rsidRPr="008E6330">
        <w:rPr>
          <w:rFonts w:ascii="Times New Roman" w:hAnsi="Times New Roman" w:cs="Times New Roman"/>
          <w:bCs/>
          <w:sz w:val="24"/>
          <w:szCs w:val="28"/>
        </w:rPr>
        <w:t>Furthermore, the fact that GHRM drills are linked to obstacles or problems indicates that foundations may find it challenging to carry out HR drills with a manageability centre. Understanding these issues and working towards workable solutions to lessen their effects is essential. The most striking conclusion, though, is the lack of a meaningful correlation between GHRM procedures and employee engagement. This discrepancy raises important concerns and necessitates a closer look at the concept of employee participation in J&amp;K HEIs and the particular factors influencing this correlation.</w:t>
      </w:r>
    </w:p>
    <w:p w14:paraId="67C68ACF" w14:textId="77777777" w:rsidR="004B17AC" w:rsidRDefault="00E072CB" w:rsidP="00E072CB">
      <w:pPr>
        <w:pStyle w:val="ListParagraph"/>
        <w:numPr>
          <w:ilvl w:val="0"/>
          <w:numId w:val="27"/>
        </w:numPr>
        <w:spacing w:line="360" w:lineRule="auto"/>
        <w:jc w:val="both"/>
        <w:rPr>
          <w:rFonts w:ascii="Times New Roman" w:hAnsi="Times New Roman" w:cs="Times New Roman"/>
          <w:b/>
          <w:bCs/>
          <w:sz w:val="24"/>
          <w:szCs w:val="28"/>
        </w:rPr>
      </w:pPr>
      <w:r w:rsidRPr="00E072CB">
        <w:rPr>
          <w:rFonts w:ascii="Times New Roman" w:hAnsi="Times New Roman" w:cs="Times New Roman"/>
          <w:b/>
          <w:bCs/>
          <w:sz w:val="24"/>
          <w:szCs w:val="28"/>
        </w:rPr>
        <w:t xml:space="preserve">CONCLUSION </w:t>
      </w:r>
    </w:p>
    <w:p w14:paraId="59FDA1E9" w14:textId="4C2FFB3F" w:rsidR="00E072CB" w:rsidRPr="004B17AC" w:rsidRDefault="00915364" w:rsidP="004B17AC">
      <w:pPr>
        <w:spacing w:line="360" w:lineRule="auto"/>
        <w:ind w:left="360"/>
        <w:jc w:val="both"/>
        <w:rPr>
          <w:rFonts w:ascii="Times New Roman" w:hAnsi="Times New Roman" w:cs="Times New Roman"/>
          <w:b/>
          <w:bCs/>
          <w:sz w:val="24"/>
          <w:szCs w:val="28"/>
        </w:rPr>
      </w:pPr>
      <w:r w:rsidRPr="004B17AC">
        <w:rPr>
          <w:rFonts w:ascii="Times New Roman" w:hAnsi="Times New Roman" w:cs="Times New Roman"/>
          <w:bCs/>
          <w:sz w:val="24"/>
          <w:szCs w:val="28"/>
        </w:rPr>
        <w:t>In Higher Education Institutions (HEIs) located in Jammu and Kashmir (J&amp;K), this study examined the complex relationship between Green HRM practices and employee engagement and performance components.</w:t>
      </w:r>
      <w:r w:rsidR="001002B4" w:rsidRPr="004B17AC">
        <w:rPr>
          <w:rFonts w:ascii="Times New Roman" w:hAnsi="Times New Roman" w:cs="Times New Roman"/>
          <w:bCs/>
          <w:sz w:val="24"/>
          <w:szCs w:val="28"/>
        </w:rPr>
        <w:t xml:space="preserve"> </w:t>
      </w:r>
      <w:r w:rsidR="003A07F9" w:rsidRPr="004B17AC">
        <w:rPr>
          <w:rFonts w:ascii="Times New Roman" w:hAnsi="Times New Roman" w:cs="Times New Roman"/>
          <w:bCs/>
          <w:sz w:val="24"/>
          <w:szCs w:val="28"/>
        </w:rPr>
        <w:t xml:space="preserve">Using a mixed methods approach that incorporated both quantitative and subjective data, we aimed to provide insights into the adoption and effect of HR practices that are not harmful to the ecosystem in this particular context. The review's findings highlight a number of important goals. Most significantly, the exploration variables' reliability and consistency were demonstrated by their high Cronbach's Alpha values. These findings demonstrate the estimating apparatuses' dependability, which inspires confidence in the accuracy of the review's conclusions. The EFA findings also confirmed the suitability of the objects being estimated and the </w:t>
      </w:r>
      <w:r w:rsidR="003A07F9" w:rsidRPr="004B17AC">
        <w:rPr>
          <w:rFonts w:ascii="Times New Roman" w:hAnsi="Times New Roman" w:cs="Times New Roman"/>
          <w:bCs/>
          <w:sz w:val="24"/>
          <w:szCs w:val="28"/>
        </w:rPr>
        <w:lastRenderedPageBreak/>
        <w:t>consistency of the designs under examination. Regression focuses on revealing how employee performance at the selected HEIs is affected by the comprehensive and effective practice of GHRM. This is consistent with earlier manageability management research, which has repeatedly demonstrated that physiologically aware HR policies may enhance worker dedication, productivity, and overall job outcomes.</w:t>
      </w:r>
    </w:p>
    <w:p w14:paraId="61B7A5D6" w14:textId="77777777" w:rsidR="00355474" w:rsidRPr="004B17AC" w:rsidRDefault="00355474" w:rsidP="00355474">
      <w:pPr>
        <w:pStyle w:val="NoSpacing"/>
        <w:rPr>
          <w:rFonts w:ascii="Times New Roman" w:hAnsi="Times New Roman" w:cs="Times New Roman"/>
          <w:b/>
          <w:sz w:val="24"/>
          <w:szCs w:val="24"/>
        </w:rPr>
      </w:pPr>
      <w:r w:rsidRPr="004B17AC">
        <w:rPr>
          <w:rFonts w:ascii="Times New Roman" w:hAnsi="Times New Roman" w:cs="Times New Roman"/>
          <w:b/>
          <w:sz w:val="24"/>
          <w:szCs w:val="24"/>
        </w:rPr>
        <w:t>REFERENCES</w:t>
      </w:r>
    </w:p>
    <w:p w14:paraId="5D61FDB3" w14:textId="77777777" w:rsidR="00355474" w:rsidRPr="00E072CB" w:rsidRDefault="00355474" w:rsidP="00355474">
      <w:pPr>
        <w:pStyle w:val="NoSpacing"/>
        <w:rPr>
          <w:rFonts w:ascii="Times New Roman" w:hAnsi="Times New Roman" w:cs="Times New Roman"/>
          <w:b/>
          <w:sz w:val="24"/>
          <w:szCs w:val="24"/>
        </w:rPr>
      </w:pPr>
    </w:p>
    <w:p w14:paraId="1D5CCBCA" w14:textId="77777777" w:rsidR="007C74A9" w:rsidRPr="007C74A9" w:rsidRDefault="007C74A9" w:rsidP="00E072CB">
      <w:pPr>
        <w:spacing w:line="360" w:lineRule="auto"/>
        <w:jc w:val="both"/>
        <w:rPr>
          <w:rFonts w:ascii="Times New Roman" w:hAnsi="Times New Roman" w:cs="Times New Roman"/>
          <w:bCs/>
          <w:i/>
          <w:sz w:val="24"/>
          <w:szCs w:val="28"/>
        </w:rPr>
      </w:pPr>
    </w:p>
    <w:p w14:paraId="0C02D4B6" w14:textId="77777777" w:rsidR="007C74A9" w:rsidRPr="007C74A9" w:rsidRDefault="007C74A9" w:rsidP="00E072CB">
      <w:pPr>
        <w:pStyle w:val="NoSpacing"/>
        <w:rPr>
          <w:rFonts w:ascii="Times New Roman" w:hAnsi="Times New Roman" w:cs="Times New Roman"/>
          <w:i/>
          <w:sz w:val="24"/>
        </w:rPr>
      </w:pPr>
    </w:p>
    <w:p w14:paraId="63A6F2CD"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Agyabeng-Mensah, Y., Afum, E., Agnikpe, C., Cai, J., Ahenkorah, E. and Dacosta, E. (2020d), “Exploring the mediating influences of total quality management and just in time between green supply chain practices and performance”, Journal of Manufacturing Technology, 32(1), 156-175.</w:t>
      </w:r>
    </w:p>
    <w:p w14:paraId="16BD9484"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rPr>
      </w:pPr>
      <w:bookmarkStart w:id="1" w:name="_Hlk146379527"/>
      <w:r w:rsidRPr="007C74A9">
        <w:rPr>
          <w:rFonts w:ascii="Times New Roman" w:hAnsi="Times New Roman" w:cs="Times New Roman"/>
          <w:i/>
          <w:sz w:val="24"/>
          <w:szCs w:val="24"/>
        </w:rPr>
        <w:t>Alukal, P. P., Nair, S. K., &amp; Bishwas, S. K. (2022)</w:t>
      </w:r>
      <w:bookmarkEnd w:id="1"/>
      <w:r w:rsidRPr="007C74A9">
        <w:rPr>
          <w:rFonts w:ascii="Times New Roman" w:hAnsi="Times New Roman" w:cs="Times New Roman"/>
          <w:i/>
          <w:sz w:val="24"/>
          <w:szCs w:val="24"/>
        </w:rPr>
        <w:t>. Green human resource management: a review and synthesis. Interdisciplinary Environmental Review, 22(3-4), 211-231.</w:t>
      </w:r>
    </w:p>
    <w:p w14:paraId="01F750F7"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Bon, A. T., Zaid, A. A., &amp;Jaaron, A. (2018). Green human resource management, green supply chain management practices and Sustainable performance. In 8th International Conference on Industrial Engineering and Operations Management (IEOM), (Bandung, Indonesia) March (pp. 6-8).</w:t>
      </w:r>
    </w:p>
    <w:p w14:paraId="07E9D260"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Dangelico, R. M. (2015). Improving firm environmental performance and reputation: The role of employee green teams. Business Strategy and the Environment, 24(8), 735-749.</w:t>
      </w:r>
    </w:p>
    <w:p w14:paraId="30385AA9"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Haddock-Millar, J., Sanyal, C. and Muller-Camen, M. (2016), “Green human resource management: a comparative qualitative case study of a United States multinational corporation”, International Journal of Human Resource Management, 27(2), 192-211.</w:t>
      </w:r>
    </w:p>
    <w:p w14:paraId="7CFACF30"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Jadhav, J. R., &amp;Mantha, S. S. (2013). Practice Bundles for Integrated Green-Lean Manufacturing Systems. International Journal of Computer Applications, 7, 0975–8887.</w:t>
      </w:r>
    </w:p>
    <w:p w14:paraId="3CEB522C"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Longoni, A., Luzzini, D. and Guerci, M. (2018), “Deploying environmental management across functions: the relationship between green human resource management and green supply chain management”, Journal of Business Ethics, 151 (4), 1081-1095.</w:t>
      </w:r>
    </w:p>
    <w:p w14:paraId="2ABC293E"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rPr>
      </w:pPr>
      <w:bookmarkStart w:id="2" w:name="_Hlk146379593"/>
      <w:r w:rsidRPr="007C74A9">
        <w:rPr>
          <w:rFonts w:ascii="Times New Roman" w:hAnsi="Times New Roman" w:cs="Times New Roman"/>
          <w:i/>
          <w:sz w:val="24"/>
          <w:szCs w:val="24"/>
        </w:rPr>
        <w:t>Majeed, S., Khan, A., &amp; Sayeed, R. (2018)</w:t>
      </w:r>
      <w:bookmarkEnd w:id="2"/>
      <w:r w:rsidRPr="007C74A9">
        <w:rPr>
          <w:rFonts w:ascii="Times New Roman" w:hAnsi="Times New Roman" w:cs="Times New Roman"/>
          <w:i/>
          <w:sz w:val="24"/>
          <w:szCs w:val="24"/>
        </w:rPr>
        <w:t>. Green Human Resource Management Practices: A Review of Literature.</w:t>
      </w:r>
    </w:p>
    <w:p w14:paraId="0F86FF66"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Paillé, P., Chen, Y., Boiral, O., &amp;Jin, J. (2014). The impact of human resource management on environmental performance: An employee-level study. Journal of Business Ethics, 121(3), 451- 466.</w:t>
      </w:r>
    </w:p>
    <w:p w14:paraId="4900B7A8"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lastRenderedPageBreak/>
        <w:t>Rani, S., &amp; Mishra, K. (2014). Green HRM: Practices and strategic implementation in the organizations. International Journal on Recent and Innovation Trends in Computing and Communication, 2(11), 3633-3639.</w:t>
      </w:r>
    </w:p>
    <w:p w14:paraId="3B928C70"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Renwick, D. W., Redman, T., &amp; Maguire, S. (2013). Green human resource management: A review and research agenda. International Journal of Management Reviews, 15(1), 1-14.</w:t>
      </w:r>
    </w:p>
    <w:p w14:paraId="00226774"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Roscoe, S., Subramanian, N., Jabbour, C.J. and Chong, T. (2019), “Green human resource management and the enablers of green organisational culture: enhancing a firm’s environmental performance for sustainable development”, Business Strategy and the Environment, 28(5), 737- 749.</w:t>
      </w:r>
    </w:p>
    <w:p w14:paraId="42E77A8C"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S., Subramanian, N., Jabbour, C.J. and Chong, T. (2019), “Green human resource management and the enablers of green organisational culture: enhancing a firm’s environmental performance for sustainable development”, Business Strategy and the Environment, 28(5), 737- 749.</w:t>
      </w:r>
    </w:p>
    <w:p w14:paraId="4555298C"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Tadić, I., &amp;Pivac, S. (2014). Defining human resources “bundles” and Its’ correlation with companies’ financial performances. International Journal of Social, Management, Economics and Business Engineering, 8(4), 999-1003.</w:t>
      </w:r>
    </w:p>
    <w:p w14:paraId="6F27BC2B" w14:textId="77777777" w:rsidR="007C74A9" w:rsidRPr="007C74A9" w:rsidRDefault="007C74A9" w:rsidP="00355474">
      <w:pPr>
        <w:pStyle w:val="ListParagraph"/>
        <w:numPr>
          <w:ilvl w:val="0"/>
          <w:numId w:val="16"/>
        </w:numPr>
        <w:spacing w:line="360" w:lineRule="auto"/>
        <w:jc w:val="both"/>
        <w:rPr>
          <w:rFonts w:ascii="Times New Roman" w:hAnsi="Times New Roman" w:cs="Times New Roman"/>
          <w:i/>
          <w:sz w:val="24"/>
          <w:szCs w:val="24"/>
          <w:lang w:val="en-US"/>
        </w:rPr>
      </w:pPr>
      <w:r w:rsidRPr="007C74A9">
        <w:rPr>
          <w:rFonts w:ascii="Times New Roman" w:hAnsi="Times New Roman" w:cs="Times New Roman"/>
          <w:i/>
          <w:sz w:val="24"/>
          <w:szCs w:val="24"/>
        </w:rPr>
        <w:t>Wagner, M. (2013). ‘Green’human resource benefits: do they matter as determinants of environmental management system implementation? Journal of Business Ethics, 114(3), 443- 456.</w:t>
      </w:r>
    </w:p>
    <w:sectPr w:rsidR="007C74A9" w:rsidRPr="007C74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3422" w14:textId="77777777" w:rsidR="006E57CB" w:rsidRDefault="006E57CB" w:rsidP="00CA604C">
      <w:pPr>
        <w:spacing w:after="0" w:line="240" w:lineRule="auto"/>
      </w:pPr>
      <w:r>
        <w:separator/>
      </w:r>
    </w:p>
  </w:endnote>
  <w:endnote w:type="continuationSeparator" w:id="0">
    <w:p w14:paraId="58BE0AB4" w14:textId="77777777" w:rsidR="006E57CB" w:rsidRDefault="006E57CB" w:rsidP="00CA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129E" w14:textId="77777777" w:rsidR="006E57CB" w:rsidRDefault="006E57CB" w:rsidP="00CA604C">
      <w:pPr>
        <w:spacing w:after="0" w:line="240" w:lineRule="auto"/>
      </w:pPr>
      <w:r>
        <w:separator/>
      </w:r>
    </w:p>
  </w:footnote>
  <w:footnote w:type="continuationSeparator" w:id="0">
    <w:p w14:paraId="17C8BC3D" w14:textId="77777777" w:rsidR="006E57CB" w:rsidRDefault="006E57CB" w:rsidP="00CA6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BBB"/>
    <w:multiLevelType w:val="hybridMultilevel"/>
    <w:tmpl w:val="54662C82"/>
    <w:lvl w:ilvl="0" w:tplc="40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57743"/>
    <w:multiLevelType w:val="hybridMultilevel"/>
    <w:tmpl w:val="32D6B61C"/>
    <w:lvl w:ilvl="0" w:tplc="B9C2C96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B74A94"/>
    <w:multiLevelType w:val="hybridMultilevel"/>
    <w:tmpl w:val="B57E328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95F31E6"/>
    <w:multiLevelType w:val="hybridMultilevel"/>
    <w:tmpl w:val="83B40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75391B"/>
    <w:multiLevelType w:val="multilevel"/>
    <w:tmpl w:val="B268F0B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9B1BCE"/>
    <w:multiLevelType w:val="multilevel"/>
    <w:tmpl w:val="3FF2B8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9A7A5D"/>
    <w:multiLevelType w:val="multilevel"/>
    <w:tmpl w:val="08D2AE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B61804"/>
    <w:multiLevelType w:val="hybridMultilevel"/>
    <w:tmpl w:val="E42C01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6D22344"/>
    <w:multiLevelType w:val="multilevel"/>
    <w:tmpl w:val="C1461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A65FF7"/>
    <w:multiLevelType w:val="hybridMultilevel"/>
    <w:tmpl w:val="AF96A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1F5A12"/>
    <w:multiLevelType w:val="hybridMultilevel"/>
    <w:tmpl w:val="DF1600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774C3E"/>
    <w:multiLevelType w:val="multilevel"/>
    <w:tmpl w:val="662E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A1184"/>
    <w:multiLevelType w:val="multilevel"/>
    <w:tmpl w:val="E0A4739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C34529"/>
    <w:multiLevelType w:val="hybridMultilevel"/>
    <w:tmpl w:val="FA706084"/>
    <w:lvl w:ilvl="0" w:tplc="0B7606F0">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D05B75"/>
    <w:multiLevelType w:val="hybridMultilevel"/>
    <w:tmpl w:val="AD089E74"/>
    <w:lvl w:ilvl="0" w:tplc="821CD564">
      <w:start w:val="4"/>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034CA3"/>
    <w:multiLevelType w:val="hybridMultilevel"/>
    <w:tmpl w:val="ED1E554A"/>
    <w:lvl w:ilvl="0" w:tplc="40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FD73800"/>
    <w:multiLevelType w:val="hybridMultilevel"/>
    <w:tmpl w:val="4BAC88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47C6312"/>
    <w:multiLevelType w:val="hybridMultilevel"/>
    <w:tmpl w:val="FD28A77E"/>
    <w:lvl w:ilvl="0" w:tplc="821CD564">
      <w:start w:val="4"/>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5F1C13"/>
    <w:multiLevelType w:val="hybridMultilevel"/>
    <w:tmpl w:val="5EF427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BD016B9"/>
    <w:multiLevelType w:val="hybridMultilevel"/>
    <w:tmpl w:val="DC8447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CB54907"/>
    <w:multiLevelType w:val="multilevel"/>
    <w:tmpl w:val="4CF24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E1575F"/>
    <w:multiLevelType w:val="hybridMultilevel"/>
    <w:tmpl w:val="1E04C9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333606C"/>
    <w:multiLevelType w:val="multilevel"/>
    <w:tmpl w:val="D86C3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492278"/>
    <w:multiLevelType w:val="multilevel"/>
    <w:tmpl w:val="FED28A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C1D7228"/>
    <w:multiLevelType w:val="hybridMultilevel"/>
    <w:tmpl w:val="BCA6D1F2"/>
    <w:lvl w:ilvl="0" w:tplc="B83ECBBA">
      <w:start w:val="1"/>
      <w:numFmt w:val="decimal"/>
      <w:lvlText w:val="%1."/>
      <w:lvlJc w:val="left"/>
      <w:pPr>
        <w:ind w:left="360" w:hanging="360"/>
      </w:pPr>
      <w:rPr>
        <w:rFonts w:hint="default"/>
        <w:b/>
        <w:sz w:val="24"/>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24F0A61"/>
    <w:multiLevelType w:val="hybridMultilevel"/>
    <w:tmpl w:val="D58A9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B0F3DE6"/>
    <w:multiLevelType w:val="hybridMultilevel"/>
    <w:tmpl w:val="1902DFBC"/>
    <w:lvl w:ilvl="0" w:tplc="CF7437E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2"/>
  </w:num>
  <w:num w:numId="2">
    <w:abstractNumId w:val="23"/>
  </w:num>
  <w:num w:numId="3">
    <w:abstractNumId w:val="25"/>
  </w:num>
  <w:num w:numId="4">
    <w:abstractNumId w:val="17"/>
  </w:num>
  <w:num w:numId="5">
    <w:abstractNumId w:val="14"/>
  </w:num>
  <w:num w:numId="6">
    <w:abstractNumId w:val="26"/>
  </w:num>
  <w:num w:numId="7">
    <w:abstractNumId w:val="11"/>
  </w:num>
  <w:num w:numId="8">
    <w:abstractNumId w:val="19"/>
  </w:num>
  <w:num w:numId="9">
    <w:abstractNumId w:val="0"/>
  </w:num>
  <w:num w:numId="10">
    <w:abstractNumId w:val="16"/>
  </w:num>
  <w:num w:numId="11">
    <w:abstractNumId w:val="7"/>
  </w:num>
  <w:num w:numId="12">
    <w:abstractNumId w:val="15"/>
  </w:num>
  <w:num w:numId="13">
    <w:abstractNumId w:val="18"/>
  </w:num>
  <w:num w:numId="14">
    <w:abstractNumId w:val="2"/>
  </w:num>
  <w:num w:numId="15">
    <w:abstractNumId w:val="21"/>
  </w:num>
  <w:num w:numId="16">
    <w:abstractNumId w:val="13"/>
  </w:num>
  <w:num w:numId="17">
    <w:abstractNumId w:val="24"/>
  </w:num>
  <w:num w:numId="18">
    <w:abstractNumId w:val="8"/>
  </w:num>
  <w:num w:numId="19">
    <w:abstractNumId w:val="10"/>
  </w:num>
  <w:num w:numId="20">
    <w:abstractNumId w:val="3"/>
  </w:num>
  <w:num w:numId="21">
    <w:abstractNumId w:val="9"/>
  </w:num>
  <w:num w:numId="22">
    <w:abstractNumId w:val="5"/>
  </w:num>
  <w:num w:numId="23">
    <w:abstractNumId w:val="4"/>
  </w:num>
  <w:num w:numId="24">
    <w:abstractNumId w:val="20"/>
  </w:num>
  <w:num w:numId="25">
    <w:abstractNumId w:val="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C3"/>
    <w:rsid w:val="00002C57"/>
    <w:rsid w:val="00021673"/>
    <w:rsid w:val="00022989"/>
    <w:rsid w:val="00033030"/>
    <w:rsid w:val="000333C3"/>
    <w:rsid w:val="00037392"/>
    <w:rsid w:val="00044232"/>
    <w:rsid w:val="0004713D"/>
    <w:rsid w:val="000536B6"/>
    <w:rsid w:val="0005752A"/>
    <w:rsid w:val="00064583"/>
    <w:rsid w:val="0008358D"/>
    <w:rsid w:val="000A2637"/>
    <w:rsid w:val="000A4543"/>
    <w:rsid w:val="000D528C"/>
    <w:rsid w:val="000D7DFD"/>
    <w:rsid w:val="000E166A"/>
    <w:rsid w:val="001002B4"/>
    <w:rsid w:val="0011167E"/>
    <w:rsid w:val="0011494A"/>
    <w:rsid w:val="00137EC0"/>
    <w:rsid w:val="00141406"/>
    <w:rsid w:val="0014755D"/>
    <w:rsid w:val="001729A3"/>
    <w:rsid w:val="00172BD5"/>
    <w:rsid w:val="00182188"/>
    <w:rsid w:val="001A452E"/>
    <w:rsid w:val="001B0F1B"/>
    <w:rsid w:val="001B42DD"/>
    <w:rsid w:val="001C186B"/>
    <w:rsid w:val="001C487F"/>
    <w:rsid w:val="0021134E"/>
    <w:rsid w:val="00246A39"/>
    <w:rsid w:val="00247C8E"/>
    <w:rsid w:val="002520E7"/>
    <w:rsid w:val="002717A0"/>
    <w:rsid w:val="00273200"/>
    <w:rsid w:val="00287877"/>
    <w:rsid w:val="002B19AD"/>
    <w:rsid w:val="002B1B79"/>
    <w:rsid w:val="002B2F9C"/>
    <w:rsid w:val="002B6EA9"/>
    <w:rsid w:val="002D690C"/>
    <w:rsid w:val="002D7A56"/>
    <w:rsid w:val="002E6279"/>
    <w:rsid w:val="00311E6B"/>
    <w:rsid w:val="0031641A"/>
    <w:rsid w:val="00317B34"/>
    <w:rsid w:val="00337F46"/>
    <w:rsid w:val="00355474"/>
    <w:rsid w:val="00365A6C"/>
    <w:rsid w:val="003862F3"/>
    <w:rsid w:val="00394E21"/>
    <w:rsid w:val="003A07F9"/>
    <w:rsid w:val="003A70DA"/>
    <w:rsid w:val="003B46E0"/>
    <w:rsid w:val="003C0B33"/>
    <w:rsid w:val="003C3E10"/>
    <w:rsid w:val="003C7A10"/>
    <w:rsid w:val="003C7D73"/>
    <w:rsid w:val="003D3CAE"/>
    <w:rsid w:val="003E52C9"/>
    <w:rsid w:val="00403C03"/>
    <w:rsid w:val="00411417"/>
    <w:rsid w:val="0041189E"/>
    <w:rsid w:val="0046645E"/>
    <w:rsid w:val="00475C9F"/>
    <w:rsid w:val="00476004"/>
    <w:rsid w:val="004A4900"/>
    <w:rsid w:val="004A4BAB"/>
    <w:rsid w:val="004B164F"/>
    <w:rsid w:val="004B17AC"/>
    <w:rsid w:val="004B6D23"/>
    <w:rsid w:val="004B7658"/>
    <w:rsid w:val="004C6977"/>
    <w:rsid w:val="005072FA"/>
    <w:rsid w:val="005207D3"/>
    <w:rsid w:val="00532BCB"/>
    <w:rsid w:val="00533EFB"/>
    <w:rsid w:val="0053541B"/>
    <w:rsid w:val="00537009"/>
    <w:rsid w:val="0056004E"/>
    <w:rsid w:val="00566FEC"/>
    <w:rsid w:val="005857F2"/>
    <w:rsid w:val="00585E2E"/>
    <w:rsid w:val="00596755"/>
    <w:rsid w:val="005A05F4"/>
    <w:rsid w:val="005B0B5D"/>
    <w:rsid w:val="005C5EF0"/>
    <w:rsid w:val="005C7A24"/>
    <w:rsid w:val="005E17FD"/>
    <w:rsid w:val="005F2B91"/>
    <w:rsid w:val="00600626"/>
    <w:rsid w:val="0061056E"/>
    <w:rsid w:val="006154CD"/>
    <w:rsid w:val="006515BB"/>
    <w:rsid w:val="00662124"/>
    <w:rsid w:val="00666CAA"/>
    <w:rsid w:val="006671CB"/>
    <w:rsid w:val="006713B2"/>
    <w:rsid w:val="006825E3"/>
    <w:rsid w:val="006A5C0E"/>
    <w:rsid w:val="006B129E"/>
    <w:rsid w:val="006C736C"/>
    <w:rsid w:val="006D6485"/>
    <w:rsid w:val="006E57CB"/>
    <w:rsid w:val="006F440D"/>
    <w:rsid w:val="006F502C"/>
    <w:rsid w:val="00715DA3"/>
    <w:rsid w:val="00726592"/>
    <w:rsid w:val="00766307"/>
    <w:rsid w:val="00775325"/>
    <w:rsid w:val="00780DE5"/>
    <w:rsid w:val="007B209E"/>
    <w:rsid w:val="007B7A65"/>
    <w:rsid w:val="007C345D"/>
    <w:rsid w:val="007C74A9"/>
    <w:rsid w:val="007C7E29"/>
    <w:rsid w:val="007D2130"/>
    <w:rsid w:val="007D55B4"/>
    <w:rsid w:val="007E3E1A"/>
    <w:rsid w:val="007F1D70"/>
    <w:rsid w:val="00816A71"/>
    <w:rsid w:val="0084093E"/>
    <w:rsid w:val="00845F96"/>
    <w:rsid w:val="00850954"/>
    <w:rsid w:val="00867FF6"/>
    <w:rsid w:val="00880BBA"/>
    <w:rsid w:val="00896FEC"/>
    <w:rsid w:val="008D25A3"/>
    <w:rsid w:val="008D2B6B"/>
    <w:rsid w:val="008E6330"/>
    <w:rsid w:val="008F193B"/>
    <w:rsid w:val="008F4C89"/>
    <w:rsid w:val="00913517"/>
    <w:rsid w:val="00915364"/>
    <w:rsid w:val="009379FB"/>
    <w:rsid w:val="0095620B"/>
    <w:rsid w:val="0097550A"/>
    <w:rsid w:val="00980E2F"/>
    <w:rsid w:val="00986937"/>
    <w:rsid w:val="009A41BD"/>
    <w:rsid w:val="009B6B5E"/>
    <w:rsid w:val="009F2695"/>
    <w:rsid w:val="009F3A07"/>
    <w:rsid w:val="009F5736"/>
    <w:rsid w:val="00A044E1"/>
    <w:rsid w:val="00A15150"/>
    <w:rsid w:val="00A21804"/>
    <w:rsid w:val="00A439E4"/>
    <w:rsid w:val="00A525B6"/>
    <w:rsid w:val="00A60CA5"/>
    <w:rsid w:val="00A64FE1"/>
    <w:rsid w:val="00A70DF3"/>
    <w:rsid w:val="00A97692"/>
    <w:rsid w:val="00AA1D1D"/>
    <w:rsid w:val="00AA53ED"/>
    <w:rsid w:val="00AC01D1"/>
    <w:rsid w:val="00AC3613"/>
    <w:rsid w:val="00AC3F2E"/>
    <w:rsid w:val="00AE11AE"/>
    <w:rsid w:val="00AE6E19"/>
    <w:rsid w:val="00AE7033"/>
    <w:rsid w:val="00B2499A"/>
    <w:rsid w:val="00B40433"/>
    <w:rsid w:val="00B46C0E"/>
    <w:rsid w:val="00B51F26"/>
    <w:rsid w:val="00B60500"/>
    <w:rsid w:val="00B70B43"/>
    <w:rsid w:val="00B902B4"/>
    <w:rsid w:val="00BB44DF"/>
    <w:rsid w:val="00BB5182"/>
    <w:rsid w:val="00BC2567"/>
    <w:rsid w:val="00BC35A7"/>
    <w:rsid w:val="00BE6B25"/>
    <w:rsid w:val="00BE7EF8"/>
    <w:rsid w:val="00C07FDF"/>
    <w:rsid w:val="00C277F3"/>
    <w:rsid w:val="00C365D4"/>
    <w:rsid w:val="00C523DC"/>
    <w:rsid w:val="00C52DFB"/>
    <w:rsid w:val="00C55E07"/>
    <w:rsid w:val="00C6729A"/>
    <w:rsid w:val="00C7364C"/>
    <w:rsid w:val="00C853BD"/>
    <w:rsid w:val="00CA604C"/>
    <w:rsid w:val="00CA672B"/>
    <w:rsid w:val="00CA76BC"/>
    <w:rsid w:val="00CD0DD6"/>
    <w:rsid w:val="00CE4798"/>
    <w:rsid w:val="00CE4E87"/>
    <w:rsid w:val="00D04994"/>
    <w:rsid w:val="00D11705"/>
    <w:rsid w:val="00D21CD0"/>
    <w:rsid w:val="00D25351"/>
    <w:rsid w:val="00D27166"/>
    <w:rsid w:val="00D45DD6"/>
    <w:rsid w:val="00D56749"/>
    <w:rsid w:val="00D575DC"/>
    <w:rsid w:val="00D82646"/>
    <w:rsid w:val="00D91D6A"/>
    <w:rsid w:val="00D95FCE"/>
    <w:rsid w:val="00DA05D0"/>
    <w:rsid w:val="00DB101C"/>
    <w:rsid w:val="00DC056A"/>
    <w:rsid w:val="00DC7487"/>
    <w:rsid w:val="00DD7924"/>
    <w:rsid w:val="00DE2FE8"/>
    <w:rsid w:val="00E010D7"/>
    <w:rsid w:val="00E04545"/>
    <w:rsid w:val="00E053F3"/>
    <w:rsid w:val="00E072CB"/>
    <w:rsid w:val="00E115C3"/>
    <w:rsid w:val="00E2328A"/>
    <w:rsid w:val="00E25278"/>
    <w:rsid w:val="00E44B5D"/>
    <w:rsid w:val="00E5212F"/>
    <w:rsid w:val="00E57D2A"/>
    <w:rsid w:val="00E81E43"/>
    <w:rsid w:val="00E84B58"/>
    <w:rsid w:val="00EB01E6"/>
    <w:rsid w:val="00EC2C03"/>
    <w:rsid w:val="00EC7F34"/>
    <w:rsid w:val="00ED2485"/>
    <w:rsid w:val="00ED42DF"/>
    <w:rsid w:val="00F06B11"/>
    <w:rsid w:val="00F139D5"/>
    <w:rsid w:val="00F41546"/>
    <w:rsid w:val="00F65AC9"/>
    <w:rsid w:val="00F81786"/>
    <w:rsid w:val="00FE4AA3"/>
    <w:rsid w:val="00FE5D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DE6FD"/>
  <w15:docId w15:val="{CB013689-48F1-4488-86F8-54F2E5B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C3"/>
    <w:pPr>
      <w:ind w:left="720"/>
      <w:contextualSpacing/>
    </w:pPr>
  </w:style>
  <w:style w:type="table" w:styleId="TableGrid">
    <w:name w:val="Table Grid"/>
    <w:basedOn w:val="TableNormal"/>
    <w:uiPriority w:val="59"/>
    <w:rsid w:val="0098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2C03"/>
    <w:rPr>
      <w:sz w:val="16"/>
      <w:szCs w:val="16"/>
    </w:rPr>
  </w:style>
  <w:style w:type="paragraph" w:styleId="CommentText">
    <w:name w:val="annotation text"/>
    <w:basedOn w:val="Normal"/>
    <w:link w:val="CommentTextChar"/>
    <w:uiPriority w:val="99"/>
    <w:semiHidden/>
    <w:unhideWhenUsed/>
    <w:rsid w:val="00EC2C03"/>
    <w:pPr>
      <w:spacing w:line="240" w:lineRule="auto"/>
    </w:pPr>
    <w:rPr>
      <w:sz w:val="20"/>
      <w:szCs w:val="20"/>
    </w:rPr>
  </w:style>
  <w:style w:type="character" w:customStyle="1" w:styleId="CommentTextChar">
    <w:name w:val="Comment Text Char"/>
    <w:basedOn w:val="DefaultParagraphFont"/>
    <w:link w:val="CommentText"/>
    <w:uiPriority w:val="99"/>
    <w:semiHidden/>
    <w:rsid w:val="00EC2C03"/>
    <w:rPr>
      <w:sz w:val="20"/>
      <w:szCs w:val="20"/>
    </w:rPr>
  </w:style>
  <w:style w:type="paragraph" w:styleId="CommentSubject">
    <w:name w:val="annotation subject"/>
    <w:basedOn w:val="CommentText"/>
    <w:next w:val="CommentText"/>
    <w:link w:val="CommentSubjectChar"/>
    <w:uiPriority w:val="99"/>
    <w:semiHidden/>
    <w:unhideWhenUsed/>
    <w:rsid w:val="00EC2C03"/>
    <w:rPr>
      <w:b/>
      <w:bCs/>
    </w:rPr>
  </w:style>
  <w:style w:type="character" w:customStyle="1" w:styleId="CommentSubjectChar">
    <w:name w:val="Comment Subject Char"/>
    <w:basedOn w:val="CommentTextChar"/>
    <w:link w:val="CommentSubject"/>
    <w:uiPriority w:val="99"/>
    <w:semiHidden/>
    <w:rsid w:val="00EC2C03"/>
    <w:rPr>
      <w:b/>
      <w:bCs/>
      <w:sz w:val="20"/>
      <w:szCs w:val="20"/>
    </w:rPr>
  </w:style>
  <w:style w:type="paragraph" w:styleId="BalloonText">
    <w:name w:val="Balloon Text"/>
    <w:basedOn w:val="Normal"/>
    <w:link w:val="BalloonTextChar"/>
    <w:uiPriority w:val="99"/>
    <w:semiHidden/>
    <w:unhideWhenUsed/>
    <w:rsid w:val="009F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A07"/>
    <w:rPr>
      <w:rFonts w:ascii="Tahoma" w:hAnsi="Tahoma" w:cs="Tahoma"/>
      <w:sz w:val="16"/>
      <w:szCs w:val="16"/>
    </w:rPr>
  </w:style>
  <w:style w:type="paragraph" w:styleId="NoSpacing">
    <w:name w:val="No Spacing"/>
    <w:uiPriority w:val="1"/>
    <w:qFormat/>
    <w:rsid w:val="00533EFB"/>
    <w:pPr>
      <w:spacing w:after="0" w:line="240" w:lineRule="auto"/>
    </w:pPr>
  </w:style>
  <w:style w:type="paragraph" w:styleId="Header">
    <w:name w:val="header"/>
    <w:basedOn w:val="Normal"/>
    <w:link w:val="HeaderChar"/>
    <w:uiPriority w:val="99"/>
    <w:unhideWhenUsed/>
    <w:rsid w:val="00CA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04C"/>
  </w:style>
  <w:style w:type="paragraph" w:styleId="Footer">
    <w:name w:val="footer"/>
    <w:basedOn w:val="Normal"/>
    <w:link w:val="FooterChar"/>
    <w:uiPriority w:val="99"/>
    <w:unhideWhenUsed/>
    <w:rsid w:val="00CA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886">
      <w:bodyDiv w:val="1"/>
      <w:marLeft w:val="0"/>
      <w:marRight w:val="0"/>
      <w:marTop w:val="0"/>
      <w:marBottom w:val="0"/>
      <w:divBdr>
        <w:top w:val="none" w:sz="0" w:space="0" w:color="auto"/>
        <w:left w:val="none" w:sz="0" w:space="0" w:color="auto"/>
        <w:bottom w:val="none" w:sz="0" w:space="0" w:color="auto"/>
        <w:right w:val="none" w:sz="0" w:space="0" w:color="auto"/>
      </w:divBdr>
    </w:div>
    <w:div w:id="72550857">
      <w:bodyDiv w:val="1"/>
      <w:marLeft w:val="0"/>
      <w:marRight w:val="0"/>
      <w:marTop w:val="0"/>
      <w:marBottom w:val="0"/>
      <w:divBdr>
        <w:top w:val="none" w:sz="0" w:space="0" w:color="auto"/>
        <w:left w:val="none" w:sz="0" w:space="0" w:color="auto"/>
        <w:bottom w:val="none" w:sz="0" w:space="0" w:color="auto"/>
        <w:right w:val="none" w:sz="0" w:space="0" w:color="auto"/>
      </w:divBdr>
    </w:div>
    <w:div w:id="87773829">
      <w:bodyDiv w:val="1"/>
      <w:marLeft w:val="0"/>
      <w:marRight w:val="0"/>
      <w:marTop w:val="0"/>
      <w:marBottom w:val="0"/>
      <w:divBdr>
        <w:top w:val="none" w:sz="0" w:space="0" w:color="auto"/>
        <w:left w:val="none" w:sz="0" w:space="0" w:color="auto"/>
        <w:bottom w:val="none" w:sz="0" w:space="0" w:color="auto"/>
        <w:right w:val="none" w:sz="0" w:space="0" w:color="auto"/>
      </w:divBdr>
    </w:div>
    <w:div w:id="211385652">
      <w:bodyDiv w:val="1"/>
      <w:marLeft w:val="0"/>
      <w:marRight w:val="0"/>
      <w:marTop w:val="0"/>
      <w:marBottom w:val="0"/>
      <w:divBdr>
        <w:top w:val="none" w:sz="0" w:space="0" w:color="auto"/>
        <w:left w:val="none" w:sz="0" w:space="0" w:color="auto"/>
        <w:bottom w:val="none" w:sz="0" w:space="0" w:color="auto"/>
        <w:right w:val="none" w:sz="0" w:space="0" w:color="auto"/>
      </w:divBdr>
    </w:div>
    <w:div w:id="285164716">
      <w:bodyDiv w:val="1"/>
      <w:marLeft w:val="0"/>
      <w:marRight w:val="0"/>
      <w:marTop w:val="0"/>
      <w:marBottom w:val="0"/>
      <w:divBdr>
        <w:top w:val="none" w:sz="0" w:space="0" w:color="auto"/>
        <w:left w:val="none" w:sz="0" w:space="0" w:color="auto"/>
        <w:bottom w:val="none" w:sz="0" w:space="0" w:color="auto"/>
        <w:right w:val="none" w:sz="0" w:space="0" w:color="auto"/>
      </w:divBdr>
    </w:div>
    <w:div w:id="444810199">
      <w:bodyDiv w:val="1"/>
      <w:marLeft w:val="0"/>
      <w:marRight w:val="0"/>
      <w:marTop w:val="0"/>
      <w:marBottom w:val="0"/>
      <w:divBdr>
        <w:top w:val="none" w:sz="0" w:space="0" w:color="auto"/>
        <w:left w:val="none" w:sz="0" w:space="0" w:color="auto"/>
        <w:bottom w:val="none" w:sz="0" w:space="0" w:color="auto"/>
        <w:right w:val="none" w:sz="0" w:space="0" w:color="auto"/>
      </w:divBdr>
    </w:div>
    <w:div w:id="497425699">
      <w:bodyDiv w:val="1"/>
      <w:marLeft w:val="0"/>
      <w:marRight w:val="0"/>
      <w:marTop w:val="0"/>
      <w:marBottom w:val="0"/>
      <w:divBdr>
        <w:top w:val="none" w:sz="0" w:space="0" w:color="auto"/>
        <w:left w:val="none" w:sz="0" w:space="0" w:color="auto"/>
        <w:bottom w:val="none" w:sz="0" w:space="0" w:color="auto"/>
        <w:right w:val="none" w:sz="0" w:space="0" w:color="auto"/>
      </w:divBdr>
    </w:div>
    <w:div w:id="586691923">
      <w:bodyDiv w:val="1"/>
      <w:marLeft w:val="0"/>
      <w:marRight w:val="0"/>
      <w:marTop w:val="0"/>
      <w:marBottom w:val="0"/>
      <w:divBdr>
        <w:top w:val="none" w:sz="0" w:space="0" w:color="auto"/>
        <w:left w:val="none" w:sz="0" w:space="0" w:color="auto"/>
        <w:bottom w:val="none" w:sz="0" w:space="0" w:color="auto"/>
        <w:right w:val="none" w:sz="0" w:space="0" w:color="auto"/>
      </w:divBdr>
    </w:div>
    <w:div w:id="662785080">
      <w:bodyDiv w:val="1"/>
      <w:marLeft w:val="0"/>
      <w:marRight w:val="0"/>
      <w:marTop w:val="0"/>
      <w:marBottom w:val="0"/>
      <w:divBdr>
        <w:top w:val="none" w:sz="0" w:space="0" w:color="auto"/>
        <w:left w:val="none" w:sz="0" w:space="0" w:color="auto"/>
        <w:bottom w:val="none" w:sz="0" w:space="0" w:color="auto"/>
        <w:right w:val="none" w:sz="0" w:space="0" w:color="auto"/>
      </w:divBdr>
    </w:div>
    <w:div w:id="675234147">
      <w:bodyDiv w:val="1"/>
      <w:marLeft w:val="0"/>
      <w:marRight w:val="0"/>
      <w:marTop w:val="0"/>
      <w:marBottom w:val="0"/>
      <w:divBdr>
        <w:top w:val="none" w:sz="0" w:space="0" w:color="auto"/>
        <w:left w:val="none" w:sz="0" w:space="0" w:color="auto"/>
        <w:bottom w:val="none" w:sz="0" w:space="0" w:color="auto"/>
        <w:right w:val="none" w:sz="0" w:space="0" w:color="auto"/>
      </w:divBdr>
    </w:div>
    <w:div w:id="700327204">
      <w:bodyDiv w:val="1"/>
      <w:marLeft w:val="0"/>
      <w:marRight w:val="0"/>
      <w:marTop w:val="0"/>
      <w:marBottom w:val="0"/>
      <w:divBdr>
        <w:top w:val="none" w:sz="0" w:space="0" w:color="auto"/>
        <w:left w:val="none" w:sz="0" w:space="0" w:color="auto"/>
        <w:bottom w:val="none" w:sz="0" w:space="0" w:color="auto"/>
        <w:right w:val="none" w:sz="0" w:space="0" w:color="auto"/>
      </w:divBdr>
    </w:div>
    <w:div w:id="703557577">
      <w:bodyDiv w:val="1"/>
      <w:marLeft w:val="0"/>
      <w:marRight w:val="0"/>
      <w:marTop w:val="0"/>
      <w:marBottom w:val="0"/>
      <w:divBdr>
        <w:top w:val="none" w:sz="0" w:space="0" w:color="auto"/>
        <w:left w:val="none" w:sz="0" w:space="0" w:color="auto"/>
        <w:bottom w:val="none" w:sz="0" w:space="0" w:color="auto"/>
        <w:right w:val="none" w:sz="0" w:space="0" w:color="auto"/>
      </w:divBdr>
    </w:div>
    <w:div w:id="738016567">
      <w:bodyDiv w:val="1"/>
      <w:marLeft w:val="0"/>
      <w:marRight w:val="0"/>
      <w:marTop w:val="0"/>
      <w:marBottom w:val="0"/>
      <w:divBdr>
        <w:top w:val="none" w:sz="0" w:space="0" w:color="auto"/>
        <w:left w:val="none" w:sz="0" w:space="0" w:color="auto"/>
        <w:bottom w:val="none" w:sz="0" w:space="0" w:color="auto"/>
        <w:right w:val="none" w:sz="0" w:space="0" w:color="auto"/>
      </w:divBdr>
    </w:div>
    <w:div w:id="784812870">
      <w:bodyDiv w:val="1"/>
      <w:marLeft w:val="0"/>
      <w:marRight w:val="0"/>
      <w:marTop w:val="0"/>
      <w:marBottom w:val="0"/>
      <w:divBdr>
        <w:top w:val="none" w:sz="0" w:space="0" w:color="auto"/>
        <w:left w:val="none" w:sz="0" w:space="0" w:color="auto"/>
        <w:bottom w:val="none" w:sz="0" w:space="0" w:color="auto"/>
        <w:right w:val="none" w:sz="0" w:space="0" w:color="auto"/>
      </w:divBdr>
    </w:div>
    <w:div w:id="923342932">
      <w:bodyDiv w:val="1"/>
      <w:marLeft w:val="0"/>
      <w:marRight w:val="0"/>
      <w:marTop w:val="0"/>
      <w:marBottom w:val="0"/>
      <w:divBdr>
        <w:top w:val="none" w:sz="0" w:space="0" w:color="auto"/>
        <w:left w:val="none" w:sz="0" w:space="0" w:color="auto"/>
        <w:bottom w:val="none" w:sz="0" w:space="0" w:color="auto"/>
        <w:right w:val="none" w:sz="0" w:space="0" w:color="auto"/>
      </w:divBdr>
    </w:div>
    <w:div w:id="1018967901">
      <w:bodyDiv w:val="1"/>
      <w:marLeft w:val="0"/>
      <w:marRight w:val="0"/>
      <w:marTop w:val="0"/>
      <w:marBottom w:val="0"/>
      <w:divBdr>
        <w:top w:val="none" w:sz="0" w:space="0" w:color="auto"/>
        <w:left w:val="none" w:sz="0" w:space="0" w:color="auto"/>
        <w:bottom w:val="none" w:sz="0" w:space="0" w:color="auto"/>
        <w:right w:val="none" w:sz="0" w:space="0" w:color="auto"/>
      </w:divBdr>
    </w:div>
    <w:div w:id="1030029871">
      <w:bodyDiv w:val="1"/>
      <w:marLeft w:val="0"/>
      <w:marRight w:val="0"/>
      <w:marTop w:val="0"/>
      <w:marBottom w:val="0"/>
      <w:divBdr>
        <w:top w:val="none" w:sz="0" w:space="0" w:color="auto"/>
        <w:left w:val="none" w:sz="0" w:space="0" w:color="auto"/>
        <w:bottom w:val="none" w:sz="0" w:space="0" w:color="auto"/>
        <w:right w:val="none" w:sz="0" w:space="0" w:color="auto"/>
      </w:divBdr>
    </w:div>
    <w:div w:id="1036084358">
      <w:bodyDiv w:val="1"/>
      <w:marLeft w:val="0"/>
      <w:marRight w:val="0"/>
      <w:marTop w:val="0"/>
      <w:marBottom w:val="0"/>
      <w:divBdr>
        <w:top w:val="none" w:sz="0" w:space="0" w:color="auto"/>
        <w:left w:val="none" w:sz="0" w:space="0" w:color="auto"/>
        <w:bottom w:val="none" w:sz="0" w:space="0" w:color="auto"/>
        <w:right w:val="none" w:sz="0" w:space="0" w:color="auto"/>
      </w:divBdr>
      <w:divsChild>
        <w:div w:id="1933390383">
          <w:marLeft w:val="0"/>
          <w:marRight w:val="0"/>
          <w:marTop w:val="0"/>
          <w:marBottom w:val="0"/>
          <w:divBdr>
            <w:top w:val="single" w:sz="2" w:space="0" w:color="D9D9E3"/>
            <w:left w:val="single" w:sz="2" w:space="0" w:color="D9D9E3"/>
            <w:bottom w:val="single" w:sz="2" w:space="0" w:color="D9D9E3"/>
            <w:right w:val="single" w:sz="2" w:space="0" w:color="D9D9E3"/>
          </w:divBdr>
          <w:divsChild>
            <w:div w:id="326445836">
              <w:marLeft w:val="0"/>
              <w:marRight w:val="0"/>
              <w:marTop w:val="0"/>
              <w:marBottom w:val="0"/>
              <w:divBdr>
                <w:top w:val="single" w:sz="2" w:space="0" w:color="D9D9E3"/>
                <w:left w:val="single" w:sz="2" w:space="0" w:color="D9D9E3"/>
                <w:bottom w:val="single" w:sz="2" w:space="0" w:color="D9D9E3"/>
                <w:right w:val="single" w:sz="2" w:space="0" w:color="D9D9E3"/>
              </w:divBdr>
              <w:divsChild>
                <w:div w:id="1273241396">
                  <w:marLeft w:val="0"/>
                  <w:marRight w:val="0"/>
                  <w:marTop w:val="0"/>
                  <w:marBottom w:val="0"/>
                  <w:divBdr>
                    <w:top w:val="single" w:sz="2" w:space="0" w:color="D9D9E3"/>
                    <w:left w:val="single" w:sz="2" w:space="0" w:color="D9D9E3"/>
                    <w:bottom w:val="single" w:sz="2" w:space="0" w:color="D9D9E3"/>
                    <w:right w:val="single" w:sz="2" w:space="0" w:color="D9D9E3"/>
                  </w:divBdr>
                  <w:divsChild>
                    <w:div w:id="207957654">
                      <w:marLeft w:val="0"/>
                      <w:marRight w:val="0"/>
                      <w:marTop w:val="0"/>
                      <w:marBottom w:val="0"/>
                      <w:divBdr>
                        <w:top w:val="single" w:sz="2" w:space="0" w:color="D9D9E3"/>
                        <w:left w:val="single" w:sz="2" w:space="0" w:color="D9D9E3"/>
                        <w:bottom w:val="single" w:sz="2" w:space="0" w:color="D9D9E3"/>
                        <w:right w:val="single" w:sz="2" w:space="0" w:color="D9D9E3"/>
                      </w:divBdr>
                      <w:divsChild>
                        <w:div w:id="1777673622">
                          <w:marLeft w:val="0"/>
                          <w:marRight w:val="0"/>
                          <w:marTop w:val="0"/>
                          <w:marBottom w:val="0"/>
                          <w:divBdr>
                            <w:top w:val="single" w:sz="2" w:space="0" w:color="auto"/>
                            <w:left w:val="single" w:sz="2" w:space="0" w:color="auto"/>
                            <w:bottom w:val="single" w:sz="6" w:space="0" w:color="auto"/>
                            <w:right w:val="single" w:sz="2" w:space="0" w:color="auto"/>
                          </w:divBdr>
                          <w:divsChild>
                            <w:div w:id="384182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221600">
                                  <w:marLeft w:val="0"/>
                                  <w:marRight w:val="0"/>
                                  <w:marTop w:val="0"/>
                                  <w:marBottom w:val="0"/>
                                  <w:divBdr>
                                    <w:top w:val="single" w:sz="2" w:space="0" w:color="D9D9E3"/>
                                    <w:left w:val="single" w:sz="2" w:space="0" w:color="D9D9E3"/>
                                    <w:bottom w:val="single" w:sz="2" w:space="0" w:color="D9D9E3"/>
                                    <w:right w:val="single" w:sz="2" w:space="0" w:color="D9D9E3"/>
                                  </w:divBdr>
                                  <w:divsChild>
                                    <w:div w:id="2111076987">
                                      <w:marLeft w:val="0"/>
                                      <w:marRight w:val="0"/>
                                      <w:marTop w:val="0"/>
                                      <w:marBottom w:val="0"/>
                                      <w:divBdr>
                                        <w:top w:val="single" w:sz="2" w:space="0" w:color="D9D9E3"/>
                                        <w:left w:val="single" w:sz="2" w:space="0" w:color="D9D9E3"/>
                                        <w:bottom w:val="single" w:sz="2" w:space="0" w:color="D9D9E3"/>
                                        <w:right w:val="single" w:sz="2" w:space="0" w:color="D9D9E3"/>
                                      </w:divBdr>
                                      <w:divsChild>
                                        <w:div w:id="1059550686">
                                          <w:marLeft w:val="0"/>
                                          <w:marRight w:val="0"/>
                                          <w:marTop w:val="0"/>
                                          <w:marBottom w:val="0"/>
                                          <w:divBdr>
                                            <w:top w:val="single" w:sz="2" w:space="0" w:color="D9D9E3"/>
                                            <w:left w:val="single" w:sz="2" w:space="0" w:color="D9D9E3"/>
                                            <w:bottom w:val="single" w:sz="2" w:space="0" w:color="D9D9E3"/>
                                            <w:right w:val="single" w:sz="2" w:space="0" w:color="D9D9E3"/>
                                          </w:divBdr>
                                          <w:divsChild>
                                            <w:div w:id="704329009">
                                              <w:marLeft w:val="0"/>
                                              <w:marRight w:val="0"/>
                                              <w:marTop w:val="0"/>
                                              <w:marBottom w:val="0"/>
                                              <w:divBdr>
                                                <w:top w:val="single" w:sz="2" w:space="0" w:color="D9D9E3"/>
                                                <w:left w:val="single" w:sz="2" w:space="0" w:color="D9D9E3"/>
                                                <w:bottom w:val="single" w:sz="2" w:space="0" w:color="D9D9E3"/>
                                                <w:right w:val="single" w:sz="2" w:space="0" w:color="D9D9E3"/>
                                              </w:divBdr>
                                              <w:divsChild>
                                                <w:div w:id="636186403">
                                                  <w:marLeft w:val="0"/>
                                                  <w:marRight w:val="0"/>
                                                  <w:marTop w:val="0"/>
                                                  <w:marBottom w:val="0"/>
                                                  <w:divBdr>
                                                    <w:top w:val="single" w:sz="2" w:space="0" w:color="D9D9E3"/>
                                                    <w:left w:val="single" w:sz="2" w:space="0" w:color="D9D9E3"/>
                                                    <w:bottom w:val="single" w:sz="2" w:space="0" w:color="D9D9E3"/>
                                                    <w:right w:val="single" w:sz="2" w:space="0" w:color="D9D9E3"/>
                                                  </w:divBdr>
                                                  <w:divsChild>
                                                    <w:div w:id="517935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2626899">
          <w:marLeft w:val="0"/>
          <w:marRight w:val="0"/>
          <w:marTop w:val="0"/>
          <w:marBottom w:val="0"/>
          <w:divBdr>
            <w:top w:val="none" w:sz="0" w:space="0" w:color="auto"/>
            <w:left w:val="none" w:sz="0" w:space="0" w:color="auto"/>
            <w:bottom w:val="none" w:sz="0" w:space="0" w:color="auto"/>
            <w:right w:val="none" w:sz="0" w:space="0" w:color="auto"/>
          </w:divBdr>
        </w:div>
      </w:divsChild>
    </w:div>
    <w:div w:id="1077434917">
      <w:bodyDiv w:val="1"/>
      <w:marLeft w:val="0"/>
      <w:marRight w:val="0"/>
      <w:marTop w:val="0"/>
      <w:marBottom w:val="0"/>
      <w:divBdr>
        <w:top w:val="none" w:sz="0" w:space="0" w:color="auto"/>
        <w:left w:val="none" w:sz="0" w:space="0" w:color="auto"/>
        <w:bottom w:val="none" w:sz="0" w:space="0" w:color="auto"/>
        <w:right w:val="none" w:sz="0" w:space="0" w:color="auto"/>
      </w:divBdr>
    </w:div>
    <w:div w:id="1118329810">
      <w:bodyDiv w:val="1"/>
      <w:marLeft w:val="0"/>
      <w:marRight w:val="0"/>
      <w:marTop w:val="0"/>
      <w:marBottom w:val="0"/>
      <w:divBdr>
        <w:top w:val="none" w:sz="0" w:space="0" w:color="auto"/>
        <w:left w:val="none" w:sz="0" w:space="0" w:color="auto"/>
        <w:bottom w:val="none" w:sz="0" w:space="0" w:color="auto"/>
        <w:right w:val="none" w:sz="0" w:space="0" w:color="auto"/>
      </w:divBdr>
    </w:div>
    <w:div w:id="1157384047">
      <w:bodyDiv w:val="1"/>
      <w:marLeft w:val="0"/>
      <w:marRight w:val="0"/>
      <w:marTop w:val="0"/>
      <w:marBottom w:val="0"/>
      <w:divBdr>
        <w:top w:val="none" w:sz="0" w:space="0" w:color="auto"/>
        <w:left w:val="none" w:sz="0" w:space="0" w:color="auto"/>
        <w:bottom w:val="none" w:sz="0" w:space="0" w:color="auto"/>
        <w:right w:val="none" w:sz="0" w:space="0" w:color="auto"/>
      </w:divBdr>
    </w:div>
    <w:div w:id="1165169188">
      <w:bodyDiv w:val="1"/>
      <w:marLeft w:val="0"/>
      <w:marRight w:val="0"/>
      <w:marTop w:val="0"/>
      <w:marBottom w:val="0"/>
      <w:divBdr>
        <w:top w:val="none" w:sz="0" w:space="0" w:color="auto"/>
        <w:left w:val="none" w:sz="0" w:space="0" w:color="auto"/>
        <w:bottom w:val="none" w:sz="0" w:space="0" w:color="auto"/>
        <w:right w:val="none" w:sz="0" w:space="0" w:color="auto"/>
      </w:divBdr>
    </w:div>
    <w:div w:id="1177503257">
      <w:bodyDiv w:val="1"/>
      <w:marLeft w:val="0"/>
      <w:marRight w:val="0"/>
      <w:marTop w:val="0"/>
      <w:marBottom w:val="0"/>
      <w:divBdr>
        <w:top w:val="none" w:sz="0" w:space="0" w:color="auto"/>
        <w:left w:val="none" w:sz="0" w:space="0" w:color="auto"/>
        <w:bottom w:val="none" w:sz="0" w:space="0" w:color="auto"/>
        <w:right w:val="none" w:sz="0" w:space="0" w:color="auto"/>
      </w:divBdr>
    </w:div>
    <w:div w:id="1242637405">
      <w:bodyDiv w:val="1"/>
      <w:marLeft w:val="0"/>
      <w:marRight w:val="0"/>
      <w:marTop w:val="0"/>
      <w:marBottom w:val="0"/>
      <w:divBdr>
        <w:top w:val="none" w:sz="0" w:space="0" w:color="auto"/>
        <w:left w:val="none" w:sz="0" w:space="0" w:color="auto"/>
        <w:bottom w:val="none" w:sz="0" w:space="0" w:color="auto"/>
        <w:right w:val="none" w:sz="0" w:space="0" w:color="auto"/>
      </w:divBdr>
    </w:div>
    <w:div w:id="1275332966">
      <w:bodyDiv w:val="1"/>
      <w:marLeft w:val="0"/>
      <w:marRight w:val="0"/>
      <w:marTop w:val="0"/>
      <w:marBottom w:val="0"/>
      <w:divBdr>
        <w:top w:val="none" w:sz="0" w:space="0" w:color="auto"/>
        <w:left w:val="none" w:sz="0" w:space="0" w:color="auto"/>
        <w:bottom w:val="none" w:sz="0" w:space="0" w:color="auto"/>
        <w:right w:val="none" w:sz="0" w:space="0" w:color="auto"/>
      </w:divBdr>
    </w:div>
    <w:div w:id="1276138793">
      <w:bodyDiv w:val="1"/>
      <w:marLeft w:val="0"/>
      <w:marRight w:val="0"/>
      <w:marTop w:val="0"/>
      <w:marBottom w:val="0"/>
      <w:divBdr>
        <w:top w:val="none" w:sz="0" w:space="0" w:color="auto"/>
        <w:left w:val="none" w:sz="0" w:space="0" w:color="auto"/>
        <w:bottom w:val="none" w:sz="0" w:space="0" w:color="auto"/>
        <w:right w:val="none" w:sz="0" w:space="0" w:color="auto"/>
      </w:divBdr>
    </w:div>
    <w:div w:id="1288898177">
      <w:bodyDiv w:val="1"/>
      <w:marLeft w:val="0"/>
      <w:marRight w:val="0"/>
      <w:marTop w:val="0"/>
      <w:marBottom w:val="0"/>
      <w:divBdr>
        <w:top w:val="none" w:sz="0" w:space="0" w:color="auto"/>
        <w:left w:val="none" w:sz="0" w:space="0" w:color="auto"/>
        <w:bottom w:val="none" w:sz="0" w:space="0" w:color="auto"/>
        <w:right w:val="none" w:sz="0" w:space="0" w:color="auto"/>
      </w:divBdr>
      <w:divsChild>
        <w:div w:id="808134246">
          <w:marLeft w:val="0"/>
          <w:marRight w:val="0"/>
          <w:marTop w:val="0"/>
          <w:marBottom w:val="0"/>
          <w:divBdr>
            <w:top w:val="single" w:sz="2" w:space="0" w:color="D9D9E3"/>
            <w:left w:val="single" w:sz="2" w:space="0" w:color="D9D9E3"/>
            <w:bottom w:val="single" w:sz="2" w:space="0" w:color="D9D9E3"/>
            <w:right w:val="single" w:sz="2" w:space="0" w:color="D9D9E3"/>
          </w:divBdr>
          <w:divsChild>
            <w:div w:id="2089881092">
              <w:marLeft w:val="0"/>
              <w:marRight w:val="0"/>
              <w:marTop w:val="0"/>
              <w:marBottom w:val="0"/>
              <w:divBdr>
                <w:top w:val="single" w:sz="2" w:space="0" w:color="D9D9E3"/>
                <w:left w:val="single" w:sz="2" w:space="0" w:color="D9D9E3"/>
                <w:bottom w:val="single" w:sz="2" w:space="0" w:color="D9D9E3"/>
                <w:right w:val="single" w:sz="2" w:space="0" w:color="D9D9E3"/>
              </w:divBdr>
              <w:divsChild>
                <w:div w:id="1100369425">
                  <w:marLeft w:val="0"/>
                  <w:marRight w:val="0"/>
                  <w:marTop w:val="0"/>
                  <w:marBottom w:val="0"/>
                  <w:divBdr>
                    <w:top w:val="single" w:sz="2" w:space="0" w:color="D9D9E3"/>
                    <w:left w:val="single" w:sz="2" w:space="0" w:color="D9D9E3"/>
                    <w:bottom w:val="single" w:sz="2" w:space="0" w:color="D9D9E3"/>
                    <w:right w:val="single" w:sz="2" w:space="0" w:color="D9D9E3"/>
                  </w:divBdr>
                  <w:divsChild>
                    <w:div w:id="1387875382">
                      <w:marLeft w:val="0"/>
                      <w:marRight w:val="0"/>
                      <w:marTop w:val="0"/>
                      <w:marBottom w:val="0"/>
                      <w:divBdr>
                        <w:top w:val="single" w:sz="2" w:space="0" w:color="D9D9E3"/>
                        <w:left w:val="single" w:sz="2" w:space="0" w:color="D9D9E3"/>
                        <w:bottom w:val="single" w:sz="2" w:space="0" w:color="D9D9E3"/>
                        <w:right w:val="single" w:sz="2" w:space="0" w:color="D9D9E3"/>
                      </w:divBdr>
                      <w:divsChild>
                        <w:div w:id="895362416">
                          <w:marLeft w:val="0"/>
                          <w:marRight w:val="0"/>
                          <w:marTop w:val="0"/>
                          <w:marBottom w:val="0"/>
                          <w:divBdr>
                            <w:top w:val="single" w:sz="2" w:space="0" w:color="auto"/>
                            <w:left w:val="single" w:sz="2" w:space="0" w:color="auto"/>
                            <w:bottom w:val="single" w:sz="6" w:space="0" w:color="auto"/>
                            <w:right w:val="single" w:sz="2" w:space="0" w:color="auto"/>
                          </w:divBdr>
                          <w:divsChild>
                            <w:div w:id="1346639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271197">
                                  <w:marLeft w:val="0"/>
                                  <w:marRight w:val="0"/>
                                  <w:marTop w:val="0"/>
                                  <w:marBottom w:val="0"/>
                                  <w:divBdr>
                                    <w:top w:val="single" w:sz="2" w:space="0" w:color="D9D9E3"/>
                                    <w:left w:val="single" w:sz="2" w:space="0" w:color="D9D9E3"/>
                                    <w:bottom w:val="single" w:sz="2" w:space="0" w:color="D9D9E3"/>
                                    <w:right w:val="single" w:sz="2" w:space="0" w:color="D9D9E3"/>
                                  </w:divBdr>
                                  <w:divsChild>
                                    <w:div w:id="1078601903">
                                      <w:marLeft w:val="0"/>
                                      <w:marRight w:val="0"/>
                                      <w:marTop w:val="0"/>
                                      <w:marBottom w:val="0"/>
                                      <w:divBdr>
                                        <w:top w:val="single" w:sz="2" w:space="0" w:color="D9D9E3"/>
                                        <w:left w:val="single" w:sz="2" w:space="0" w:color="D9D9E3"/>
                                        <w:bottom w:val="single" w:sz="2" w:space="0" w:color="D9D9E3"/>
                                        <w:right w:val="single" w:sz="2" w:space="0" w:color="D9D9E3"/>
                                      </w:divBdr>
                                      <w:divsChild>
                                        <w:div w:id="2069451924">
                                          <w:marLeft w:val="0"/>
                                          <w:marRight w:val="0"/>
                                          <w:marTop w:val="0"/>
                                          <w:marBottom w:val="0"/>
                                          <w:divBdr>
                                            <w:top w:val="single" w:sz="2" w:space="0" w:color="D9D9E3"/>
                                            <w:left w:val="single" w:sz="2" w:space="0" w:color="D9D9E3"/>
                                            <w:bottom w:val="single" w:sz="2" w:space="0" w:color="D9D9E3"/>
                                            <w:right w:val="single" w:sz="2" w:space="0" w:color="D9D9E3"/>
                                          </w:divBdr>
                                          <w:divsChild>
                                            <w:div w:id="1821605857">
                                              <w:marLeft w:val="0"/>
                                              <w:marRight w:val="0"/>
                                              <w:marTop w:val="0"/>
                                              <w:marBottom w:val="0"/>
                                              <w:divBdr>
                                                <w:top w:val="single" w:sz="2" w:space="0" w:color="D9D9E3"/>
                                                <w:left w:val="single" w:sz="2" w:space="0" w:color="D9D9E3"/>
                                                <w:bottom w:val="single" w:sz="2" w:space="0" w:color="D9D9E3"/>
                                                <w:right w:val="single" w:sz="2" w:space="0" w:color="D9D9E3"/>
                                              </w:divBdr>
                                              <w:divsChild>
                                                <w:div w:id="69206562">
                                                  <w:marLeft w:val="0"/>
                                                  <w:marRight w:val="0"/>
                                                  <w:marTop w:val="0"/>
                                                  <w:marBottom w:val="0"/>
                                                  <w:divBdr>
                                                    <w:top w:val="single" w:sz="2" w:space="0" w:color="D9D9E3"/>
                                                    <w:left w:val="single" w:sz="2" w:space="0" w:color="D9D9E3"/>
                                                    <w:bottom w:val="single" w:sz="2" w:space="0" w:color="D9D9E3"/>
                                                    <w:right w:val="single" w:sz="2" w:space="0" w:color="D9D9E3"/>
                                                  </w:divBdr>
                                                  <w:divsChild>
                                                    <w:div w:id="772020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2831531">
          <w:marLeft w:val="0"/>
          <w:marRight w:val="0"/>
          <w:marTop w:val="0"/>
          <w:marBottom w:val="0"/>
          <w:divBdr>
            <w:top w:val="none" w:sz="0" w:space="0" w:color="auto"/>
            <w:left w:val="none" w:sz="0" w:space="0" w:color="auto"/>
            <w:bottom w:val="none" w:sz="0" w:space="0" w:color="auto"/>
            <w:right w:val="none" w:sz="0" w:space="0" w:color="auto"/>
          </w:divBdr>
        </w:div>
      </w:divsChild>
    </w:div>
    <w:div w:id="1292590085">
      <w:bodyDiv w:val="1"/>
      <w:marLeft w:val="0"/>
      <w:marRight w:val="0"/>
      <w:marTop w:val="0"/>
      <w:marBottom w:val="0"/>
      <w:divBdr>
        <w:top w:val="none" w:sz="0" w:space="0" w:color="auto"/>
        <w:left w:val="none" w:sz="0" w:space="0" w:color="auto"/>
        <w:bottom w:val="none" w:sz="0" w:space="0" w:color="auto"/>
        <w:right w:val="none" w:sz="0" w:space="0" w:color="auto"/>
      </w:divBdr>
    </w:div>
    <w:div w:id="1295913356">
      <w:bodyDiv w:val="1"/>
      <w:marLeft w:val="0"/>
      <w:marRight w:val="0"/>
      <w:marTop w:val="0"/>
      <w:marBottom w:val="0"/>
      <w:divBdr>
        <w:top w:val="none" w:sz="0" w:space="0" w:color="auto"/>
        <w:left w:val="none" w:sz="0" w:space="0" w:color="auto"/>
        <w:bottom w:val="none" w:sz="0" w:space="0" w:color="auto"/>
        <w:right w:val="none" w:sz="0" w:space="0" w:color="auto"/>
      </w:divBdr>
    </w:div>
    <w:div w:id="1457866042">
      <w:bodyDiv w:val="1"/>
      <w:marLeft w:val="0"/>
      <w:marRight w:val="0"/>
      <w:marTop w:val="0"/>
      <w:marBottom w:val="0"/>
      <w:divBdr>
        <w:top w:val="none" w:sz="0" w:space="0" w:color="auto"/>
        <w:left w:val="none" w:sz="0" w:space="0" w:color="auto"/>
        <w:bottom w:val="none" w:sz="0" w:space="0" w:color="auto"/>
        <w:right w:val="none" w:sz="0" w:space="0" w:color="auto"/>
      </w:divBdr>
    </w:div>
    <w:div w:id="1463379125">
      <w:bodyDiv w:val="1"/>
      <w:marLeft w:val="0"/>
      <w:marRight w:val="0"/>
      <w:marTop w:val="0"/>
      <w:marBottom w:val="0"/>
      <w:divBdr>
        <w:top w:val="none" w:sz="0" w:space="0" w:color="auto"/>
        <w:left w:val="none" w:sz="0" w:space="0" w:color="auto"/>
        <w:bottom w:val="none" w:sz="0" w:space="0" w:color="auto"/>
        <w:right w:val="none" w:sz="0" w:space="0" w:color="auto"/>
      </w:divBdr>
    </w:div>
    <w:div w:id="1488859151">
      <w:bodyDiv w:val="1"/>
      <w:marLeft w:val="0"/>
      <w:marRight w:val="0"/>
      <w:marTop w:val="0"/>
      <w:marBottom w:val="0"/>
      <w:divBdr>
        <w:top w:val="none" w:sz="0" w:space="0" w:color="auto"/>
        <w:left w:val="none" w:sz="0" w:space="0" w:color="auto"/>
        <w:bottom w:val="none" w:sz="0" w:space="0" w:color="auto"/>
        <w:right w:val="none" w:sz="0" w:space="0" w:color="auto"/>
      </w:divBdr>
    </w:div>
    <w:div w:id="1494954561">
      <w:bodyDiv w:val="1"/>
      <w:marLeft w:val="0"/>
      <w:marRight w:val="0"/>
      <w:marTop w:val="0"/>
      <w:marBottom w:val="0"/>
      <w:divBdr>
        <w:top w:val="none" w:sz="0" w:space="0" w:color="auto"/>
        <w:left w:val="none" w:sz="0" w:space="0" w:color="auto"/>
        <w:bottom w:val="none" w:sz="0" w:space="0" w:color="auto"/>
        <w:right w:val="none" w:sz="0" w:space="0" w:color="auto"/>
      </w:divBdr>
    </w:div>
    <w:div w:id="1523737924">
      <w:bodyDiv w:val="1"/>
      <w:marLeft w:val="0"/>
      <w:marRight w:val="0"/>
      <w:marTop w:val="0"/>
      <w:marBottom w:val="0"/>
      <w:divBdr>
        <w:top w:val="none" w:sz="0" w:space="0" w:color="auto"/>
        <w:left w:val="none" w:sz="0" w:space="0" w:color="auto"/>
        <w:bottom w:val="none" w:sz="0" w:space="0" w:color="auto"/>
        <w:right w:val="none" w:sz="0" w:space="0" w:color="auto"/>
      </w:divBdr>
    </w:div>
    <w:div w:id="1580599888">
      <w:bodyDiv w:val="1"/>
      <w:marLeft w:val="0"/>
      <w:marRight w:val="0"/>
      <w:marTop w:val="0"/>
      <w:marBottom w:val="0"/>
      <w:divBdr>
        <w:top w:val="none" w:sz="0" w:space="0" w:color="auto"/>
        <w:left w:val="none" w:sz="0" w:space="0" w:color="auto"/>
        <w:bottom w:val="none" w:sz="0" w:space="0" w:color="auto"/>
        <w:right w:val="none" w:sz="0" w:space="0" w:color="auto"/>
      </w:divBdr>
    </w:div>
    <w:div w:id="1636911042">
      <w:bodyDiv w:val="1"/>
      <w:marLeft w:val="0"/>
      <w:marRight w:val="0"/>
      <w:marTop w:val="0"/>
      <w:marBottom w:val="0"/>
      <w:divBdr>
        <w:top w:val="none" w:sz="0" w:space="0" w:color="auto"/>
        <w:left w:val="none" w:sz="0" w:space="0" w:color="auto"/>
        <w:bottom w:val="none" w:sz="0" w:space="0" w:color="auto"/>
        <w:right w:val="none" w:sz="0" w:space="0" w:color="auto"/>
      </w:divBdr>
      <w:divsChild>
        <w:div w:id="2043432724">
          <w:marLeft w:val="0"/>
          <w:marRight w:val="0"/>
          <w:marTop w:val="0"/>
          <w:marBottom w:val="0"/>
          <w:divBdr>
            <w:top w:val="single" w:sz="2" w:space="0" w:color="D9D9E3"/>
            <w:left w:val="single" w:sz="2" w:space="0" w:color="D9D9E3"/>
            <w:bottom w:val="single" w:sz="2" w:space="0" w:color="D9D9E3"/>
            <w:right w:val="single" w:sz="2" w:space="0" w:color="D9D9E3"/>
          </w:divBdr>
          <w:divsChild>
            <w:div w:id="1211917492">
              <w:marLeft w:val="0"/>
              <w:marRight w:val="0"/>
              <w:marTop w:val="0"/>
              <w:marBottom w:val="0"/>
              <w:divBdr>
                <w:top w:val="single" w:sz="2" w:space="0" w:color="D9D9E3"/>
                <w:left w:val="single" w:sz="2" w:space="0" w:color="D9D9E3"/>
                <w:bottom w:val="single" w:sz="2" w:space="0" w:color="D9D9E3"/>
                <w:right w:val="single" w:sz="2" w:space="0" w:color="D9D9E3"/>
              </w:divBdr>
              <w:divsChild>
                <w:div w:id="1754230994">
                  <w:marLeft w:val="0"/>
                  <w:marRight w:val="0"/>
                  <w:marTop w:val="0"/>
                  <w:marBottom w:val="0"/>
                  <w:divBdr>
                    <w:top w:val="single" w:sz="2" w:space="0" w:color="D9D9E3"/>
                    <w:left w:val="single" w:sz="2" w:space="0" w:color="D9D9E3"/>
                    <w:bottom w:val="single" w:sz="2" w:space="0" w:color="D9D9E3"/>
                    <w:right w:val="single" w:sz="2" w:space="0" w:color="D9D9E3"/>
                  </w:divBdr>
                  <w:divsChild>
                    <w:div w:id="1356616993">
                      <w:marLeft w:val="0"/>
                      <w:marRight w:val="0"/>
                      <w:marTop w:val="0"/>
                      <w:marBottom w:val="0"/>
                      <w:divBdr>
                        <w:top w:val="single" w:sz="2" w:space="0" w:color="D9D9E3"/>
                        <w:left w:val="single" w:sz="2" w:space="0" w:color="D9D9E3"/>
                        <w:bottom w:val="single" w:sz="2" w:space="0" w:color="D9D9E3"/>
                        <w:right w:val="single" w:sz="2" w:space="0" w:color="D9D9E3"/>
                      </w:divBdr>
                      <w:divsChild>
                        <w:div w:id="368654188">
                          <w:marLeft w:val="0"/>
                          <w:marRight w:val="0"/>
                          <w:marTop w:val="0"/>
                          <w:marBottom w:val="0"/>
                          <w:divBdr>
                            <w:top w:val="single" w:sz="2" w:space="0" w:color="auto"/>
                            <w:left w:val="single" w:sz="2" w:space="0" w:color="auto"/>
                            <w:bottom w:val="single" w:sz="6" w:space="0" w:color="auto"/>
                            <w:right w:val="single" w:sz="2" w:space="0" w:color="auto"/>
                          </w:divBdr>
                          <w:divsChild>
                            <w:div w:id="470556304">
                              <w:marLeft w:val="0"/>
                              <w:marRight w:val="0"/>
                              <w:marTop w:val="100"/>
                              <w:marBottom w:val="100"/>
                              <w:divBdr>
                                <w:top w:val="single" w:sz="2" w:space="0" w:color="D9D9E3"/>
                                <w:left w:val="single" w:sz="2" w:space="0" w:color="D9D9E3"/>
                                <w:bottom w:val="single" w:sz="2" w:space="0" w:color="D9D9E3"/>
                                <w:right w:val="single" w:sz="2" w:space="0" w:color="D9D9E3"/>
                              </w:divBdr>
                              <w:divsChild>
                                <w:div w:id="622031110">
                                  <w:marLeft w:val="0"/>
                                  <w:marRight w:val="0"/>
                                  <w:marTop w:val="0"/>
                                  <w:marBottom w:val="0"/>
                                  <w:divBdr>
                                    <w:top w:val="single" w:sz="2" w:space="0" w:color="D9D9E3"/>
                                    <w:left w:val="single" w:sz="2" w:space="0" w:color="D9D9E3"/>
                                    <w:bottom w:val="single" w:sz="2" w:space="0" w:color="D9D9E3"/>
                                    <w:right w:val="single" w:sz="2" w:space="0" w:color="D9D9E3"/>
                                  </w:divBdr>
                                  <w:divsChild>
                                    <w:div w:id="2044936171">
                                      <w:marLeft w:val="0"/>
                                      <w:marRight w:val="0"/>
                                      <w:marTop w:val="0"/>
                                      <w:marBottom w:val="0"/>
                                      <w:divBdr>
                                        <w:top w:val="single" w:sz="2" w:space="0" w:color="D9D9E3"/>
                                        <w:left w:val="single" w:sz="2" w:space="0" w:color="D9D9E3"/>
                                        <w:bottom w:val="single" w:sz="2" w:space="0" w:color="D9D9E3"/>
                                        <w:right w:val="single" w:sz="2" w:space="0" w:color="D9D9E3"/>
                                      </w:divBdr>
                                      <w:divsChild>
                                        <w:div w:id="233011635">
                                          <w:marLeft w:val="0"/>
                                          <w:marRight w:val="0"/>
                                          <w:marTop w:val="0"/>
                                          <w:marBottom w:val="0"/>
                                          <w:divBdr>
                                            <w:top w:val="single" w:sz="2" w:space="0" w:color="D9D9E3"/>
                                            <w:left w:val="single" w:sz="2" w:space="0" w:color="D9D9E3"/>
                                            <w:bottom w:val="single" w:sz="2" w:space="0" w:color="D9D9E3"/>
                                            <w:right w:val="single" w:sz="2" w:space="0" w:color="D9D9E3"/>
                                          </w:divBdr>
                                          <w:divsChild>
                                            <w:div w:id="1973051352">
                                              <w:marLeft w:val="0"/>
                                              <w:marRight w:val="0"/>
                                              <w:marTop w:val="0"/>
                                              <w:marBottom w:val="0"/>
                                              <w:divBdr>
                                                <w:top w:val="single" w:sz="2" w:space="0" w:color="D9D9E3"/>
                                                <w:left w:val="single" w:sz="2" w:space="0" w:color="D9D9E3"/>
                                                <w:bottom w:val="single" w:sz="2" w:space="0" w:color="D9D9E3"/>
                                                <w:right w:val="single" w:sz="2" w:space="0" w:color="D9D9E3"/>
                                              </w:divBdr>
                                              <w:divsChild>
                                                <w:div w:id="702099472">
                                                  <w:marLeft w:val="0"/>
                                                  <w:marRight w:val="0"/>
                                                  <w:marTop w:val="0"/>
                                                  <w:marBottom w:val="0"/>
                                                  <w:divBdr>
                                                    <w:top w:val="single" w:sz="2" w:space="0" w:color="D9D9E3"/>
                                                    <w:left w:val="single" w:sz="2" w:space="0" w:color="D9D9E3"/>
                                                    <w:bottom w:val="single" w:sz="2" w:space="0" w:color="D9D9E3"/>
                                                    <w:right w:val="single" w:sz="2" w:space="0" w:color="D9D9E3"/>
                                                  </w:divBdr>
                                                  <w:divsChild>
                                                    <w:div w:id="1066420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5520366">
          <w:marLeft w:val="0"/>
          <w:marRight w:val="0"/>
          <w:marTop w:val="0"/>
          <w:marBottom w:val="0"/>
          <w:divBdr>
            <w:top w:val="none" w:sz="0" w:space="0" w:color="auto"/>
            <w:left w:val="none" w:sz="0" w:space="0" w:color="auto"/>
            <w:bottom w:val="none" w:sz="0" w:space="0" w:color="auto"/>
            <w:right w:val="none" w:sz="0" w:space="0" w:color="auto"/>
          </w:divBdr>
        </w:div>
      </w:divsChild>
    </w:div>
    <w:div w:id="1688025638">
      <w:bodyDiv w:val="1"/>
      <w:marLeft w:val="0"/>
      <w:marRight w:val="0"/>
      <w:marTop w:val="0"/>
      <w:marBottom w:val="0"/>
      <w:divBdr>
        <w:top w:val="none" w:sz="0" w:space="0" w:color="auto"/>
        <w:left w:val="none" w:sz="0" w:space="0" w:color="auto"/>
        <w:bottom w:val="none" w:sz="0" w:space="0" w:color="auto"/>
        <w:right w:val="none" w:sz="0" w:space="0" w:color="auto"/>
      </w:divBdr>
    </w:div>
    <w:div w:id="1695956557">
      <w:bodyDiv w:val="1"/>
      <w:marLeft w:val="0"/>
      <w:marRight w:val="0"/>
      <w:marTop w:val="0"/>
      <w:marBottom w:val="0"/>
      <w:divBdr>
        <w:top w:val="none" w:sz="0" w:space="0" w:color="auto"/>
        <w:left w:val="none" w:sz="0" w:space="0" w:color="auto"/>
        <w:bottom w:val="none" w:sz="0" w:space="0" w:color="auto"/>
        <w:right w:val="none" w:sz="0" w:space="0" w:color="auto"/>
      </w:divBdr>
    </w:div>
    <w:div w:id="1724013481">
      <w:bodyDiv w:val="1"/>
      <w:marLeft w:val="0"/>
      <w:marRight w:val="0"/>
      <w:marTop w:val="0"/>
      <w:marBottom w:val="0"/>
      <w:divBdr>
        <w:top w:val="none" w:sz="0" w:space="0" w:color="auto"/>
        <w:left w:val="none" w:sz="0" w:space="0" w:color="auto"/>
        <w:bottom w:val="none" w:sz="0" w:space="0" w:color="auto"/>
        <w:right w:val="none" w:sz="0" w:space="0" w:color="auto"/>
      </w:divBdr>
      <w:divsChild>
        <w:div w:id="2010524616">
          <w:marLeft w:val="0"/>
          <w:marRight w:val="0"/>
          <w:marTop w:val="0"/>
          <w:marBottom w:val="0"/>
          <w:divBdr>
            <w:top w:val="single" w:sz="2" w:space="0" w:color="D9D9E3"/>
            <w:left w:val="single" w:sz="2" w:space="0" w:color="D9D9E3"/>
            <w:bottom w:val="single" w:sz="2" w:space="0" w:color="D9D9E3"/>
            <w:right w:val="single" w:sz="2" w:space="0" w:color="D9D9E3"/>
          </w:divBdr>
          <w:divsChild>
            <w:div w:id="953824293">
              <w:marLeft w:val="0"/>
              <w:marRight w:val="0"/>
              <w:marTop w:val="0"/>
              <w:marBottom w:val="0"/>
              <w:divBdr>
                <w:top w:val="single" w:sz="2" w:space="0" w:color="D9D9E3"/>
                <w:left w:val="single" w:sz="2" w:space="0" w:color="D9D9E3"/>
                <w:bottom w:val="single" w:sz="2" w:space="0" w:color="D9D9E3"/>
                <w:right w:val="single" w:sz="2" w:space="0" w:color="D9D9E3"/>
              </w:divBdr>
              <w:divsChild>
                <w:div w:id="328481787">
                  <w:marLeft w:val="0"/>
                  <w:marRight w:val="0"/>
                  <w:marTop w:val="0"/>
                  <w:marBottom w:val="0"/>
                  <w:divBdr>
                    <w:top w:val="single" w:sz="2" w:space="0" w:color="D9D9E3"/>
                    <w:left w:val="single" w:sz="2" w:space="0" w:color="D9D9E3"/>
                    <w:bottom w:val="single" w:sz="2" w:space="0" w:color="D9D9E3"/>
                    <w:right w:val="single" w:sz="2" w:space="0" w:color="D9D9E3"/>
                  </w:divBdr>
                  <w:divsChild>
                    <w:div w:id="1453354929">
                      <w:marLeft w:val="0"/>
                      <w:marRight w:val="0"/>
                      <w:marTop w:val="0"/>
                      <w:marBottom w:val="0"/>
                      <w:divBdr>
                        <w:top w:val="single" w:sz="2" w:space="0" w:color="D9D9E3"/>
                        <w:left w:val="single" w:sz="2" w:space="0" w:color="D9D9E3"/>
                        <w:bottom w:val="single" w:sz="2" w:space="0" w:color="D9D9E3"/>
                        <w:right w:val="single" w:sz="2" w:space="0" w:color="D9D9E3"/>
                      </w:divBdr>
                      <w:divsChild>
                        <w:div w:id="1805730463">
                          <w:marLeft w:val="0"/>
                          <w:marRight w:val="0"/>
                          <w:marTop w:val="0"/>
                          <w:marBottom w:val="0"/>
                          <w:divBdr>
                            <w:top w:val="single" w:sz="2" w:space="0" w:color="auto"/>
                            <w:left w:val="single" w:sz="2" w:space="0" w:color="auto"/>
                            <w:bottom w:val="single" w:sz="6" w:space="0" w:color="auto"/>
                            <w:right w:val="single" w:sz="2" w:space="0" w:color="auto"/>
                          </w:divBdr>
                          <w:divsChild>
                            <w:div w:id="176192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734199">
                                  <w:marLeft w:val="0"/>
                                  <w:marRight w:val="0"/>
                                  <w:marTop w:val="0"/>
                                  <w:marBottom w:val="0"/>
                                  <w:divBdr>
                                    <w:top w:val="single" w:sz="2" w:space="0" w:color="D9D9E3"/>
                                    <w:left w:val="single" w:sz="2" w:space="0" w:color="D9D9E3"/>
                                    <w:bottom w:val="single" w:sz="2" w:space="0" w:color="D9D9E3"/>
                                    <w:right w:val="single" w:sz="2" w:space="0" w:color="D9D9E3"/>
                                  </w:divBdr>
                                  <w:divsChild>
                                    <w:div w:id="81029815">
                                      <w:marLeft w:val="0"/>
                                      <w:marRight w:val="0"/>
                                      <w:marTop w:val="0"/>
                                      <w:marBottom w:val="0"/>
                                      <w:divBdr>
                                        <w:top w:val="single" w:sz="2" w:space="0" w:color="D9D9E3"/>
                                        <w:left w:val="single" w:sz="2" w:space="0" w:color="D9D9E3"/>
                                        <w:bottom w:val="single" w:sz="2" w:space="0" w:color="D9D9E3"/>
                                        <w:right w:val="single" w:sz="2" w:space="0" w:color="D9D9E3"/>
                                      </w:divBdr>
                                      <w:divsChild>
                                        <w:div w:id="1654406912">
                                          <w:marLeft w:val="0"/>
                                          <w:marRight w:val="0"/>
                                          <w:marTop w:val="0"/>
                                          <w:marBottom w:val="0"/>
                                          <w:divBdr>
                                            <w:top w:val="single" w:sz="2" w:space="0" w:color="D9D9E3"/>
                                            <w:left w:val="single" w:sz="2" w:space="0" w:color="D9D9E3"/>
                                            <w:bottom w:val="single" w:sz="2" w:space="0" w:color="D9D9E3"/>
                                            <w:right w:val="single" w:sz="2" w:space="0" w:color="D9D9E3"/>
                                          </w:divBdr>
                                          <w:divsChild>
                                            <w:div w:id="1869370126">
                                              <w:marLeft w:val="0"/>
                                              <w:marRight w:val="0"/>
                                              <w:marTop w:val="0"/>
                                              <w:marBottom w:val="0"/>
                                              <w:divBdr>
                                                <w:top w:val="single" w:sz="2" w:space="0" w:color="D9D9E3"/>
                                                <w:left w:val="single" w:sz="2" w:space="0" w:color="D9D9E3"/>
                                                <w:bottom w:val="single" w:sz="2" w:space="0" w:color="D9D9E3"/>
                                                <w:right w:val="single" w:sz="2" w:space="0" w:color="D9D9E3"/>
                                              </w:divBdr>
                                              <w:divsChild>
                                                <w:div w:id="1058282621">
                                                  <w:marLeft w:val="0"/>
                                                  <w:marRight w:val="0"/>
                                                  <w:marTop w:val="0"/>
                                                  <w:marBottom w:val="0"/>
                                                  <w:divBdr>
                                                    <w:top w:val="single" w:sz="2" w:space="0" w:color="D9D9E3"/>
                                                    <w:left w:val="single" w:sz="2" w:space="0" w:color="D9D9E3"/>
                                                    <w:bottom w:val="single" w:sz="2" w:space="0" w:color="D9D9E3"/>
                                                    <w:right w:val="single" w:sz="2" w:space="0" w:color="D9D9E3"/>
                                                  </w:divBdr>
                                                  <w:divsChild>
                                                    <w:div w:id="165992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4898283">
          <w:marLeft w:val="0"/>
          <w:marRight w:val="0"/>
          <w:marTop w:val="0"/>
          <w:marBottom w:val="0"/>
          <w:divBdr>
            <w:top w:val="none" w:sz="0" w:space="0" w:color="auto"/>
            <w:left w:val="none" w:sz="0" w:space="0" w:color="auto"/>
            <w:bottom w:val="none" w:sz="0" w:space="0" w:color="auto"/>
            <w:right w:val="none" w:sz="0" w:space="0" w:color="auto"/>
          </w:divBdr>
        </w:div>
      </w:divsChild>
    </w:div>
    <w:div w:id="1767580288">
      <w:bodyDiv w:val="1"/>
      <w:marLeft w:val="0"/>
      <w:marRight w:val="0"/>
      <w:marTop w:val="0"/>
      <w:marBottom w:val="0"/>
      <w:divBdr>
        <w:top w:val="none" w:sz="0" w:space="0" w:color="auto"/>
        <w:left w:val="none" w:sz="0" w:space="0" w:color="auto"/>
        <w:bottom w:val="none" w:sz="0" w:space="0" w:color="auto"/>
        <w:right w:val="none" w:sz="0" w:space="0" w:color="auto"/>
      </w:divBdr>
    </w:div>
    <w:div w:id="1803379069">
      <w:bodyDiv w:val="1"/>
      <w:marLeft w:val="0"/>
      <w:marRight w:val="0"/>
      <w:marTop w:val="0"/>
      <w:marBottom w:val="0"/>
      <w:divBdr>
        <w:top w:val="none" w:sz="0" w:space="0" w:color="auto"/>
        <w:left w:val="none" w:sz="0" w:space="0" w:color="auto"/>
        <w:bottom w:val="none" w:sz="0" w:space="0" w:color="auto"/>
        <w:right w:val="none" w:sz="0" w:space="0" w:color="auto"/>
      </w:divBdr>
    </w:div>
    <w:div w:id="1842620137">
      <w:bodyDiv w:val="1"/>
      <w:marLeft w:val="0"/>
      <w:marRight w:val="0"/>
      <w:marTop w:val="0"/>
      <w:marBottom w:val="0"/>
      <w:divBdr>
        <w:top w:val="none" w:sz="0" w:space="0" w:color="auto"/>
        <w:left w:val="none" w:sz="0" w:space="0" w:color="auto"/>
        <w:bottom w:val="none" w:sz="0" w:space="0" w:color="auto"/>
        <w:right w:val="none" w:sz="0" w:space="0" w:color="auto"/>
      </w:divBdr>
    </w:div>
    <w:div w:id="1860074338">
      <w:bodyDiv w:val="1"/>
      <w:marLeft w:val="0"/>
      <w:marRight w:val="0"/>
      <w:marTop w:val="0"/>
      <w:marBottom w:val="0"/>
      <w:divBdr>
        <w:top w:val="none" w:sz="0" w:space="0" w:color="auto"/>
        <w:left w:val="none" w:sz="0" w:space="0" w:color="auto"/>
        <w:bottom w:val="none" w:sz="0" w:space="0" w:color="auto"/>
        <w:right w:val="none" w:sz="0" w:space="0" w:color="auto"/>
      </w:divBdr>
    </w:div>
    <w:div w:id="1918511755">
      <w:bodyDiv w:val="1"/>
      <w:marLeft w:val="0"/>
      <w:marRight w:val="0"/>
      <w:marTop w:val="0"/>
      <w:marBottom w:val="0"/>
      <w:divBdr>
        <w:top w:val="none" w:sz="0" w:space="0" w:color="auto"/>
        <w:left w:val="none" w:sz="0" w:space="0" w:color="auto"/>
        <w:bottom w:val="none" w:sz="0" w:space="0" w:color="auto"/>
        <w:right w:val="none" w:sz="0" w:space="0" w:color="auto"/>
      </w:divBdr>
    </w:div>
    <w:div w:id="1934315422">
      <w:bodyDiv w:val="1"/>
      <w:marLeft w:val="0"/>
      <w:marRight w:val="0"/>
      <w:marTop w:val="0"/>
      <w:marBottom w:val="0"/>
      <w:divBdr>
        <w:top w:val="none" w:sz="0" w:space="0" w:color="auto"/>
        <w:left w:val="none" w:sz="0" w:space="0" w:color="auto"/>
        <w:bottom w:val="none" w:sz="0" w:space="0" w:color="auto"/>
        <w:right w:val="none" w:sz="0" w:space="0" w:color="auto"/>
      </w:divBdr>
    </w:div>
    <w:div w:id="1944994854">
      <w:bodyDiv w:val="1"/>
      <w:marLeft w:val="0"/>
      <w:marRight w:val="0"/>
      <w:marTop w:val="0"/>
      <w:marBottom w:val="0"/>
      <w:divBdr>
        <w:top w:val="none" w:sz="0" w:space="0" w:color="auto"/>
        <w:left w:val="none" w:sz="0" w:space="0" w:color="auto"/>
        <w:bottom w:val="none" w:sz="0" w:space="0" w:color="auto"/>
        <w:right w:val="none" w:sz="0" w:space="0" w:color="auto"/>
      </w:divBdr>
    </w:div>
    <w:div w:id="1980378654">
      <w:bodyDiv w:val="1"/>
      <w:marLeft w:val="0"/>
      <w:marRight w:val="0"/>
      <w:marTop w:val="0"/>
      <w:marBottom w:val="0"/>
      <w:divBdr>
        <w:top w:val="none" w:sz="0" w:space="0" w:color="auto"/>
        <w:left w:val="none" w:sz="0" w:space="0" w:color="auto"/>
        <w:bottom w:val="none" w:sz="0" w:space="0" w:color="auto"/>
        <w:right w:val="none" w:sz="0" w:space="0" w:color="auto"/>
      </w:divBdr>
    </w:div>
    <w:div w:id="2028286884">
      <w:bodyDiv w:val="1"/>
      <w:marLeft w:val="0"/>
      <w:marRight w:val="0"/>
      <w:marTop w:val="0"/>
      <w:marBottom w:val="0"/>
      <w:divBdr>
        <w:top w:val="none" w:sz="0" w:space="0" w:color="auto"/>
        <w:left w:val="none" w:sz="0" w:space="0" w:color="auto"/>
        <w:bottom w:val="none" w:sz="0" w:space="0" w:color="auto"/>
        <w:right w:val="none" w:sz="0" w:space="0" w:color="auto"/>
      </w:divBdr>
    </w:div>
    <w:div w:id="2048025341">
      <w:bodyDiv w:val="1"/>
      <w:marLeft w:val="0"/>
      <w:marRight w:val="0"/>
      <w:marTop w:val="0"/>
      <w:marBottom w:val="0"/>
      <w:divBdr>
        <w:top w:val="none" w:sz="0" w:space="0" w:color="auto"/>
        <w:left w:val="none" w:sz="0" w:space="0" w:color="auto"/>
        <w:bottom w:val="none" w:sz="0" w:space="0" w:color="auto"/>
        <w:right w:val="none" w:sz="0" w:space="0" w:color="auto"/>
      </w:divBdr>
    </w:div>
    <w:div w:id="2059695650">
      <w:bodyDiv w:val="1"/>
      <w:marLeft w:val="0"/>
      <w:marRight w:val="0"/>
      <w:marTop w:val="0"/>
      <w:marBottom w:val="0"/>
      <w:divBdr>
        <w:top w:val="none" w:sz="0" w:space="0" w:color="auto"/>
        <w:left w:val="none" w:sz="0" w:space="0" w:color="auto"/>
        <w:bottom w:val="none" w:sz="0" w:space="0" w:color="auto"/>
        <w:right w:val="none" w:sz="0" w:space="0" w:color="auto"/>
      </w:divBdr>
    </w:div>
    <w:div w:id="2072264159">
      <w:bodyDiv w:val="1"/>
      <w:marLeft w:val="0"/>
      <w:marRight w:val="0"/>
      <w:marTop w:val="0"/>
      <w:marBottom w:val="0"/>
      <w:divBdr>
        <w:top w:val="none" w:sz="0" w:space="0" w:color="auto"/>
        <w:left w:val="none" w:sz="0" w:space="0" w:color="auto"/>
        <w:bottom w:val="none" w:sz="0" w:space="0" w:color="auto"/>
        <w:right w:val="none" w:sz="0" w:space="0" w:color="auto"/>
      </w:divBdr>
    </w:div>
    <w:div w:id="2107769801">
      <w:bodyDiv w:val="1"/>
      <w:marLeft w:val="0"/>
      <w:marRight w:val="0"/>
      <w:marTop w:val="0"/>
      <w:marBottom w:val="0"/>
      <w:divBdr>
        <w:top w:val="none" w:sz="0" w:space="0" w:color="auto"/>
        <w:left w:val="none" w:sz="0" w:space="0" w:color="auto"/>
        <w:bottom w:val="none" w:sz="0" w:space="0" w:color="auto"/>
        <w:right w:val="none" w:sz="0" w:space="0" w:color="auto"/>
      </w:divBdr>
    </w:div>
    <w:div w:id="2114011443">
      <w:bodyDiv w:val="1"/>
      <w:marLeft w:val="0"/>
      <w:marRight w:val="0"/>
      <w:marTop w:val="0"/>
      <w:marBottom w:val="0"/>
      <w:divBdr>
        <w:top w:val="none" w:sz="0" w:space="0" w:color="auto"/>
        <w:left w:val="none" w:sz="0" w:space="0" w:color="auto"/>
        <w:bottom w:val="none" w:sz="0" w:space="0" w:color="auto"/>
        <w:right w:val="none" w:sz="0" w:space="0" w:color="auto"/>
      </w:divBdr>
    </w:div>
    <w:div w:id="21390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sz="1200"/>
            </a:pPr>
            <a:r>
              <a:rPr lang="en-US" sz="1200"/>
              <a:t>Demographic Profile </a:t>
            </a:r>
          </a:p>
        </c:rich>
      </c:tx>
      <c:overlay val="0"/>
    </c:title>
    <c:autoTitleDeleted val="0"/>
    <c:plotArea>
      <c:layout/>
      <c:barChart>
        <c:barDir val="col"/>
        <c:grouping val="clustered"/>
        <c:varyColors val="0"/>
        <c:ser>
          <c:idx val="0"/>
          <c:order val="0"/>
          <c:tx>
            <c:strRef>
              <c:f>Sheet1!$H$35</c:f>
              <c:strCache>
                <c:ptCount val="1"/>
                <c:pt idx="0">
                  <c:v>Demographic Profile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Sheet1!$F$36:$G$43</c:f>
              <c:multiLvlStrCache>
                <c:ptCount val="8"/>
                <c:lvl>
                  <c:pt idx="0">
                    <c:v>Male</c:v>
                  </c:pt>
                  <c:pt idx="1">
                    <c:v>Female</c:v>
                  </c:pt>
                  <c:pt idx="2">
                    <c:v>20-30</c:v>
                  </c:pt>
                  <c:pt idx="3">
                    <c:v>30-40</c:v>
                  </c:pt>
                  <c:pt idx="4">
                    <c:v>Above 40</c:v>
                  </c:pt>
                  <c:pt idx="5">
                    <c:v>Bachelor</c:v>
                  </c:pt>
                  <c:pt idx="6">
                    <c:v>Masters</c:v>
                  </c:pt>
                  <c:pt idx="7">
                    <c:v>Ph.d.</c:v>
                  </c:pt>
                </c:lvl>
                <c:lvl>
                  <c:pt idx="0">
                    <c:v>Gender</c:v>
                  </c:pt>
                  <c:pt idx="2">
                    <c:v>Age</c:v>
                  </c:pt>
                  <c:pt idx="5">
                    <c:v>Educational qualification</c:v>
                  </c:pt>
                </c:lvl>
              </c:multiLvlStrCache>
            </c:multiLvlStrRef>
          </c:cat>
          <c:val>
            <c:numRef>
              <c:f>Sheet1!$H$36:$H$43</c:f>
              <c:numCache>
                <c:formatCode>0%</c:formatCode>
                <c:ptCount val="8"/>
                <c:pt idx="0">
                  <c:v>0.33</c:v>
                </c:pt>
                <c:pt idx="1">
                  <c:v>0.67</c:v>
                </c:pt>
                <c:pt idx="2">
                  <c:v>0.2</c:v>
                </c:pt>
                <c:pt idx="3">
                  <c:v>0.65</c:v>
                </c:pt>
                <c:pt idx="4">
                  <c:v>0.15</c:v>
                </c:pt>
                <c:pt idx="5">
                  <c:v>0.5</c:v>
                </c:pt>
                <c:pt idx="6">
                  <c:v>0.2</c:v>
                </c:pt>
                <c:pt idx="7">
                  <c:v>0.3</c:v>
                </c:pt>
              </c:numCache>
            </c:numRef>
          </c:val>
          <c:extLst>
            <c:ext xmlns:c16="http://schemas.microsoft.com/office/drawing/2014/chart" uri="{C3380CC4-5D6E-409C-BE32-E72D297353CC}">
              <c16:uniqueId val="{00000000-8B46-4007-9BE0-37676F4C3018}"/>
            </c:ext>
          </c:extLst>
        </c:ser>
        <c:dLbls>
          <c:showLegendKey val="0"/>
          <c:showVal val="1"/>
          <c:showCatName val="0"/>
          <c:showSerName val="0"/>
          <c:showPercent val="0"/>
          <c:showBubbleSize val="0"/>
        </c:dLbls>
        <c:gapWidth val="150"/>
        <c:overlap val="-25"/>
        <c:axId val="240968832"/>
        <c:axId val="240970368"/>
      </c:barChart>
      <c:catAx>
        <c:axId val="240968832"/>
        <c:scaling>
          <c:orientation val="minMax"/>
        </c:scaling>
        <c:delete val="0"/>
        <c:axPos val="b"/>
        <c:numFmt formatCode="General" sourceLinked="0"/>
        <c:majorTickMark val="none"/>
        <c:minorTickMark val="none"/>
        <c:tickLblPos val="nextTo"/>
        <c:crossAx val="240970368"/>
        <c:crosses val="autoZero"/>
        <c:auto val="1"/>
        <c:lblAlgn val="ctr"/>
        <c:lblOffset val="100"/>
        <c:noMultiLvlLbl val="0"/>
      </c:catAx>
      <c:valAx>
        <c:axId val="240970368"/>
        <c:scaling>
          <c:orientation val="minMax"/>
        </c:scaling>
        <c:delete val="1"/>
        <c:axPos val="l"/>
        <c:numFmt formatCode="0%" sourceLinked="1"/>
        <c:majorTickMark val="out"/>
        <c:minorTickMark val="none"/>
        <c:tickLblPos val="nextTo"/>
        <c:crossAx val="24096883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Sheet1!$B$52</c:f>
              <c:strCache>
                <c:ptCount val="1"/>
                <c:pt idx="0">
                  <c:v>Coefficient</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Sheet1!$A$53:$A$55</c:f>
              <c:strCache>
                <c:ptCount val="3"/>
                <c:pt idx="0">
                  <c:v>Green Human Resource Management (GHRM) Practices</c:v>
                </c:pt>
                <c:pt idx="1">
                  <c:v>Employee Performance [EP]</c:v>
                </c:pt>
                <c:pt idx="2">
                  <c:v>Challenges or barriers faced in implementing green HR practices [CGHR]</c:v>
                </c:pt>
              </c:strCache>
            </c:strRef>
          </c:cat>
          <c:val>
            <c:numRef>
              <c:f>Sheet1!$B$53:$B$55</c:f>
              <c:numCache>
                <c:formatCode>General</c:formatCode>
                <c:ptCount val="3"/>
                <c:pt idx="0">
                  <c:v>0.89800000000000002</c:v>
                </c:pt>
                <c:pt idx="1">
                  <c:v>0.89100000000000001</c:v>
                </c:pt>
                <c:pt idx="2">
                  <c:v>0.871</c:v>
                </c:pt>
              </c:numCache>
            </c:numRef>
          </c:val>
          <c:smooth val="0"/>
          <c:extLst>
            <c:ext xmlns:c16="http://schemas.microsoft.com/office/drawing/2014/chart" uri="{C3380CC4-5D6E-409C-BE32-E72D297353CC}">
              <c16:uniqueId val="{00000000-F9AC-4557-9F88-43383EE8D68C}"/>
            </c:ext>
          </c:extLst>
        </c:ser>
        <c:dLbls>
          <c:showLegendKey val="0"/>
          <c:showVal val="1"/>
          <c:showCatName val="0"/>
          <c:showSerName val="0"/>
          <c:showPercent val="0"/>
          <c:showBubbleSize val="0"/>
        </c:dLbls>
        <c:marker val="1"/>
        <c:smooth val="0"/>
        <c:axId val="250821632"/>
        <c:axId val="250827520"/>
      </c:lineChart>
      <c:catAx>
        <c:axId val="250821632"/>
        <c:scaling>
          <c:orientation val="minMax"/>
        </c:scaling>
        <c:delete val="0"/>
        <c:axPos val="b"/>
        <c:numFmt formatCode="General" sourceLinked="0"/>
        <c:majorTickMark val="none"/>
        <c:minorTickMark val="none"/>
        <c:tickLblPos val="nextTo"/>
        <c:crossAx val="250827520"/>
        <c:crosses val="autoZero"/>
        <c:auto val="1"/>
        <c:lblAlgn val="ctr"/>
        <c:lblOffset val="100"/>
        <c:noMultiLvlLbl val="0"/>
      </c:catAx>
      <c:valAx>
        <c:axId val="250827520"/>
        <c:scaling>
          <c:orientation val="minMax"/>
        </c:scaling>
        <c:delete val="1"/>
        <c:axPos val="l"/>
        <c:numFmt formatCode="General" sourceLinked="1"/>
        <c:majorTickMark val="out"/>
        <c:minorTickMark val="none"/>
        <c:tickLblPos val="nextTo"/>
        <c:crossAx val="250821632"/>
        <c:crosses val="autoZero"/>
        <c:crossBetween val="between"/>
      </c:valAx>
    </c:plotArea>
    <c:legend>
      <c:legendPos val="t"/>
      <c:overlay val="0"/>
    </c:legend>
    <c:plotVisOnly val="1"/>
    <c:dispBlanksAs val="gap"/>
    <c:showDLblsOverMax val="0"/>
  </c:chart>
  <c:txPr>
    <a:bodyPr/>
    <a:lstStyle/>
    <a:p>
      <a:pPr>
        <a:defRPr sz="105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25478</TotalTime>
  <Pages>17</Pages>
  <Words>4559</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DELL</cp:lastModifiedBy>
  <cp:revision>103</cp:revision>
  <dcterms:created xsi:type="dcterms:W3CDTF">2023-10-30T05:03:00Z</dcterms:created>
  <dcterms:modified xsi:type="dcterms:W3CDTF">2024-11-05T13:10:00Z</dcterms:modified>
</cp:coreProperties>
</file>