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3C34" w14:textId="1113028E" w:rsidR="00DC4337" w:rsidRDefault="00CA5068" w:rsidP="00CA5068">
      <w:pPr>
        <w:jc w:val="center"/>
        <w:rPr>
          <w:rFonts w:ascii="Arial Black" w:hAnsi="Arial Black"/>
          <w:b/>
          <w:bCs/>
          <w:sz w:val="36"/>
          <w:szCs w:val="36"/>
          <w:u w:val="single"/>
        </w:rPr>
      </w:pPr>
      <w:r w:rsidRPr="00CA5068">
        <w:rPr>
          <w:rFonts w:ascii="Arial Black" w:hAnsi="Arial Black"/>
          <w:b/>
          <w:bCs/>
          <w:sz w:val="44"/>
          <w:szCs w:val="44"/>
          <w:u w:val="single"/>
        </w:rPr>
        <w:t>Future of</w:t>
      </w:r>
      <w:r w:rsidR="00DC4337" w:rsidRPr="00DC4337">
        <w:rPr>
          <w:rFonts w:ascii="Arial Black" w:hAnsi="Arial Black"/>
          <w:b/>
          <w:bCs/>
          <w:sz w:val="44"/>
          <w:szCs w:val="44"/>
          <w:u w:val="single"/>
        </w:rPr>
        <w:t xml:space="preserve"> Environmental, Social, and Governance (ESG</w:t>
      </w:r>
      <w:r w:rsidR="00DC4337" w:rsidRPr="00DC4337">
        <w:rPr>
          <w:rFonts w:ascii="Arial Black" w:hAnsi="Arial Black"/>
          <w:b/>
          <w:bCs/>
          <w:sz w:val="36"/>
          <w:szCs w:val="36"/>
          <w:u w:val="single"/>
        </w:rPr>
        <w:t>)</w:t>
      </w:r>
    </w:p>
    <w:p w14:paraId="577D7731" w14:textId="08E045FE" w:rsidR="00DC4337" w:rsidRDefault="00DC4337" w:rsidP="00DC4337">
      <w:pPr>
        <w:jc w:val="center"/>
        <w:rPr>
          <w:rFonts w:cstheme="minorHAnsi"/>
          <w:b/>
          <w:bCs/>
          <w:sz w:val="36"/>
          <w:szCs w:val="36"/>
        </w:rPr>
      </w:pPr>
      <w:r w:rsidRPr="00DC4337">
        <w:rPr>
          <w:rFonts w:cstheme="minorHAnsi"/>
          <w:b/>
          <w:bCs/>
          <w:sz w:val="36"/>
          <w:szCs w:val="36"/>
        </w:rPr>
        <w:t>INDEX</w:t>
      </w:r>
    </w:p>
    <w:p w14:paraId="0F76DC32" w14:textId="69ABD8B5"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 xml:space="preserve">INTRODUCTION            </w:t>
      </w:r>
    </w:p>
    <w:p w14:paraId="0DDDE5D1" w14:textId="12118CB5"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DEFINITION AND COMPONENTS OF ESG</w:t>
      </w:r>
    </w:p>
    <w:p w14:paraId="781D3C6A" w14:textId="53A0721C"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IMPORTANCE OF ESG IN MODERN BUSSINESS</w:t>
      </w:r>
    </w:p>
    <w:p w14:paraId="43F3DB77" w14:textId="684B3F6B"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ESG AND FINANCIAL PERFORMANCES</w:t>
      </w:r>
    </w:p>
    <w:p w14:paraId="425D8B6C" w14:textId="37B7E503" w:rsidR="00DC4337" w:rsidRPr="00A27132" w:rsidRDefault="00A27132" w:rsidP="00A27132">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 xml:space="preserve">KEY CHALLENGES IN ESG IMPLEMENTATION </w:t>
      </w:r>
    </w:p>
    <w:p w14:paraId="41F8362B" w14:textId="7143DC9E"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CASE STUDY ON ESG</w:t>
      </w:r>
      <w:r w:rsidRPr="00A27132">
        <w:rPr>
          <w:rFonts w:cstheme="minorHAnsi"/>
          <w:i/>
          <w:iCs/>
          <w:sz w:val="28"/>
          <w:szCs w:val="28"/>
        </w:rPr>
        <w:t xml:space="preserve"> </w:t>
      </w:r>
    </w:p>
    <w:p w14:paraId="237CB24B" w14:textId="537386A5" w:rsidR="00DC4337" w:rsidRPr="00A27132" w:rsidRDefault="00A27132" w:rsidP="00DC4337">
      <w:pPr>
        <w:pStyle w:val="ListParagraph"/>
        <w:numPr>
          <w:ilvl w:val="0"/>
          <w:numId w:val="6"/>
        </w:numPr>
        <w:rPr>
          <w:rFonts w:cstheme="minorHAnsi"/>
          <w:i/>
          <w:iCs/>
          <w:sz w:val="28"/>
          <w:szCs w:val="28"/>
        </w:rPr>
      </w:pPr>
      <w:r w:rsidRPr="00A27132">
        <w:rPr>
          <w:rFonts w:cstheme="minorHAnsi"/>
          <w:i/>
          <w:iCs/>
          <w:sz w:val="28"/>
          <w:szCs w:val="28"/>
        </w:rPr>
        <w:t xml:space="preserve">                                                                                                 </w:t>
      </w:r>
      <w:r w:rsidR="00DC4337" w:rsidRPr="00A27132">
        <w:rPr>
          <w:rFonts w:cstheme="minorHAnsi"/>
          <w:i/>
          <w:iCs/>
          <w:sz w:val="28"/>
          <w:szCs w:val="28"/>
        </w:rPr>
        <w:t>CONCLUSION</w:t>
      </w:r>
    </w:p>
    <w:p w14:paraId="4E838C21" w14:textId="49B7F2DD" w:rsidR="00DC4337" w:rsidRPr="00A27132" w:rsidRDefault="00A27132" w:rsidP="00DC4337">
      <w:pPr>
        <w:pStyle w:val="ListParagraph"/>
        <w:numPr>
          <w:ilvl w:val="0"/>
          <w:numId w:val="6"/>
        </w:numPr>
        <w:rPr>
          <w:rFonts w:cstheme="minorHAnsi"/>
          <w:sz w:val="36"/>
          <w:szCs w:val="36"/>
        </w:rPr>
      </w:pPr>
      <w:r w:rsidRPr="00A27132">
        <w:rPr>
          <w:rFonts w:cstheme="minorHAnsi"/>
          <w:i/>
          <w:iCs/>
          <w:sz w:val="28"/>
          <w:szCs w:val="28"/>
        </w:rPr>
        <w:t xml:space="preserve">                                                                                                  </w:t>
      </w:r>
      <w:r w:rsidR="00DC4337" w:rsidRPr="00A27132">
        <w:rPr>
          <w:rFonts w:cstheme="minorHAnsi"/>
          <w:i/>
          <w:iCs/>
          <w:sz w:val="28"/>
          <w:szCs w:val="28"/>
        </w:rPr>
        <w:t>REFERENCES</w:t>
      </w:r>
    </w:p>
    <w:p w14:paraId="77E1436C" w14:textId="77777777" w:rsidR="00DC4337" w:rsidRPr="00DC4337" w:rsidRDefault="00DC4337" w:rsidP="00DC4337">
      <w:pPr>
        <w:pStyle w:val="ListParagraph"/>
        <w:rPr>
          <w:rFonts w:cstheme="minorHAnsi"/>
          <w:sz w:val="36"/>
          <w:szCs w:val="36"/>
        </w:rPr>
      </w:pPr>
    </w:p>
    <w:p w14:paraId="09B0B127" w14:textId="22DF9928" w:rsidR="00DC4337" w:rsidRPr="00DC4337" w:rsidRDefault="00DC4337" w:rsidP="00DC4337">
      <w:pPr>
        <w:jc w:val="center"/>
        <w:rPr>
          <w:rFonts w:ascii="Times New Roman" w:hAnsi="Times New Roman" w:cs="Times New Roman"/>
          <w:b/>
          <w:bCs/>
          <w:sz w:val="28"/>
          <w:szCs w:val="28"/>
          <w:u w:val="single"/>
        </w:rPr>
      </w:pPr>
    </w:p>
    <w:p w14:paraId="377159CE" w14:textId="77777777" w:rsidR="00DC4337" w:rsidRPr="00DC4337" w:rsidRDefault="00DC4337" w:rsidP="00DC4337">
      <w:pPr>
        <w:rPr>
          <w:i/>
          <w:iCs/>
          <w:sz w:val="32"/>
          <w:szCs w:val="32"/>
        </w:rPr>
      </w:pPr>
      <w:r w:rsidRPr="00DC4337">
        <w:rPr>
          <w:b/>
          <w:bCs/>
          <w:i/>
          <w:iCs/>
          <w:sz w:val="32"/>
          <w:szCs w:val="32"/>
        </w:rPr>
        <w:t>1. Introduction</w:t>
      </w:r>
    </w:p>
    <w:p w14:paraId="128EFD8F" w14:textId="77777777" w:rsidR="00DC4337" w:rsidRPr="00DC4337" w:rsidRDefault="00DC4337" w:rsidP="00DC4337">
      <w:pPr>
        <w:rPr>
          <w:sz w:val="28"/>
          <w:szCs w:val="28"/>
        </w:rPr>
      </w:pPr>
      <w:r w:rsidRPr="00DC4337">
        <w:rPr>
          <w:sz w:val="28"/>
          <w:szCs w:val="28"/>
        </w:rPr>
        <w:t>Environmental, Social, and Governance (ESG) principles have become a significant focus for investors, corporations, and policymakers worldwide. These principles guide organizations to operate responsibly, aligning business goals with broader societal and environmental interests. The purpose of this report is to explore the concept of ESG, its impact on businesses, investors, and society, and the current trends shaping ESG adoption.</w:t>
      </w:r>
    </w:p>
    <w:p w14:paraId="12A21751" w14:textId="77777777" w:rsidR="00DC4337" w:rsidRPr="00DC4337" w:rsidRDefault="00DC4337" w:rsidP="00DC4337">
      <w:pPr>
        <w:rPr>
          <w:i/>
          <w:iCs/>
          <w:sz w:val="32"/>
          <w:szCs w:val="32"/>
        </w:rPr>
      </w:pPr>
      <w:r w:rsidRPr="00DC4337">
        <w:rPr>
          <w:b/>
          <w:bCs/>
          <w:i/>
          <w:iCs/>
          <w:sz w:val="32"/>
          <w:szCs w:val="32"/>
        </w:rPr>
        <w:t>2. Definition and Components of ESG</w:t>
      </w:r>
    </w:p>
    <w:p w14:paraId="6F653306" w14:textId="77777777" w:rsidR="00DC4337" w:rsidRPr="00DC4337" w:rsidRDefault="00DC4337" w:rsidP="00DC4337">
      <w:pPr>
        <w:rPr>
          <w:sz w:val="28"/>
          <w:szCs w:val="28"/>
        </w:rPr>
      </w:pPr>
      <w:r w:rsidRPr="00DC4337">
        <w:rPr>
          <w:sz w:val="28"/>
          <w:szCs w:val="28"/>
        </w:rPr>
        <w:t>ESG is divided into three core components:</w:t>
      </w:r>
    </w:p>
    <w:p w14:paraId="18635AA7" w14:textId="77777777" w:rsidR="00DC4337" w:rsidRPr="00DC4337" w:rsidRDefault="00DC4337" w:rsidP="00DC4337">
      <w:pPr>
        <w:numPr>
          <w:ilvl w:val="0"/>
          <w:numId w:val="1"/>
        </w:numPr>
        <w:rPr>
          <w:sz w:val="28"/>
          <w:szCs w:val="28"/>
        </w:rPr>
      </w:pPr>
      <w:r w:rsidRPr="00DC4337">
        <w:rPr>
          <w:b/>
          <w:bCs/>
          <w:sz w:val="28"/>
          <w:szCs w:val="28"/>
        </w:rPr>
        <w:t>Environmental</w:t>
      </w:r>
      <w:r w:rsidRPr="00DC4337">
        <w:rPr>
          <w:sz w:val="28"/>
          <w:szCs w:val="28"/>
        </w:rPr>
        <w:t>: This dimension involves a company’s impact on the planet, focusing on factors like carbon emissions, energy use, waste management, and conservation efforts. Companies are increasingly accountable for their role in climate change and environmental degradation, with stakeholders pressing for sustainable practices.</w:t>
      </w:r>
    </w:p>
    <w:p w14:paraId="36997AAE" w14:textId="7CCEDAE6" w:rsidR="00DC4337" w:rsidRPr="00DC4337" w:rsidRDefault="00DC4337" w:rsidP="00DC4337">
      <w:pPr>
        <w:numPr>
          <w:ilvl w:val="0"/>
          <w:numId w:val="1"/>
        </w:numPr>
        <w:rPr>
          <w:sz w:val="28"/>
          <w:szCs w:val="28"/>
        </w:rPr>
      </w:pPr>
      <w:r w:rsidRPr="00DC4337">
        <w:rPr>
          <w:b/>
          <w:bCs/>
          <w:sz w:val="28"/>
          <w:szCs w:val="28"/>
        </w:rPr>
        <w:t>Social</w:t>
      </w:r>
      <w:r w:rsidRPr="00DC4337">
        <w:rPr>
          <w:sz w:val="28"/>
          <w:szCs w:val="28"/>
        </w:rPr>
        <w:t xml:space="preserve">: The social aspect considers a company’s relationship with employees, suppliers, customers, and the communities in which it operates. This includes issues such as </w:t>
      </w:r>
      <w:r w:rsidRPr="00DC4337">
        <w:rPr>
          <w:sz w:val="28"/>
          <w:szCs w:val="28"/>
        </w:rPr>
        <w:t>labour</w:t>
      </w:r>
      <w:r w:rsidRPr="00DC4337">
        <w:rPr>
          <w:sz w:val="28"/>
          <w:szCs w:val="28"/>
        </w:rPr>
        <w:t xml:space="preserve"> practices, diversity and inclusion, community engagement, and data privacy.</w:t>
      </w:r>
    </w:p>
    <w:p w14:paraId="39044006" w14:textId="77777777" w:rsidR="00DC4337" w:rsidRPr="00DC4337" w:rsidRDefault="00DC4337" w:rsidP="00DC4337">
      <w:pPr>
        <w:numPr>
          <w:ilvl w:val="0"/>
          <w:numId w:val="1"/>
        </w:numPr>
        <w:rPr>
          <w:sz w:val="28"/>
          <w:szCs w:val="28"/>
        </w:rPr>
      </w:pPr>
      <w:r w:rsidRPr="00DC4337">
        <w:rPr>
          <w:b/>
          <w:bCs/>
          <w:sz w:val="28"/>
          <w:szCs w:val="28"/>
        </w:rPr>
        <w:lastRenderedPageBreak/>
        <w:t>Governance</w:t>
      </w:r>
      <w:r w:rsidRPr="00DC4337">
        <w:rPr>
          <w:sz w:val="28"/>
          <w:szCs w:val="28"/>
        </w:rPr>
        <w:t>: Governance pertains to corporate policies, board structure, transparency, executive compensation, and shareholders' rights. Strong governance frameworks ensure that companies operate with integrity and accountability, mitigating risks such as corruption and fraud.</w:t>
      </w:r>
    </w:p>
    <w:p w14:paraId="731905B6" w14:textId="77777777" w:rsidR="00DC4337" w:rsidRPr="00DC4337" w:rsidRDefault="00DC4337" w:rsidP="00DC4337">
      <w:pPr>
        <w:rPr>
          <w:i/>
          <w:iCs/>
          <w:sz w:val="32"/>
          <w:szCs w:val="32"/>
        </w:rPr>
      </w:pPr>
      <w:r w:rsidRPr="00DC4337">
        <w:rPr>
          <w:b/>
          <w:bCs/>
          <w:i/>
          <w:iCs/>
          <w:sz w:val="32"/>
          <w:szCs w:val="32"/>
        </w:rPr>
        <w:t>3. Importance of ESG in Modern Business</w:t>
      </w:r>
    </w:p>
    <w:p w14:paraId="21FD07A9" w14:textId="77777777" w:rsidR="00DC4337" w:rsidRPr="00DC4337" w:rsidRDefault="00DC4337" w:rsidP="00DC4337">
      <w:pPr>
        <w:rPr>
          <w:sz w:val="28"/>
          <w:szCs w:val="28"/>
        </w:rPr>
      </w:pPr>
      <w:r w:rsidRPr="00DC4337">
        <w:rPr>
          <w:sz w:val="28"/>
          <w:szCs w:val="28"/>
        </w:rPr>
        <w:t>The growing emphasis on ESG principles reflects shifting priorities among consumers, investors, and regulators. Some of the key drivers include:</w:t>
      </w:r>
    </w:p>
    <w:p w14:paraId="031BB1A5" w14:textId="77777777" w:rsidR="00DC4337" w:rsidRPr="00DC4337" w:rsidRDefault="00DC4337" w:rsidP="00DC4337">
      <w:pPr>
        <w:numPr>
          <w:ilvl w:val="0"/>
          <w:numId w:val="2"/>
        </w:numPr>
        <w:rPr>
          <w:sz w:val="28"/>
          <w:szCs w:val="28"/>
        </w:rPr>
      </w:pPr>
      <w:r w:rsidRPr="00DC4337">
        <w:rPr>
          <w:b/>
          <w:bCs/>
          <w:sz w:val="28"/>
          <w:szCs w:val="28"/>
        </w:rPr>
        <w:t>Investor Demand</w:t>
      </w:r>
      <w:r w:rsidRPr="00DC4337">
        <w:rPr>
          <w:sz w:val="28"/>
          <w:szCs w:val="28"/>
        </w:rPr>
        <w:t>: Sustainable investing has surged in recent years, with investors looking for companies that perform well on ESG metrics. Studies show that strong ESG practices often correlate with lower risks and better long-term financial performance.</w:t>
      </w:r>
    </w:p>
    <w:p w14:paraId="587AB2D9" w14:textId="632B00B0" w:rsidR="00DC4337" w:rsidRPr="00DC4337" w:rsidRDefault="00DC4337" w:rsidP="00DC4337">
      <w:pPr>
        <w:numPr>
          <w:ilvl w:val="0"/>
          <w:numId w:val="2"/>
        </w:numPr>
        <w:rPr>
          <w:sz w:val="28"/>
          <w:szCs w:val="28"/>
        </w:rPr>
      </w:pPr>
      <w:r w:rsidRPr="00DC4337">
        <w:rPr>
          <w:b/>
          <w:bCs/>
          <w:sz w:val="28"/>
          <w:szCs w:val="28"/>
        </w:rPr>
        <w:t>Consumer Preferences</w:t>
      </w:r>
      <w:r w:rsidRPr="00DC4337">
        <w:rPr>
          <w:sz w:val="28"/>
          <w:szCs w:val="28"/>
        </w:rPr>
        <w:t xml:space="preserve">: Consumers increasingly </w:t>
      </w:r>
      <w:r w:rsidRPr="00DC4337">
        <w:rPr>
          <w:sz w:val="28"/>
          <w:szCs w:val="28"/>
        </w:rPr>
        <w:t>Favor</w:t>
      </w:r>
      <w:r w:rsidRPr="00DC4337">
        <w:rPr>
          <w:sz w:val="28"/>
          <w:szCs w:val="28"/>
        </w:rPr>
        <w:t xml:space="preserve"> companies with ethical practices and sustainable products. Brands that fail to align with environmental and social values risk damaging their reputation and losing market share.</w:t>
      </w:r>
    </w:p>
    <w:p w14:paraId="762C199B" w14:textId="77777777" w:rsidR="00DC4337" w:rsidRPr="00DC4337" w:rsidRDefault="00DC4337" w:rsidP="00DC4337">
      <w:pPr>
        <w:numPr>
          <w:ilvl w:val="0"/>
          <w:numId w:val="2"/>
        </w:numPr>
      </w:pPr>
      <w:r w:rsidRPr="00DC4337">
        <w:rPr>
          <w:b/>
          <w:bCs/>
          <w:sz w:val="28"/>
          <w:szCs w:val="28"/>
        </w:rPr>
        <w:t>Regulatory Pressures</w:t>
      </w:r>
      <w:r w:rsidRPr="00DC4337">
        <w:rPr>
          <w:sz w:val="28"/>
          <w:szCs w:val="28"/>
        </w:rPr>
        <w:t>: Governments and regulatory bodies worldwide are implementing policies to encourage or mandate ESG reporting. For instance, the European Union’s Sustainable Finance Disclosure Regulation (SFDR) and the U.S. SEC’s proposed climate-related disclosure rules highlight the regulatory push towards greater transparency in ESG reporting.</w:t>
      </w:r>
    </w:p>
    <w:p w14:paraId="14DF39EF" w14:textId="77777777" w:rsidR="00DC4337" w:rsidRPr="00DC4337" w:rsidRDefault="00DC4337" w:rsidP="00DC4337">
      <w:pPr>
        <w:rPr>
          <w:i/>
          <w:iCs/>
          <w:sz w:val="32"/>
          <w:szCs w:val="32"/>
        </w:rPr>
      </w:pPr>
      <w:r w:rsidRPr="00DC4337">
        <w:rPr>
          <w:b/>
          <w:bCs/>
          <w:i/>
          <w:iCs/>
          <w:sz w:val="32"/>
          <w:szCs w:val="32"/>
        </w:rPr>
        <w:t>4. ESG and Financial Performance</w:t>
      </w:r>
    </w:p>
    <w:p w14:paraId="52BE4B95" w14:textId="77777777" w:rsidR="00DC4337" w:rsidRPr="00DC4337" w:rsidRDefault="00DC4337" w:rsidP="00DC4337">
      <w:pPr>
        <w:rPr>
          <w:sz w:val="28"/>
          <w:szCs w:val="28"/>
        </w:rPr>
      </w:pPr>
      <w:r w:rsidRPr="00DC4337">
        <w:rPr>
          <w:sz w:val="28"/>
          <w:szCs w:val="28"/>
        </w:rPr>
        <w:t>One of the debates surrounding ESG is its impact on financial performance. Several studies indicate that companies with strong ESG metrics often experience financial benefits, such as:</w:t>
      </w:r>
    </w:p>
    <w:p w14:paraId="69667116" w14:textId="77777777" w:rsidR="00DC4337" w:rsidRPr="00DC4337" w:rsidRDefault="00DC4337" w:rsidP="00DC4337">
      <w:pPr>
        <w:numPr>
          <w:ilvl w:val="0"/>
          <w:numId w:val="3"/>
        </w:numPr>
        <w:rPr>
          <w:sz w:val="28"/>
          <w:szCs w:val="28"/>
        </w:rPr>
      </w:pPr>
      <w:r w:rsidRPr="00DC4337">
        <w:rPr>
          <w:b/>
          <w:bCs/>
          <w:sz w:val="28"/>
          <w:szCs w:val="28"/>
        </w:rPr>
        <w:t>Lower Operational Costs</w:t>
      </w:r>
      <w:r w:rsidRPr="00DC4337">
        <w:rPr>
          <w:sz w:val="28"/>
          <w:szCs w:val="28"/>
        </w:rPr>
        <w:t>: Environmental initiatives like energy efficiency and waste reduction can lead to significant cost savings.</w:t>
      </w:r>
    </w:p>
    <w:p w14:paraId="1A0D50A8" w14:textId="77777777" w:rsidR="00DC4337" w:rsidRPr="00DC4337" w:rsidRDefault="00DC4337" w:rsidP="00DC4337">
      <w:pPr>
        <w:numPr>
          <w:ilvl w:val="0"/>
          <w:numId w:val="3"/>
        </w:numPr>
        <w:rPr>
          <w:sz w:val="28"/>
          <w:szCs w:val="28"/>
        </w:rPr>
      </w:pPr>
      <w:r w:rsidRPr="00DC4337">
        <w:rPr>
          <w:b/>
          <w:bCs/>
          <w:sz w:val="28"/>
          <w:szCs w:val="28"/>
        </w:rPr>
        <w:t>Risk Mitigation</w:t>
      </w:r>
      <w:r w:rsidRPr="00DC4337">
        <w:rPr>
          <w:sz w:val="28"/>
          <w:szCs w:val="28"/>
        </w:rPr>
        <w:t>: Companies focusing on social and governance standards are generally better prepared to handle reputational risks, regulatory fines, and other potential liabilities.</w:t>
      </w:r>
    </w:p>
    <w:p w14:paraId="0BDBF395" w14:textId="77777777" w:rsidR="00DC4337" w:rsidRPr="00DC4337" w:rsidRDefault="00DC4337" w:rsidP="00DC4337">
      <w:pPr>
        <w:numPr>
          <w:ilvl w:val="0"/>
          <w:numId w:val="3"/>
        </w:numPr>
        <w:rPr>
          <w:sz w:val="28"/>
          <w:szCs w:val="28"/>
        </w:rPr>
      </w:pPr>
      <w:r w:rsidRPr="00DC4337">
        <w:rPr>
          <w:b/>
          <w:bCs/>
          <w:sz w:val="28"/>
          <w:szCs w:val="28"/>
        </w:rPr>
        <w:t>Access to Capital</w:t>
      </w:r>
      <w:r w:rsidRPr="00DC4337">
        <w:rPr>
          <w:sz w:val="28"/>
          <w:szCs w:val="28"/>
        </w:rPr>
        <w:t>: Companies with robust ESG ratings tend to attract more investors, including those with a focus on sustainable portfolios.</w:t>
      </w:r>
    </w:p>
    <w:p w14:paraId="101C5799" w14:textId="77777777" w:rsidR="00DC4337" w:rsidRPr="00DC4337" w:rsidRDefault="00DC4337" w:rsidP="00DC4337">
      <w:pPr>
        <w:rPr>
          <w:i/>
          <w:iCs/>
          <w:sz w:val="32"/>
          <w:szCs w:val="32"/>
        </w:rPr>
      </w:pPr>
      <w:r w:rsidRPr="00DC4337">
        <w:rPr>
          <w:b/>
          <w:bCs/>
          <w:i/>
          <w:iCs/>
          <w:sz w:val="32"/>
          <w:szCs w:val="32"/>
        </w:rPr>
        <w:lastRenderedPageBreak/>
        <w:t>5. Key Challenges in ESG Implementation</w:t>
      </w:r>
    </w:p>
    <w:p w14:paraId="2A595277" w14:textId="77777777" w:rsidR="00DC4337" w:rsidRPr="00DC4337" w:rsidRDefault="00DC4337" w:rsidP="00DC4337">
      <w:pPr>
        <w:rPr>
          <w:sz w:val="28"/>
          <w:szCs w:val="28"/>
        </w:rPr>
      </w:pPr>
      <w:r w:rsidRPr="00DC4337">
        <w:rPr>
          <w:sz w:val="28"/>
          <w:szCs w:val="28"/>
        </w:rPr>
        <w:t>While ESG is gaining traction, companies face several challenges in implementing effective ESG practices:</w:t>
      </w:r>
    </w:p>
    <w:p w14:paraId="3FBD5674" w14:textId="77777777" w:rsidR="00DC4337" w:rsidRPr="00DC4337" w:rsidRDefault="00DC4337" w:rsidP="00DC4337">
      <w:pPr>
        <w:numPr>
          <w:ilvl w:val="0"/>
          <w:numId w:val="4"/>
        </w:numPr>
        <w:rPr>
          <w:sz w:val="28"/>
          <w:szCs w:val="28"/>
        </w:rPr>
      </w:pPr>
      <w:r w:rsidRPr="00DC4337">
        <w:rPr>
          <w:b/>
          <w:bCs/>
          <w:sz w:val="28"/>
          <w:szCs w:val="28"/>
        </w:rPr>
        <w:t>Measurement and Standardization</w:t>
      </w:r>
      <w:r w:rsidRPr="00DC4337">
        <w:rPr>
          <w:sz w:val="28"/>
          <w:szCs w:val="28"/>
        </w:rPr>
        <w:t>: A lack of standardized metrics makes it difficult to compare ESG performance across companies and sectors.</w:t>
      </w:r>
    </w:p>
    <w:p w14:paraId="5DAA74F5" w14:textId="77777777" w:rsidR="00DC4337" w:rsidRPr="00DC4337" w:rsidRDefault="00DC4337" w:rsidP="00DC4337">
      <w:pPr>
        <w:numPr>
          <w:ilvl w:val="0"/>
          <w:numId w:val="4"/>
        </w:numPr>
        <w:rPr>
          <w:sz w:val="28"/>
          <w:szCs w:val="28"/>
        </w:rPr>
      </w:pPr>
      <w:r w:rsidRPr="00DC4337">
        <w:rPr>
          <w:b/>
          <w:bCs/>
          <w:sz w:val="28"/>
          <w:szCs w:val="28"/>
        </w:rPr>
        <w:t>Data Quality and Transparency</w:t>
      </w:r>
      <w:r w:rsidRPr="00DC4337">
        <w:rPr>
          <w:sz w:val="28"/>
          <w:szCs w:val="28"/>
        </w:rPr>
        <w:t>: Accurate ESG reporting requires reliable data, which many companies find challenging to collect and disclose comprehensively.</w:t>
      </w:r>
    </w:p>
    <w:p w14:paraId="6F55CC85" w14:textId="77777777" w:rsidR="00DC4337" w:rsidRPr="00DC4337" w:rsidRDefault="00DC4337" w:rsidP="00DC4337">
      <w:pPr>
        <w:numPr>
          <w:ilvl w:val="0"/>
          <w:numId w:val="4"/>
        </w:numPr>
        <w:rPr>
          <w:sz w:val="28"/>
          <w:szCs w:val="28"/>
        </w:rPr>
      </w:pPr>
      <w:r w:rsidRPr="00DC4337">
        <w:rPr>
          <w:b/>
          <w:bCs/>
          <w:sz w:val="28"/>
          <w:szCs w:val="28"/>
        </w:rPr>
        <w:t>Balancing Short-Term and Long-Term Goals</w:t>
      </w:r>
      <w:r w:rsidRPr="00DC4337">
        <w:rPr>
          <w:sz w:val="28"/>
          <w:szCs w:val="28"/>
        </w:rPr>
        <w:t>: ESG investments can yield long-term benefits, but short-term financial pressures may discourage companies from committing to substantial ESG initiatives.</w:t>
      </w:r>
    </w:p>
    <w:p w14:paraId="4993EB46" w14:textId="77777777" w:rsidR="00DC4337" w:rsidRPr="00DC4337" w:rsidRDefault="00DC4337" w:rsidP="00DC4337">
      <w:pPr>
        <w:rPr>
          <w:i/>
          <w:iCs/>
          <w:sz w:val="32"/>
          <w:szCs w:val="32"/>
        </w:rPr>
      </w:pPr>
      <w:r w:rsidRPr="00DC4337">
        <w:rPr>
          <w:b/>
          <w:bCs/>
          <w:i/>
          <w:iCs/>
          <w:sz w:val="32"/>
          <w:szCs w:val="32"/>
        </w:rPr>
        <w:t>6. Case Studies of ESG Implementation</w:t>
      </w:r>
    </w:p>
    <w:p w14:paraId="4AB5B811" w14:textId="77777777" w:rsidR="00DC4337" w:rsidRPr="00DC4337" w:rsidRDefault="00DC4337" w:rsidP="00DC4337">
      <w:pPr>
        <w:rPr>
          <w:sz w:val="28"/>
          <w:szCs w:val="28"/>
        </w:rPr>
      </w:pPr>
      <w:r w:rsidRPr="00DC4337">
        <w:rPr>
          <w:sz w:val="28"/>
          <w:szCs w:val="28"/>
        </w:rPr>
        <w:t>This section could examine companies or sectors leading in ESG practices, such as renewable energy companies, technology firms focusing on data privacy, or financial institutions incorporating diversity and inclusion. Examples could include Patagonia’s commitment to environmental sustainability, Microsoft’s carbon-negative goals, or Unilever’s sustainable sourcing.</w:t>
      </w:r>
    </w:p>
    <w:p w14:paraId="386343A3" w14:textId="77777777" w:rsidR="00DC4337" w:rsidRPr="00DC4337" w:rsidRDefault="00DC4337" w:rsidP="00DC4337">
      <w:pPr>
        <w:rPr>
          <w:sz w:val="28"/>
          <w:szCs w:val="28"/>
        </w:rPr>
      </w:pPr>
      <w:r w:rsidRPr="00DC4337">
        <w:rPr>
          <w:b/>
          <w:bCs/>
          <w:sz w:val="28"/>
          <w:szCs w:val="28"/>
        </w:rPr>
        <w:t>7. Future Trends in ESG</w:t>
      </w:r>
    </w:p>
    <w:p w14:paraId="5326876D" w14:textId="77777777" w:rsidR="00DC4337" w:rsidRPr="00DC4337" w:rsidRDefault="00DC4337" w:rsidP="00DC4337">
      <w:pPr>
        <w:numPr>
          <w:ilvl w:val="0"/>
          <w:numId w:val="5"/>
        </w:numPr>
        <w:rPr>
          <w:sz w:val="28"/>
          <w:szCs w:val="28"/>
        </w:rPr>
      </w:pPr>
      <w:r w:rsidRPr="00DC4337">
        <w:rPr>
          <w:b/>
          <w:bCs/>
          <w:sz w:val="28"/>
          <w:szCs w:val="28"/>
        </w:rPr>
        <w:t>Rise of ESG Technology</w:t>
      </w:r>
      <w:r w:rsidRPr="00DC4337">
        <w:rPr>
          <w:sz w:val="28"/>
          <w:szCs w:val="28"/>
        </w:rPr>
        <w:t>: Artificial intelligence and big data are being used to improve ESG reporting accuracy and monitor compliance.</w:t>
      </w:r>
    </w:p>
    <w:p w14:paraId="082637D1" w14:textId="77777777" w:rsidR="00DC4337" w:rsidRPr="00DC4337" w:rsidRDefault="00DC4337" w:rsidP="00DC4337">
      <w:pPr>
        <w:numPr>
          <w:ilvl w:val="0"/>
          <w:numId w:val="5"/>
        </w:numPr>
        <w:rPr>
          <w:sz w:val="28"/>
          <w:szCs w:val="28"/>
        </w:rPr>
      </w:pPr>
      <w:r w:rsidRPr="00DC4337">
        <w:rPr>
          <w:b/>
          <w:bCs/>
          <w:sz w:val="28"/>
          <w:szCs w:val="28"/>
        </w:rPr>
        <w:t>Expansion of ESG Regulations</w:t>
      </w:r>
      <w:r w:rsidRPr="00DC4337">
        <w:rPr>
          <w:sz w:val="28"/>
          <w:szCs w:val="28"/>
        </w:rPr>
        <w:t>: Governments worldwide are developing more rigorous standards for ESG disclosures, particularly related to climate risks.</w:t>
      </w:r>
    </w:p>
    <w:p w14:paraId="3D3810E3" w14:textId="77777777" w:rsidR="00DC4337" w:rsidRPr="00DC4337" w:rsidRDefault="00DC4337" w:rsidP="00DC4337">
      <w:pPr>
        <w:numPr>
          <w:ilvl w:val="0"/>
          <w:numId w:val="5"/>
        </w:numPr>
        <w:rPr>
          <w:sz w:val="28"/>
          <w:szCs w:val="28"/>
        </w:rPr>
      </w:pPr>
      <w:r w:rsidRPr="00DC4337">
        <w:rPr>
          <w:b/>
          <w:bCs/>
          <w:sz w:val="28"/>
          <w:szCs w:val="28"/>
        </w:rPr>
        <w:t>Integration with Corporate Strategy</w:t>
      </w:r>
      <w:r w:rsidRPr="00DC4337">
        <w:rPr>
          <w:sz w:val="28"/>
          <w:szCs w:val="28"/>
        </w:rPr>
        <w:t>: ESG is becoming a strategic priority for long-term value creation, with companies embedding ESG goals into their core business models.</w:t>
      </w:r>
    </w:p>
    <w:p w14:paraId="2AECA4A4" w14:textId="77777777" w:rsidR="00DC4337" w:rsidRPr="00DC4337" w:rsidRDefault="00DC4337" w:rsidP="00DC4337">
      <w:pPr>
        <w:rPr>
          <w:i/>
          <w:iCs/>
          <w:sz w:val="32"/>
          <w:szCs w:val="32"/>
        </w:rPr>
      </w:pPr>
      <w:r w:rsidRPr="00DC4337">
        <w:rPr>
          <w:b/>
          <w:bCs/>
          <w:i/>
          <w:iCs/>
          <w:sz w:val="32"/>
          <w:szCs w:val="32"/>
        </w:rPr>
        <w:t>8. Conclusion</w:t>
      </w:r>
    </w:p>
    <w:p w14:paraId="5F6D3BA7" w14:textId="5DB3881B" w:rsidR="00B510C5" w:rsidRDefault="00DC4337">
      <w:r w:rsidRPr="00DC4337">
        <w:rPr>
          <w:sz w:val="28"/>
          <w:szCs w:val="28"/>
        </w:rPr>
        <w:t xml:space="preserve">ESG principles have moved from the periphery to the core of corporate strategy. As stakeholders increasingly demand accountability, transparency, and sustainability, companies that embrace ESG are better positioned to achieve long-term success and resilience. However, the journey toward universal ESG </w:t>
      </w:r>
      <w:r w:rsidRPr="00DC4337">
        <w:rPr>
          <w:sz w:val="28"/>
          <w:szCs w:val="28"/>
        </w:rPr>
        <w:lastRenderedPageBreak/>
        <w:t>adoption involves overcoming challenges like data standardization, regulatory compliance, and balancing financial goals with social responsibilities</w:t>
      </w:r>
      <w:r w:rsidRPr="00DC4337">
        <w:t>.</w:t>
      </w:r>
    </w:p>
    <w:p w14:paraId="0A12BED7" w14:textId="1426BB53" w:rsidR="00A27132" w:rsidRPr="00A27132" w:rsidRDefault="00A27132" w:rsidP="00A27132">
      <w:pPr>
        <w:pStyle w:val="ListParagraph"/>
        <w:numPr>
          <w:ilvl w:val="0"/>
          <w:numId w:val="6"/>
        </w:numPr>
        <w:rPr>
          <w:b/>
          <w:bCs/>
          <w:i/>
          <w:iCs/>
          <w:sz w:val="32"/>
          <w:szCs w:val="32"/>
        </w:rPr>
      </w:pPr>
      <w:r w:rsidRPr="00A27132">
        <w:rPr>
          <w:b/>
          <w:bCs/>
          <w:i/>
          <w:iCs/>
          <w:sz w:val="32"/>
          <w:szCs w:val="32"/>
        </w:rPr>
        <w:t>REFERENCES</w:t>
      </w:r>
    </w:p>
    <w:p w14:paraId="3100F1AC" w14:textId="77777777" w:rsidR="00A27132" w:rsidRPr="00A27132" w:rsidRDefault="00A27132" w:rsidP="00A27132">
      <w:pPr>
        <w:rPr>
          <w:b/>
          <w:bCs/>
          <w:sz w:val="28"/>
          <w:szCs w:val="28"/>
        </w:rPr>
      </w:pPr>
      <w:r w:rsidRPr="00A27132">
        <w:rPr>
          <w:b/>
          <w:bCs/>
          <w:sz w:val="28"/>
          <w:szCs w:val="28"/>
        </w:rPr>
        <w:t>1. Global Reporting Initiative (GRI)</w:t>
      </w:r>
    </w:p>
    <w:p w14:paraId="0C4414AD" w14:textId="77777777" w:rsidR="00A27132" w:rsidRPr="00A27132" w:rsidRDefault="00A27132" w:rsidP="00A27132">
      <w:pPr>
        <w:pStyle w:val="ListParagraph"/>
        <w:numPr>
          <w:ilvl w:val="0"/>
          <w:numId w:val="7"/>
        </w:numPr>
        <w:rPr>
          <w:sz w:val="28"/>
          <w:szCs w:val="28"/>
        </w:rPr>
      </w:pPr>
      <w:r w:rsidRPr="00A27132">
        <w:rPr>
          <w:sz w:val="28"/>
          <w:szCs w:val="28"/>
        </w:rPr>
        <w:t>The GRI is one of the most commonly used standards for sustainability reporting. It offers guidelines on environmental, social, and governance disclosures, helping organizations structure their ESG reports.</w:t>
      </w:r>
    </w:p>
    <w:p w14:paraId="2AD9E560" w14:textId="77777777" w:rsidR="00A27132" w:rsidRPr="00A27132" w:rsidRDefault="00A27132" w:rsidP="00A27132">
      <w:pPr>
        <w:pStyle w:val="ListParagraph"/>
        <w:numPr>
          <w:ilvl w:val="0"/>
          <w:numId w:val="7"/>
        </w:numPr>
        <w:rPr>
          <w:sz w:val="28"/>
          <w:szCs w:val="28"/>
        </w:rPr>
      </w:pPr>
      <w:r w:rsidRPr="00A27132">
        <w:rPr>
          <w:b/>
          <w:bCs/>
          <w:sz w:val="28"/>
          <w:szCs w:val="28"/>
        </w:rPr>
        <w:t>Website</w:t>
      </w:r>
      <w:r w:rsidRPr="00A27132">
        <w:rPr>
          <w:sz w:val="28"/>
          <w:szCs w:val="28"/>
        </w:rPr>
        <w:t xml:space="preserve">: </w:t>
      </w:r>
      <w:hyperlink r:id="rId5" w:tgtFrame="_new" w:history="1">
        <w:r w:rsidRPr="00A27132">
          <w:rPr>
            <w:rStyle w:val="Hyperlink"/>
            <w:sz w:val="28"/>
            <w:szCs w:val="28"/>
          </w:rPr>
          <w:t>https://www.globalreporting.org</w:t>
        </w:r>
      </w:hyperlink>
    </w:p>
    <w:p w14:paraId="04415405" w14:textId="77777777" w:rsidR="00A27132" w:rsidRPr="00A27132" w:rsidRDefault="00A27132" w:rsidP="00A27132">
      <w:pPr>
        <w:rPr>
          <w:b/>
          <w:bCs/>
          <w:sz w:val="28"/>
          <w:szCs w:val="28"/>
        </w:rPr>
      </w:pPr>
      <w:r w:rsidRPr="00A27132">
        <w:rPr>
          <w:b/>
          <w:bCs/>
          <w:sz w:val="28"/>
          <w:szCs w:val="28"/>
        </w:rPr>
        <w:t>2. Sustainability Accounting Standards Board (SASB)</w:t>
      </w:r>
    </w:p>
    <w:p w14:paraId="5940E383" w14:textId="77777777" w:rsidR="00A27132" w:rsidRPr="00A27132" w:rsidRDefault="00A27132" w:rsidP="00A27132">
      <w:pPr>
        <w:pStyle w:val="ListParagraph"/>
        <w:numPr>
          <w:ilvl w:val="0"/>
          <w:numId w:val="8"/>
        </w:numPr>
        <w:rPr>
          <w:sz w:val="28"/>
          <w:szCs w:val="28"/>
        </w:rPr>
      </w:pPr>
      <w:r w:rsidRPr="00A27132">
        <w:rPr>
          <w:sz w:val="28"/>
          <w:szCs w:val="28"/>
        </w:rPr>
        <w:t>SASB offers industry-specific standards to help organizations disclose financially material sustainability information to investors. Their framework aligns well with investor-focused reporting.</w:t>
      </w:r>
    </w:p>
    <w:p w14:paraId="2964EC10" w14:textId="77777777" w:rsidR="00A27132" w:rsidRPr="00A27132" w:rsidRDefault="00A27132" w:rsidP="00A27132">
      <w:pPr>
        <w:pStyle w:val="ListParagraph"/>
        <w:numPr>
          <w:ilvl w:val="0"/>
          <w:numId w:val="8"/>
        </w:numPr>
        <w:rPr>
          <w:sz w:val="28"/>
          <w:szCs w:val="28"/>
        </w:rPr>
      </w:pPr>
      <w:r w:rsidRPr="00A27132">
        <w:rPr>
          <w:b/>
          <w:bCs/>
          <w:sz w:val="28"/>
          <w:szCs w:val="28"/>
        </w:rPr>
        <w:t>Website</w:t>
      </w:r>
      <w:r w:rsidRPr="00A27132">
        <w:rPr>
          <w:sz w:val="28"/>
          <w:szCs w:val="28"/>
        </w:rPr>
        <w:t xml:space="preserve">: </w:t>
      </w:r>
      <w:hyperlink r:id="rId6" w:tgtFrame="_new" w:history="1">
        <w:r w:rsidRPr="00A27132">
          <w:rPr>
            <w:rStyle w:val="Hyperlink"/>
            <w:sz w:val="28"/>
            <w:szCs w:val="28"/>
          </w:rPr>
          <w:t>https://www.sasb.org</w:t>
        </w:r>
      </w:hyperlink>
    </w:p>
    <w:p w14:paraId="1FC0E2A1" w14:textId="77777777" w:rsidR="00A27132" w:rsidRPr="00A27132" w:rsidRDefault="00A27132" w:rsidP="00A27132">
      <w:pPr>
        <w:rPr>
          <w:b/>
          <w:bCs/>
          <w:sz w:val="28"/>
          <w:szCs w:val="28"/>
        </w:rPr>
      </w:pPr>
      <w:r w:rsidRPr="00A27132">
        <w:rPr>
          <w:b/>
          <w:bCs/>
          <w:sz w:val="28"/>
          <w:szCs w:val="28"/>
        </w:rPr>
        <w:t>3. Task Force on Climate-related Financial Disclosures (TCFD)</w:t>
      </w:r>
    </w:p>
    <w:p w14:paraId="45C2F289" w14:textId="77777777" w:rsidR="00A27132" w:rsidRPr="00A27132" w:rsidRDefault="00A27132" w:rsidP="00A27132">
      <w:pPr>
        <w:pStyle w:val="ListParagraph"/>
        <w:numPr>
          <w:ilvl w:val="0"/>
          <w:numId w:val="9"/>
        </w:numPr>
        <w:rPr>
          <w:sz w:val="28"/>
          <w:szCs w:val="28"/>
        </w:rPr>
      </w:pPr>
      <w:r w:rsidRPr="00A27132">
        <w:rPr>
          <w:sz w:val="28"/>
          <w:szCs w:val="28"/>
        </w:rPr>
        <w:t>TCFD provides recommendations for disclosing climate-related financial risks, including insights into how climate change could impact business and the economy.</w:t>
      </w:r>
    </w:p>
    <w:p w14:paraId="62DF4683" w14:textId="77777777" w:rsidR="00A27132" w:rsidRPr="00A27132" w:rsidRDefault="00A27132" w:rsidP="00A27132">
      <w:pPr>
        <w:pStyle w:val="ListParagraph"/>
        <w:numPr>
          <w:ilvl w:val="0"/>
          <w:numId w:val="9"/>
        </w:numPr>
        <w:rPr>
          <w:sz w:val="28"/>
          <w:szCs w:val="28"/>
        </w:rPr>
      </w:pPr>
      <w:r w:rsidRPr="00A27132">
        <w:rPr>
          <w:b/>
          <w:bCs/>
          <w:sz w:val="28"/>
          <w:szCs w:val="28"/>
        </w:rPr>
        <w:t>Website</w:t>
      </w:r>
      <w:r w:rsidRPr="00A27132">
        <w:rPr>
          <w:sz w:val="28"/>
          <w:szCs w:val="28"/>
        </w:rPr>
        <w:t xml:space="preserve">: </w:t>
      </w:r>
      <w:hyperlink r:id="rId7" w:tgtFrame="_new" w:history="1">
        <w:r w:rsidRPr="00A27132">
          <w:rPr>
            <w:rStyle w:val="Hyperlink"/>
            <w:sz w:val="28"/>
            <w:szCs w:val="28"/>
          </w:rPr>
          <w:t>https://www.fsb-tcfd.org</w:t>
        </w:r>
      </w:hyperlink>
    </w:p>
    <w:p w14:paraId="2AA0FA24" w14:textId="77777777" w:rsidR="00A27132" w:rsidRPr="00A27132" w:rsidRDefault="00A27132" w:rsidP="00A27132">
      <w:pPr>
        <w:rPr>
          <w:b/>
          <w:bCs/>
          <w:sz w:val="28"/>
          <w:szCs w:val="28"/>
        </w:rPr>
      </w:pPr>
      <w:r w:rsidRPr="00A27132">
        <w:rPr>
          <w:b/>
          <w:bCs/>
          <w:sz w:val="28"/>
          <w:szCs w:val="28"/>
        </w:rPr>
        <w:t>4. UN Principles for Responsible Investment (PRI)</w:t>
      </w:r>
    </w:p>
    <w:p w14:paraId="7CA8F5CA" w14:textId="77777777" w:rsidR="00A27132" w:rsidRPr="00A27132" w:rsidRDefault="00A27132" w:rsidP="00A27132">
      <w:pPr>
        <w:pStyle w:val="ListParagraph"/>
        <w:numPr>
          <w:ilvl w:val="0"/>
          <w:numId w:val="10"/>
        </w:numPr>
        <w:rPr>
          <w:sz w:val="28"/>
          <w:szCs w:val="28"/>
        </w:rPr>
      </w:pPr>
      <w:r w:rsidRPr="00A27132">
        <w:rPr>
          <w:sz w:val="28"/>
          <w:szCs w:val="28"/>
        </w:rPr>
        <w:t>PRI is a network of investors promoting sustainable investment. Their guidelines encourage the integration of ESG factors in investment analysis and decision-making.</w:t>
      </w:r>
    </w:p>
    <w:p w14:paraId="78EA47DB" w14:textId="77777777" w:rsidR="00A27132" w:rsidRPr="00A27132" w:rsidRDefault="00A27132" w:rsidP="00A27132">
      <w:pPr>
        <w:pStyle w:val="ListParagraph"/>
        <w:numPr>
          <w:ilvl w:val="0"/>
          <w:numId w:val="10"/>
        </w:numPr>
        <w:rPr>
          <w:sz w:val="28"/>
          <w:szCs w:val="28"/>
        </w:rPr>
      </w:pPr>
      <w:r w:rsidRPr="00A27132">
        <w:rPr>
          <w:b/>
          <w:bCs/>
          <w:sz w:val="28"/>
          <w:szCs w:val="28"/>
        </w:rPr>
        <w:t>Website</w:t>
      </w:r>
      <w:r w:rsidRPr="00A27132">
        <w:rPr>
          <w:sz w:val="28"/>
          <w:szCs w:val="28"/>
        </w:rPr>
        <w:t xml:space="preserve">: </w:t>
      </w:r>
      <w:hyperlink r:id="rId8" w:tgtFrame="_new" w:history="1">
        <w:r w:rsidRPr="00A27132">
          <w:rPr>
            <w:rStyle w:val="Hyperlink"/>
            <w:sz w:val="28"/>
            <w:szCs w:val="28"/>
          </w:rPr>
          <w:t>https://www.unpri.org</w:t>
        </w:r>
      </w:hyperlink>
    </w:p>
    <w:p w14:paraId="4ED397F7" w14:textId="77777777" w:rsidR="00A27132" w:rsidRPr="00A27132" w:rsidRDefault="00A27132" w:rsidP="00A27132">
      <w:pPr>
        <w:rPr>
          <w:b/>
          <w:bCs/>
          <w:sz w:val="28"/>
          <w:szCs w:val="28"/>
        </w:rPr>
      </w:pPr>
      <w:r w:rsidRPr="00A27132">
        <w:rPr>
          <w:b/>
          <w:bCs/>
          <w:sz w:val="28"/>
          <w:szCs w:val="28"/>
        </w:rPr>
        <w:t>5. The International Integrated Reporting Council (IIRC)</w:t>
      </w:r>
    </w:p>
    <w:p w14:paraId="2679BEDE" w14:textId="77777777" w:rsidR="00A27132" w:rsidRPr="00A27132" w:rsidRDefault="00A27132" w:rsidP="00A27132">
      <w:pPr>
        <w:pStyle w:val="ListParagraph"/>
        <w:numPr>
          <w:ilvl w:val="0"/>
          <w:numId w:val="11"/>
        </w:numPr>
        <w:rPr>
          <w:sz w:val="28"/>
          <w:szCs w:val="28"/>
        </w:rPr>
      </w:pPr>
      <w:r w:rsidRPr="00A27132">
        <w:rPr>
          <w:sz w:val="28"/>
          <w:szCs w:val="28"/>
        </w:rPr>
        <w:t>IIRC’s integrated reporting framework combines financial and ESG factors, emphasizing how a company creates value over the short, medium, and long term.</w:t>
      </w:r>
    </w:p>
    <w:p w14:paraId="279BFFD9" w14:textId="77777777" w:rsidR="00A27132" w:rsidRPr="00A27132" w:rsidRDefault="00A27132" w:rsidP="00A27132">
      <w:pPr>
        <w:pStyle w:val="ListParagraph"/>
        <w:numPr>
          <w:ilvl w:val="0"/>
          <w:numId w:val="11"/>
        </w:numPr>
        <w:rPr>
          <w:sz w:val="28"/>
          <w:szCs w:val="28"/>
        </w:rPr>
      </w:pPr>
      <w:r w:rsidRPr="00A27132">
        <w:rPr>
          <w:b/>
          <w:bCs/>
          <w:sz w:val="28"/>
          <w:szCs w:val="28"/>
        </w:rPr>
        <w:t>Website</w:t>
      </w:r>
      <w:r w:rsidRPr="00A27132">
        <w:rPr>
          <w:sz w:val="28"/>
          <w:szCs w:val="28"/>
        </w:rPr>
        <w:t xml:space="preserve">: </w:t>
      </w:r>
      <w:hyperlink r:id="rId9" w:tgtFrame="_new" w:history="1">
        <w:r w:rsidRPr="00A27132">
          <w:rPr>
            <w:rStyle w:val="Hyperlink"/>
            <w:sz w:val="28"/>
            <w:szCs w:val="28"/>
          </w:rPr>
          <w:t>https://www.integratedreporting.org</w:t>
        </w:r>
      </w:hyperlink>
    </w:p>
    <w:p w14:paraId="26B30053" w14:textId="77777777" w:rsidR="00A27132" w:rsidRPr="00A27132" w:rsidRDefault="00A27132" w:rsidP="00A27132">
      <w:pPr>
        <w:rPr>
          <w:b/>
          <w:bCs/>
          <w:sz w:val="28"/>
          <w:szCs w:val="28"/>
        </w:rPr>
      </w:pPr>
      <w:r w:rsidRPr="00A27132">
        <w:rPr>
          <w:b/>
          <w:bCs/>
          <w:sz w:val="28"/>
          <w:szCs w:val="28"/>
        </w:rPr>
        <w:t>6. CDP (formerly Carbon Disclosure Project)</w:t>
      </w:r>
    </w:p>
    <w:p w14:paraId="3C20377C" w14:textId="77777777" w:rsidR="00A27132" w:rsidRPr="00A27132" w:rsidRDefault="00A27132" w:rsidP="00A27132">
      <w:pPr>
        <w:pStyle w:val="ListParagraph"/>
        <w:numPr>
          <w:ilvl w:val="0"/>
          <w:numId w:val="12"/>
        </w:numPr>
        <w:rPr>
          <w:sz w:val="28"/>
          <w:szCs w:val="28"/>
        </w:rPr>
      </w:pPr>
      <w:r w:rsidRPr="00A27132">
        <w:rPr>
          <w:sz w:val="28"/>
          <w:szCs w:val="28"/>
        </w:rPr>
        <w:t>CDP provides a framework for organizations to disclose environmental impacts, focusing on climate, water, and forest-related risks. Their data is widely used in ESG analysis.</w:t>
      </w:r>
    </w:p>
    <w:p w14:paraId="3AFD66E4" w14:textId="77777777" w:rsidR="00A27132" w:rsidRPr="00A27132" w:rsidRDefault="00A27132" w:rsidP="00A27132">
      <w:pPr>
        <w:pStyle w:val="ListParagraph"/>
        <w:numPr>
          <w:ilvl w:val="0"/>
          <w:numId w:val="12"/>
        </w:numPr>
        <w:rPr>
          <w:sz w:val="28"/>
          <w:szCs w:val="28"/>
        </w:rPr>
      </w:pPr>
      <w:r w:rsidRPr="00A27132">
        <w:rPr>
          <w:b/>
          <w:bCs/>
          <w:sz w:val="28"/>
          <w:szCs w:val="28"/>
        </w:rPr>
        <w:lastRenderedPageBreak/>
        <w:t>Website</w:t>
      </w:r>
      <w:r w:rsidRPr="00A27132">
        <w:rPr>
          <w:sz w:val="28"/>
          <w:szCs w:val="28"/>
        </w:rPr>
        <w:t xml:space="preserve">: </w:t>
      </w:r>
      <w:hyperlink r:id="rId10" w:tgtFrame="_new" w:history="1">
        <w:r w:rsidRPr="00A27132">
          <w:rPr>
            <w:rStyle w:val="Hyperlink"/>
            <w:sz w:val="28"/>
            <w:szCs w:val="28"/>
          </w:rPr>
          <w:t>https://www.cdp.net</w:t>
        </w:r>
      </w:hyperlink>
    </w:p>
    <w:p w14:paraId="26610050" w14:textId="77777777" w:rsidR="00A27132" w:rsidRPr="00A27132" w:rsidRDefault="00A27132" w:rsidP="00A27132">
      <w:pPr>
        <w:rPr>
          <w:b/>
          <w:bCs/>
          <w:sz w:val="28"/>
          <w:szCs w:val="28"/>
        </w:rPr>
      </w:pPr>
      <w:r w:rsidRPr="00A27132">
        <w:rPr>
          <w:b/>
          <w:bCs/>
          <w:sz w:val="28"/>
          <w:szCs w:val="28"/>
        </w:rPr>
        <w:t>7. MSCI ESG Research</w:t>
      </w:r>
    </w:p>
    <w:p w14:paraId="7255BB7A" w14:textId="77777777" w:rsidR="00A27132" w:rsidRPr="00A27132" w:rsidRDefault="00A27132" w:rsidP="00A27132">
      <w:pPr>
        <w:pStyle w:val="ListParagraph"/>
        <w:numPr>
          <w:ilvl w:val="0"/>
          <w:numId w:val="13"/>
        </w:numPr>
        <w:rPr>
          <w:sz w:val="28"/>
          <w:szCs w:val="28"/>
        </w:rPr>
      </w:pPr>
      <w:r w:rsidRPr="00A27132">
        <w:rPr>
          <w:sz w:val="28"/>
          <w:szCs w:val="28"/>
        </w:rPr>
        <w:t>MSCI offers detailed ESG ratings and research reports, widely used by investors to assess corporate ESG performance.</w:t>
      </w:r>
    </w:p>
    <w:p w14:paraId="5E061CEC" w14:textId="77777777" w:rsidR="00A27132" w:rsidRPr="00A27132" w:rsidRDefault="00A27132" w:rsidP="00A27132">
      <w:pPr>
        <w:pStyle w:val="ListParagraph"/>
        <w:numPr>
          <w:ilvl w:val="0"/>
          <w:numId w:val="13"/>
        </w:numPr>
        <w:rPr>
          <w:sz w:val="28"/>
          <w:szCs w:val="28"/>
        </w:rPr>
      </w:pPr>
      <w:r w:rsidRPr="00A27132">
        <w:rPr>
          <w:b/>
          <w:bCs/>
          <w:sz w:val="28"/>
          <w:szCs w:val="28"/>
        </w:rPr>
        <w:t>Website</w:t>
      </w:r>
      <w:r w:rsidRPr="00A27132">
        <w:rPr>
          <w:sz w:val="28"/>
          <w:szCs w:val="28"/>
        </w:rPr>
        <w:t>: https://www.msci.com/esg-ratings</w:t>
      </w:r>
    </w:p>
    <w:p w14:paraId="2B906F44" w14:textId="77777777" w:rsidR="00A27132" w:rsidRPr="00A27132" w:rsidRDefault="00A27132" w:rsidP="00A27132">
      <w:pPr>
        <w:rPr>
          <w:b/>
          <w:bCs/>
          <w:sz w:val="28"/>
          <w:szCs w:val="28"/>
        </w:rPr>
      </w:pPr>
      <w:r w:rsidRPr="00A27132">
        <w:rPr>
          <w:b/>
          <w:bCs/>
          <w:sz w:val="28"/>
          <w:szCs w:val="28"/>
        </w:rPr>
        <w:t>8. Bloomberg Terminal ESG Data</w:t>
      </w:r>
    </w:p>
    <w:p w14:paraId="5F093BE6" w14:textId="77777777" w:rsidR="00A27132" w:rsidRPr="00A27132" w:rsidRDefault="00A27132" w:rsidP="00A27132">
      <w:pPr>
        <w:pStyle w:val="ListParagraph"/>
        <w:numPr>
          <w:ilvl w:val="0"/>
          <w:numId w:val="14"/>
        </w:numPr>
        <w:rPr>
          <w:sz w:val="28"/>
          <w:szCs w:val="28"/>
        </w:rPr>
      </w:pPr>
      <w:r w:rsidRPr="00A27132">
        <w:rPr>
          <w:sz w:val="28"/>
          <w:szCs w:val="28"/>
        </w:rPr>
        <w:t>Bloomberg provides comprehensive ESG data through its terminals, used by investors and analysts for ESG performance assessments. Bloomberg’s ESG scores are a key resource for data-driven analysis.</w:t>
      </w:r>
    </w:p>
    <w:p w14:paraId="004BC93D" w14:textId="77777777" w:rsidR="00A27132" w:rsidRPr="00A27132" w:rsidRDefault="00A27132" w:rsidP="00A27132">
      <w:pPr>
        <w:pStyle w:val="ListParagraph"/>
        <w:numPr>
          <w:ilvl w:val="0"/>
          <w:numId w:val="14"/>
        </w:numPr>
        <w:rPr>
          <w:sz w:val="28"/>
          <w:szCs w:val="28"/>
        </w:rPr>
      </w:pPr>
      <w:r w:rsidRPr="00A27132">
        <w:rPr>
          <w:b/>
          <w:bCs/>
          <w:sz w:val="28"/>
          <w:szCs w:val="28"/>
        </w:rPr>
        <w:t>Website</w:t>
      </w:r>
      <w:r w:rsidRPr="00A27132">
        <w:rPr>
          <w:sz w:val="28"/>
          <w:szCs w:val="28"/>
        </w:rPr>
        <w:t xml:space="preserve">: Accessible via Bloomberg Terminals, </w:t>
      </w:r>
      <w:hyperlink r:id="rId11" w:tgtFrame="_new" w:history="1">
        <w:r w:rsidRPr="00A27132">
          <w:rPr>
            <w:rStyle w:val="Hyperlink"/>
            <w:sz w:val="28"/>
            <w:szCs w:val="28"/>
          </w:rPr>
          <w:t>https://www.bloomberg.com</w:t>
        </w:r>
      </w:hyperlink>
    </w:p>
    <w:p w14:paraId="7673E51A" w14:textId="77777777" w:rsidR="00A27132" w:rsidRPr="00A27132" w:rsidRDefault="00A27132" w:rsidP="00A27132">
      <w:pPr>
        <w:rPr>
          <w:b/>
          <w:bCs/>
          <w:sz w:val="28"/>
          <w:szCs w:val="28"/>
        </w:rPr>
      </w:pPr>
      <w:r w:rsidRPr="00A27132">
        <w:rPr>
          <w:b/>
          <w:bCs/>
          <w:sz w:val="28"/>
          <w:szCs w:val="28"/>
        </w:rPr>
        <w:t>9. Harvard Business Review – ESG Articles</w:t>
      </w:r>
    </w:p>
    <w:p w14:paraId="5728FC46" w14:textId="77777777" w:rsidR="00A27132" w:rsidRPr="00A27132" w:rsidRDefault="00A27132" w:rsidP="00A27132">
      <w:pPr>
        <w:pStyle w:val="ListParagraph"/>
        <w:numPr>
          <w:ilvl w:val="0"/>
          <w:numId w:val="15"/>
        </w:numPr>
        <w:rPr>
          <w:sz w:val="28"/>
          <w:szCs w:val="28"/>
        </w:rPr>
      </w:pPr>
      <w:r w:rsidRPr="00A27132">
        <w:rPr>
          <w:sz w:val="28"/>
          <w:szCs w:val="28"/>
        </w:rPr>
        <w:t>Harvard Business Review publishes research articles and case studies on the importance of ESG in corporate strategy, offering insights into the business case for ESG adoption.</w:t>
      </w:r>
    </w:p>
    <w:p w14:paraId="5A62EBF6" w14:textId="77777777" w:rsidR="00A27132" w:rsidRPr="00A27132" w:rsidRDefault="00A27132" w:rsidP="00A27132">
      <w:pPr>
        <w:pStyle w:val="ListParagraph"/>
        <w:numPr>
          <w:ilvl w:val="0"/>
          <w:numId w:val="15"/>
        </w:numPr>
        <w:rPr>
          <w:sz w:val="28"/>
          <w:szCs w:val="28"/>
        </w:rPr>
      </w:pPr>
      <w:r w:rsidRPr="00A27132">
        <w:rPr>
          <w:b/>
          <w:bCs/>
          <w:sz w:val="28"/>
          <w:szCs w:val="28"/>
        </w:rPr>
        <w:t>Website</w:t>
      </w:r>
      <w:r w:rsidRPr="00A27132">
        <w:rPr>
          <w:sz w:val="28"/>
          <w:szCs w:val="28"/>
        </w:rPr>
        <w:t xml:space="preserve">: </w:t>
      </w:r>
      <w:hyperlink r:id="rId12" w:tgtFrame="_new" w:history="1">
        <w:r w:rsidRPr="00A27132">
          <w:rPr>
            <w:rStyle w:val="Hyperlink"/>
            <w:sz w:val="28"/>
            <w:szCs w:val="28"/>
          </w:rPr>
          <w:t>https://hbr.org</w:t>
        </w:r>
      </w:hyperlink>
      <w:r w:rsidRPr="00A27132">
        <w:rPr>
          <w:sz w:val="28"/>
          <w:szCs w:val="28"/>
        </w:rPr>
        <w:t xml:space="preserve"> (Search for "ESG")</w:t>
      </w:r>
    </w:p>
    <w:p w14:paraId="200310BD" w14:textId="77777777" w:rsidR="00A27132" w:rsidRPr="00A27132" w:rsidRDefault="00A27132" w:rsidP="00A27132">
      <w:pPr>
        <w:rPr>
          <w:b/>
          <w:bCs/>
          <w:sz w:val="28"/>
          <w:szCs w:val="28"/>
        </w:rPr>
      </w:pPr>
      <w:r w:rsidRPr="00A27132">
        <w:rPr>
          <w:b/>
          <w:bCs/>
          <w:sz w:val="28"/>
          <w:szCs w:val="28"/>
        </w:rPr>
        <w:t>10. The Corporate Sustainability Assessment (CSA) by S&amp;P Global</w:t>
      </w:r>
    </w:p>
    <w:p w14:paraId="30A5EA5E" w14:textId="77777777" w:rsidR="00A27132" w:rsidRPr="00A27132" w:rsidRDefault="00A27132" w:rsidP="00A27132">
      <w:pPr>
        <w:pStyle w:val="ListParagraph"/>
        <w:numPr>
          <w:ilvl w:val="0"/>
          <w:numId w:val="16"/>
        </w:numPr>
        <w:rPr>
          <w:sz w:val="28"/>
          <w:szCs w:val="28"/>
        </w:rPr>
      </w:pPr>
      <w:r w:rsidRPr="00A27132">
        <w:rPr>
          <w:sz w:val="28"/>
          <w:szCs w:val="28"/>
        </w:rPr>
        <w:t>This assessment evaluates companies based on ESG criteria and provides an annual ranking. It’s well-regarded for its depth of analysis in measuring ESG performance.</w:t>
      </w:r>
    </w:p>
    <w:p w14:paraId="681CEB77" w14:textId="77777777" w:rsidR="00A27132" w:rsidRPr="00A27132" w:rsidRDefault="00A27132" w:rsidP="00A27132">
      <w:pPr>
        <w:pStyle w:val="ListParagraph"/>
        <w:numPr>
          <w:ilvl w:val="0"/>
          <w:numId w:val="16"/>
        </w:numPr>
        <w:rPr>
          <w:sz w:val="28"/>
          <w:szCs w:val="28"/>
        </w:rPr>
      </w:pPr>
      <w:r w:rsidRPr="00A27132">
        <w:rPr>
          <w:b/>
          <w:bCs/>
          <w:sz w:val="28"/>
          <w:szCs w:val="28"/>
        </w:rPr>
        <w:t>Website</w:t>
      </w:r>
      <w:r w:rsidRPr="00A27132">
        <w:rPr>
          <w:sz w:val="28"/>
          <w:szCs w:val="28"/>
        </w:rPr>
        <w:t>: https://www.spglobal.com/esg/csa</w:t>
      </w:r>
    </w:p>
    <w:p w14:paraId="388233D6" w14:textId="77777777" w:rsidR="00A27132" w:rsidRPr="00A27132" w:rsidRDefault="00A27132" w:rsidP="00A27132">
      <w:pPr>
        <w:rPr>
          <w:b/>
          <w:bCs/>
          <w:sz w:val="28"/>
          <w:szCs w:val="28"/>
        </w:rPr>
      </w:pPr>
      <w:r w:rsidRPr="00A27132">
        <w:rPr>
          <w:b/>
          <w:bCs/>
          <w:sz w:val="28"/>
          <w:szCs w:val="28"/>
        </w:rPr>
        <w:t>11. McKinsey &amp; Company Reports on ESG</w:t>
      </w:r>
    </w:p>
    <w:p w14:paraId="760B5907" w14:textId="77777777" w:rsidR="00A27132" w:rsidRPr="00A27132" w:rsidRDefault="00A27132" w:rsidP="00A27132">
      <w:pPr>
        <w:pStyle w:val="ListParagraph"/>
        <w:numPr>
          <w:ilvl w:val="0"/>
          <w:numId w:val="17"/>
        </w:numPr>
        <w:rPr>
          <w:sz w:val="28"/>
          <w:szCs w:val="28"/>
        </w:rPr>
      </w:pPr>
      <w:r w:rsidRPr="00A27132">
        <w:rPr>
          <w:sz w:val="28"/>
          <w:szCs w:val="28"/>
        </w:rPr>
        <w:t>McKinsey regularly publishes insights and research on ESG, covering the financial and strategic impacts of ESG practices on businesses.</w:t>
      </w:r>
    </w:p>
    <w:p w14:paraId="2C635BE7" w14:textId="77777777" w:rsidR="00A27132" w:rsidRPr="00A27132" w:rsidRDefault="00A27132" w:rsidP="00A27132">
      <w:pPr>
        <w:pStyle w:val="ListParagraph"/>
        <w:numPr>
          <w:ilvl w:val="0"/>
          <w:numId w:val="17"/>
        </w:numPr>
        <w:rPr>
          <w:sz w:val="28"/>
          <w:szCs w:val="28"/>
        </w:rPr>
      </w:pPr>
      <w:r w:rsidRPr="00A27132">
        <w:rPr>
          <w:b/>
          <w:bCs/>
          <w:sz w:val="28"/>
          <w:szCs w:val="28"/>
        </w:rPr>
        <w:t>Website</w:t>
      </w:r>
      <w:r w:rsidRPr="00A27132">
        <w:rPr>
          <w:sz w:val="28"/>
          <w:szCs w:val="28"/>
        </w:rPr>
        <w:t xml:space="preserve">: </w:t>
      </w:r>
      <w:hyperlink r:id="rId13" w:tgtFrame="_new" w:history="1">
        <w:r w:rsidRPr="00A27132">
          <w:rPr>
            <w:rStyle w:val="Hyperlink"/>
            <w:sz w:val="28"/>
            <w:szCs w:val="28"/>
          </w:rPr>
          <w:t>https://www.mckinsey.com</w:t>
        </w:r>
      </w:hyperlink>
      <w:r w:rsidRPr="00A27132">
        <w:rPr>
          <w:sz w:val="28"/>
          <w:szCs w:val="28"/>
        </w:rPr>
        <w:t xml:space="preserve"> (Search for "ESG reports")</w:t>
      </w:r>
    </w:p>
    <w:p w14:paraId="7AC97838" w14:textId="77777777" w:rsidR="00A27132" w:rsidRPr="00A27132" w:rsidRDefault="00A27132" w:rsidP="00A27132">
      <w:pPr>
        <w:rPr>
          <w:b/>
          <w:bCs/>
          <w:sz w:val="28"/>
          <w:szCs w:val="28"/>
        </w:rPr>
      </w:pPr>
      <w:r w:rsidRPr="00A27132">
        <w:rPr>
          <w:b/>
          <w:bCs/>
          <w:sz w:val="28"/>
          <w:szCs w:val="28"/>
        </w:rPr>
        <w:t>12. UN Sustainable Development Goals (SDGs)</w:t>
      </w:r>
    </w:p>
    <w:p w14:paraId="1E15EB3D" w14:textId="77777777" w:rsidR="00A27132" w:rsidRPr="00A27132" w:rsidRDefault="00A27132" w:rsidP="00A27132">
      <w:pPr>
        <w:pStyle w:val="ListParagraph"/>
        <w:numPr>
          <w:ilvl w:val="0"/>
          <w:numId w:val="18"/>
        </w:numPr>
        <w:rPr>
          <w:sz w:val="28"/>
          <w:szCs w:val="28"/>
        </w:rPr>
      </w:pPr>
      <w:r w:rsidRPr="00A27132">
        <w:rPr>
          <w:sz w:val="28"/>
          <w:szCs w:val="28"/>
        </w:rPr>
        <w:t>While not an ESG framework, the SDGs provide a global agenda for sustainability, often guiding companies in setting relevant ESG objectives.</w:t>
      </w:r>
    </w:p>
    <w:p w14:paraId="49EE5668" w14:textId="77777777" w:rsidR="00A27132" w:rsidRPr="00A27132" w:rsidRDefault="00A27132" w:rsidP="00A27132">
      <w:pPr>
        <w:pStyle w:val="ListParagraph"/>
        <w:numPr>
          <w:ilvl w:val="0"/>
          <w:numId w:val="18"/>
        </w:numPr>
        <w:rPr>
          <w:sz w:val="28"/>
          <w:szCs w:val="28"/>
        </w:rPr>
      </w:pPr>
      <w:r w:rsidRPr="00A27132">
        <w:rPr>
          <w:b/>
          <w:bCs/>
          <w:sz w:val="28"/>
          <w:szCs w:val="28"/>
        </w:rPr>
        <w:t>Website</w:t>
      </w:r>
      <w:r w:rsidRPr="00A27132">
        <w:rPr>
          <w:sz w:val="28"/>
          <w:szCs w:val="28"/>
        </w:rPr>
        <w:t xml:space="preserve">: </w:t>
      </w:r>
      <w:hyperlink r:id="rId14" w:tgtFrame="_new" w:history="1">
        <w:r w:rsidRPr="00A27132">
          <w:rPr>
            <w:rStyle w:val="Hyperlink"/>
            <w:sz w:val="28"/>
            <w:szCs w:val="28"/>
          </w:rPr>
          <w:t>https://sdgs.un.org/goals</w:t>
        </w:r>
      </w:hyperlink>
    </w:p>
    <w:p w14:paraId="5775A60D" w14:textId="77777777" w:rsidR="00A27132" w:rsidRPr="00A27132" w:rsidRDefault="00A27132" w:rsidP="00A27132">
      <w:pPr>
        <w:rPr>
          <w:b/>
          <w:bCs/>
          <w:sz w:val="28"/>
          <w:szCs w:val="28"/>
        </w:rPr>
      </w:pPr>
      <w:r w:rsidRPr="00A27132">
        <w:rPr>
          <w:b/>
          <w:bCs/>
          <w:sz w:val="28"/>
          <w:szCs w:val="28"/>
        </w:rPr>
        <w:t>13. Institute for Energy Economics and Financial Analysis (IEEFA) Reports</w:t>
      </w:r>
    </w:p>
    <w:p w14:paraId="57702B7F" w14:textId="77777777" w:rsidR="00A27132" w:rsidRPr="00A27132" w:rsidRDefault="00A27132" w:rsidP="00A27132">
      <w:pPr>
        <w:pStyle w:val="ListParagraph"/>
        <w:numPr>
          <w:ilvl w:val="0"/>
          <w:numId w:val="19"/>
        </w:numPr>
        <w:rPr>
          <w:sz w:val="28"/>
          <w:szCs w:val="28"/>
        </w:rPr>
      </w:pPr>
      <w:r w:rsidRPr="00A27132">
        <w:rPr>
          <w:sz w:val="28"/>
          <w:szCs w:val="28"/>
        </w:rPr>
        <w:lastRenderedPageBreak/>
        <w:t>IEEFA publishes studies on the financial implications of energy and climate policies, which are valuable for ESG reporting, especially for sectors impacted by energy transition.</w:t>
      </w:r>
    </w:p>
    <w:p w14:paraId="05417AC3" w14:textId="77777777" w:rsidR="00A27132" w:rsidRPr="00A27132" w:rsidRDefault="00A27132" w:rsidP="00A27132">
      <w:pPr>
        <w:pStyle w:val="ListParagraph"/>
        <w:numPr>
          <w:ilvl w:val="0"/>
          <w:numId w:val="19"/>
        </w:numPr>
        <w:rPr>
          <w:sz w:val="28"/>
          <w:szCs w:val="28"/>
        </w:rPr>
      </w:pPr>
      <w:r w:rsidRPr="00A27132">
        <w:rPr>
          <w:b/>
          <w:bCs/>
          <w:sz w:val="28"/>
          <w:szCs w:val="28"/>
        </w:rPr>
        <w:t>Website</w:t>
      </w:r>
      <w:r w:rsidRPr="00A27132">
        <w:rPr>
          <w:sz w:val="28"/>
          <w:szCs w:val="28"/>
        </w:rPr>
        <w:t xml:space="preserve">: </w:t>
      </w:r>
      <w:hyperlink r:id="rId15" w:tgtFrame="_new" w:history="1">
        <w:r w:rsidRPr="00A27132">
          <w:rPr>
            <w:rStyle w:val="Hyperlink"/>
            <w:sz w:val="28"/>
            <w:szCs w:val="28"/>
          </w:rPr>
          <w:t>https://ieefa.org</w:t>
        </w:r>
      </w:hyperlink>
    </w:p>
    <w:p w14:paraId="3C0F333A" w14:textId="77777777" w:rsidR="00A27132" w:rsidRPr="00A27132" w:rsidRDefault="00A27132" w:rsidP="00A27132">
      <w:pPr>
        <w:rPr>
          <w:b/>
          <w:bCs/>
          <w:sz w:val="28"/>
          <w:szCs w:val="28"/>
        </w:rPr>
      </w:pPr>
      <w:r w:rsidRPr="00A27132">
        <w:rPr>
          <w:b/>
          <w:bCs/>
          <w:sz w:val="28"/>
          <w:szCs w:val="28"/>
        </w:rPr>
        <w:t>14. World Economic Forum ESG Metrics and Reporting Project</w:t>
      </w:r>
    </w:p>
    <w:p w14:paraId="2E2D0E3D" w14:textId="77777777" w:rsidR="00A27132" w:rsidRPr="00A27132" w:rsidRDefault="00A27132" w:rsidP="00A27132">
      <w:pPr>
        <w:pStyle w:val="ListParagraph"/>
        <w:numPr>
          <w:ilvl w:val="0"/>
          <w:numId w:val="20"/>
        </w:numPr>
        <w:rPr>
          <w:sz w:val="28"/>
          <w:szCs w:val="28"/>
        </w:rPr>
      </w:pPr>
      <w:r w:rsidRPr="00A27132">
        <w:rPr>
          <w:sz w:val="28"/>
          <w:szCs w:val="28"/>
        </w:rPr>
        <w:t>The WEF has developed a set of “Stakeholder Capitalism Metrics,” including ESG indicators aligned with global standards, to promote comparable and consistent disclosures.</w:t>
      </w:r>
    </w:p>
    <w:p w14:paraId="11880FA8" w14:textId="77777777" w:rsidR="00A27132" w:rsidRPr="00A27132" w:rsidRDefault="00A27132" w:rsidP="00A27132">
      <w:pPr>
        <w:pStyle w:val="ListParagraph"/>
        <w:numPr>
          <w:ilvl w:val="0"/>
          <w:numId w:val="20"/>
        </w:numPr>
        <w:rPr>
          <w:sz w:val="28"/>
          <w:szCs w:val="28"/>
        </w:rPr>
      </w:pPr>
      <w:r w:rsidRPr="00A27132">
        <w:rPr>
          <w:b/>
          <w:bCs/>
          <w:sz w:val="28"/>
          <w:szCs w:val="28"/>
        </w:rPr>
        <w:t>Website</w:t>
      </w:r>
      <w:r w:rsidRPr="00A27132">
        <w:rPr>
          <w:sz w:val="28"/>
          <w:szCs w:val="28"/>
        </w:rPr>
        <w:t xml:space="preserve">: </w:t>
      </w:r>
      <w:hyperlink r:id="rId16" w:tgtFrame="_new" w:history="1">
        <w:r w:rsidRPr="00A27132">
          <w:rPr>
            <w:rStyle w:val="Hyperlink"/>
            <w:sz w:val="28"/>
            <w:szCs w:val="28"/>
          </w:rPr>
          <w:t>https://www.weforum.org</w:t>
        </w:r>
      </w:hyperlink>
    </w:p>
    <w:p w14:paraId="212C56EB" w14:textId="11E5B5E8" w:rsidR="00A27132" w:rsidRPr="00A27132" w:rsidRDefault="00A27132" w:rsidP="00A27132">
      <w:pPr>
        <w:pStyle w:val="ListParagraph"/>
        <w:ind w:left="1069"/>
        <w:rPr>
          <w:sz w:val="28"/>
          <w:szCs w:val="28"/>
        </w:rPr>
      </w:pPr>
    </w:p>
    <w:sectPr w:rsidR="00A27132" w:rsidRPr="00A27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63A"/>
    <w:multiLevelType w:val="multilevel"/>
    <w:tmpl w:val="E33A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262"/>
    <w:multiLevelType w:val="multilevel"/>
    <w:tmpl w:val="15B2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816DD"/>
    <w:multiLevelType w:val="multilevel"/>
    <w:tmpl w:val="8CE4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56863"/>
    <w:multiLevelType w:val="multilevel"/>
    <w:tmpl w:val="E7D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60422"/>
    <w:multiLevelType w:val="multilevel"/>
    <w:tmpl w:val="7DE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629F1"/>
    <w:multiLevelType w:val="multilevel"/>
    <w:tmpl w:val="9A4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128FF"/>
    <w:multiLevelType w:val="multilevel"/>
    <w:tmpl w:val="D09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D419D"/>
    <w:multiLevelType w:val="multilevel"/>
    <w:tmpl w:val="B0F0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B2F47"/>
    <w:multiLevelType w:val="multilevel"/>
    <w:tmpl w:val="FFC6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726AD"/>
    <w:multiLevelType w:val="multilevel"/>
    <w:tmpl w:val="F5C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942F1"/>
    <w:multiLevelType w:val="multilevel"/>
    <w:tmpl w:val="AB0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16EB6"/>
    <w:multiLevelType w:val="multilevel"/>
    <w:tmpl w:val="302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86568"/>
    <w:multiLevelType w:val="multilevel"/>
    <w:tmpl w:val="4130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65189"/>
    <w:multiLevelType w:val="multilevel"/>
    <w:tmpl w:val="566A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8450A"/>
    <w:multiLevelType w:val="multilevel"/>
    <w:tmpl w:val="82E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826664"/>
    <w:multiLevelType w:val="multilevel"/>
    <w:tmpl w:val="B334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50751"/>
    <w:multiLevelType w:val="multilevel"/>
    <w:tmpl w:val="9F1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3A1F"/>
    <w:multiLevelType w:val="multilevel"/>
    <w:tmpl w:val="E7B0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54DDC"/>
    <w:multiLevelType w:val="hybridMultilevel"/>
    <w:tmpl w:val="CC6240FC"/>
    <w:lvl w:ilvl="0" w:tplc="4E744AE4">
      <w:start w:val="1"/>
      <w:numFmt w:val="decimal"/>
      <w:lvlText w:val="%1."/>
      <w:lvlJc w:val="left"/>
      <w:pPr>
        <w:ind w:left="1069"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0162B3"/>
    <w:multiLevelType w:val="multilevel"/>
    <w:tmpl w:val="69C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92228">
    <w:abstractNumId w:val="2"/>
  </w:num>
  <w:num w:numId="2" w16cid:durableId="263536090">
    <w:abstractNumId w:val="3"/>
  </w:num>
  <w:num w:numId="3" w16cid:durableId="149445804">
    <w:abstractNumId w:val="6"/>
  </w:num>
  <w:num w:numId="4" w16cid:durableId="1175345961">
    <w:abstractNumId w:val="15"/>
  </w:num>
  <w:num w:numId="5" w16cid:durableId="608397213">
    <w:abstractNumId w:val="16"/>
  </w:num>
  <w:num w:numId="6" w16cid:durableId="673531874">
    <w:abstractNumId w:val="18"/>
  </w:num>
  <w:num w:numId="7" w16cid:durableId="1728796236">
    <w:abstractNumId w:val="12"/>
  </w:num>
  <w:num w:numId="8" w16cid:durableId="1772554363">
    <w:abstractNumId w:val="14"/>
  </w:num>
  <w:num w:numId="9" w16cid:durableId="1754280827">
    <w:abstractNumId w:val="19"/>
  </w:num>
  <w:num w:numId="10" w16cid:durableId="885726296">
    <w:abstractNumId w:val="9"/>
  </w:num>
  <w:num w:numId="11" w16cid:durableId="1652178593">
    <w:abstractNumId w:val="1"/>
  </w:num>
  <w:num w:numId="12" w16cid:durableId="491800380">
    <w:abstractNumId w:val="17"/>
  </w:num>
  <w:num w:numId="13" w16cid:durableId="172185489">
    <w:abstractNumId w:val="0"/>
  </w:num>
  <w:num w:numId="14" w16cid:durableId="2111776200">
    <w:abstractNumId w:val="4"/>
  </w:num>
  <w:num w:numId="15" w16cid:durableId="2043552995">
    <w:abstractNumId w:val="5"/>
  </w:num>
  <w:num w:numId="16" w16cid:durableId="1548909536">
    <w:abstractNumId w:val="13"/>
  </w:num>
  <w:num w:numId="17" w16cid:durableId="158083802">
    <w:abstractNumId w:val="8"/>
  </w:num>
  <w:num w:numId="18" w16cid:durableId="701129541">
    <w:abstractNumId w:val="11"/>
  </w:num>
  <w:num w:numId="19" w16cid:durableId="285283526">
    <w:abstractNumId w:val="7"/>
  </w:num>
  <w:num w:numId="20" w16cid:durableId="1284724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37"/>
    <w:rsid w:val="000F053C"/>
    <w:rsid w:val="00A27132"/>
    <w:rsid w:val="00A54EE5"/>
    <w:rsid w:val="00B510C5"/>
    <w:rsid w:val="00CA5068"/>
    <w:rsid w:val="00DC43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C30B"/>
  <w15:chartTrackingRefBased/>
  <w15:docId w15:val="{62B8CDB3-2920-4407-BE06-A716D7C5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37"/>
    <w:pPr>
      <w:ind w:left="720"/>
      <w:contextualSpacing/>
    </w:pPr>
  </w:style>
  <w:style w:type="character" w:styleId="Hyperlink">
    <w:name w:val="Hyperlink"/>
    <w:basedOn w:val="DefaultParagraphFont"/>
    <w:uiPriority w:val="99"/>
    <w:unhideWhenUsed/>
    <w:rsid w:val="00A27132"/>
    <w:rPr>
      <w:color w:val="0563C1" w:themeColor="hyperlink"/>
      <w:u w:val="single"/>
    </w:rPr>
  </w:style>
  <w:style w:type="character" w:styleId="UnresolvedMention">
    <w:name w:val="Unresolved Mention"/>
    <w:basedOn w:val="DefaultParagraphFont"/>
    <w:uiPriority w:val="99"/>
    <w:semiHidden/>
    <w:unhideWhenUsed/>
    <w:rsid w:val="00A2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44502">
      <w:bodyDiv w:val="1"/>
      <w:marLeft w:val="0"/>
      <w:marRight w:val="0"/>
      <w:marTop w:val="0"/>
      <w:marBottom w:val="0"/>
      <w:divBdr>
        <w:top w:val="none" w:sz="0" w:space="0" w:color="auto"/>
        <w:left w:val="none" w:sz="0" w:space="0" w:color="auto"/>
        <w:bottom w:val="none" w:sz="0" w:space="0" w:color="auto"/>
        <w:right w:val="none" w:sz="0" w:space="0" w:color="auto"/>
      </w:divBdr>
    </w:div>
    <w:div w:id="20490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ri.org" TargetMode="External"/><Relationship Id="rId13" Type="http://schemas.openxmlformats.org/officeDocument/2006/relationships/hyperlink" Target="https://www.mckinse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b-tcfd.org" TargetMode="External"/><Relationship Id="rId12" Type="http://schemas.openxmlformats.org/officeDocument/2006/relationships/hyperlink" Target="https://hb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forum.org" TargetMode="External"/><Relationship Id="rId1" Type="http://schemas.openxmlformats.org/officeDocument/2006/relationships/numbering" Target="numbering.xml"/><Relationship Id="rId6" Type="http://schemas.openxmlformats.org/officeDocument/2006/relationships/hyperlink" Target="https://www.sasb.org" TargetMode="External"/><Relationship Id="rId11" Type="http://schemas.openxmlformats.org/officeDocument/2006/relationships/hyperlink" Target="https://www.bloomberg.com" TargetMode="External"/><Relationship Id="rId5" Type="http://schemas.openxmlformats.org/officeDocument/2006/relationships/hyperlink" Target="https://www.globalreporting.org" TargetMode="External"/><Relationship Id="rId15" Type="http://schemas.openxmlformats.org/officeDocument/2006/relationships/hyperlink" Target="https://ieefa.org" TargetMode="External"/><Relationship Id="rId10" Type="http://schemas.openxmlformats.org/officeDocument/2006/relationships/hyperlink" Target="https://www.cdp.net" TargetMode="External"/><Relationship Id="rId4" Type="http://schemas.openxmlformats.org/officeDocument/2006/relationships/webSettings" Target="webSettings.xml"/><Relationship Id="rId9" Type="http://schemas.openxmlformats.org/officeDocument/2006/relationships/hyperlink" Target="https://www.integratedreporting.org" TargetMode="External"/><Relationship Id="rId14"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Atharva Parab</dc:creator>
  <cp:keywords/>
  <dc:description/>
  <cp:lastModifiedBy>Atharva Parab</cp:lastModifiedBy>
  <cp:revision>3</cp:revision>
  <dcterms:created xsi:type="dcterms:W3CDTF">2024-11-05T12:24:00Z</dcterms:created>
  <dcterms:modified xsi:type="dcterms:W3CDTF">2024-11-05T12:46:00Z</dcterms:modified>
</cp:coreProperties>
</file>