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96271" w14:textId="700AE59B" w:rsidR="00AD0E02" w:rsidRDefault="00AD0E02" w:rsidP="00AD0E02">
      <w:pPr>
        <w:rPr>
          <w:rFonts w:ascii="Times New Roman" w:hAnsi="Times New Roman" w:cs="Times New Roman"/>
          <w:b/>
          <w:bCs/>
          <w:sz w:val="32"/>
          <w:szCs w:val="32"/>
        </w:rPr>
      </w:pPr>
      <w:r>
        <w:rPr>
          <w:rFonts w:ascii="Times New Roman" w:hAnsi="Times New Roman" w:cs="Times New Roman"/>
          <w:b/>
          <w:bCs/>
          <w:sz w:val="32"/>
          <w:szCs w:val="32"/>
        </w:rPr>
        <w:t xml:space="preserve"> AUTHOR- CASSANDRA SALDANHA </w:t>
      </w:r>
    </w:p>
    <w:p w14:paraId="439AAED1" w14:textId="1AA92CAE" w:rsidR="00AD0E02" w:rsidRDefault="00AD0E02" w:rsidP="00AD0E02">
      <w:pPr>
        <w:rPr>
          <w:rFonts w:ascii="Times New Roman" w:hAnsi="Times New Roman" w:cs="Times New Roman"/>
          <w:b/>
          <w:bCs/>
          <w:sz w:val="32"/>
          <w:szCs w:val="32"/>
        </w:rPr>
      </w:pPr>
      <w:r>
        <w:rPr>
          <w:rFonts w:ascii="Times New Roman" w:hAnsi="Times New Roman" w:cs="Times New Roman"/>
          <w:b/>
          <w:bCs/>
          <w:sz w:val="32"/>
          <w:szCs w:val="32"/>
        </w:rPr>
        <w:t xml:space="preserve">POSTGRADUATE STUDENT </w:t>
      </w:r>
    </w:p>
    <w:p w14:paraId="66A671CC" w14:textId="66F8336A" w:rsidR="00AD0E02" w:rsidRPr="00AD0E02" w:rsidRDefault="00AD0E02" w:rsidP="00AD0E02">
      <w:pPr>
        <w:rPr>
          <w:rFonts w:ascii="Times New Roman" w:hAnsi="Times New Roman" w:cs="Times New Roman"/>
          <w:b/>
          <w:bCs/>
          <w:sz w:val="32"/>
          <w:szCs w:val="32"/>
        </w:rPr>
      </w:pPr>
      <w:r w:rsidRPr="00AD0E02">
        <w:rPr>
          <w:rFonts w:ascii="Times New Roman" w:hAnsi="Times New Roman" w:cs="Times New Roman"/>
          <w:b/>
          <w:bCs/>
          <w:sz w:val="32"/>
          <w:szCs w:val="32"/>
        </w:rPr>
        <w:t>Title: An In-Depth Analysis of Muthoot Finance: India’s Leading Non-Banking Financial Company (NBFC)</w:t>
      </w:r>
    </w:p>
    <w:p w14:paraId="1A689EDD" w14:textId="77777777" w:rsidR="00AD0E02" w:rsidRPr="00AD0E02" w:rsidRDefault="00AD0E02" w:rsidP="00AD0E02">
      <w:pPr>
        <w:rPr>
          <w:rFonts w:ascii="Times New Roman" w:hAnsi="Times New Roman" w:cs="Times New Roman"/>
          <w:b/>
          <w:bCs/>
          <w:sz w:val="32"/>
          <w:szCs w:val="32"/>
        </w:rPr>
      </w:pPr>
    </w:p>
    <w:p w14:paraId="3AA35283" w14:textId="77777777" w:rsidR="00AD0E02" w:rsidRDefault="00AD0E02" w:rsidP="00AD0E02">
      <w:pPr>
        <w:spacing w:line="276" w:lineRule="auto"/>
      </w:pPr>
      <w:r>
        <w:t>Abstract</w:t>
      </w:r>
    </w:p>
    <w:p w14:paraId="26A13758" w14:textId="77777777" w:rsidR="00AD0E02" w:rsidRDefault="00AD0E02" w:rsidP="00AD0E02">
      <w:pPr>
        <w:spacing w:line="276" w:lineRule="auto"/>
      </w:pPr>
      <w:r>
        <w:t xml:space="preserve">Muthoot Finance Ltd. is one of India’s largest non-banking financial companies (NBFCs) that primarily focuses on offering gold loans. This research paper examines the growth, business model, and key financial indicators of Muthoot Finance, along with a review of its challenges and growth prospects. By </w:t>
      </w:r>
      <w:proofErr w:type="spellStart"/>
      <w:r>
        <w:t>analyzing</w:t>
      </w:r>
      <w:proofErr w:type="spellEnd"/>
      <w:r>
        <w:t xml:space="preserve"> the company’s financial statements, operational metrics, and industry position, the paper aims to understand the role of Muthoot Finance in India’s financial landscape. The findings indicate that while Muthoot Finance has been successful in leveraging its reputation and brand, it faces competition, regulatory challenges, and market risks associated with fluctuating gold prices.</w:t>
      </w:r>
    </w:p>
    <w:p w14:paraId="11D4F6F3" w14:textId="77777777" w:rsidR="00AD0E02" w:rsidRDefault="00AD0E02" w:rsidP="00AD0E02">
      <w:pPr>
        <w:spacing w:line="276" w:lineRule="auto"/>
      </w:pPr>
    </w:p>
    <w:p w14:paraId="321282CC" w14:textId="77777777" w:rsidR="00AD0E02" w:rsidRDefault="00AD0E02" w:rsidP="00AD0E02">
      <w:pPr>
        <w:spacing w:line="276" w:lineRule="auto"/>
      </w:pPr>
      <w:r>
        <w:t>Keywords: Muthoot Finance, NBFC, gold loans, financial performance, Indian financial industry.</w:t>
      </w:r>
    </w:p>
    <w:p w14:paraId="0B30A0A2" w14:textId="77777777" w:rsidR="00AD0E02" w:rsidRDefault="00AD0E02" w:rsidP="00AD0E02">
      <w:pPr>
        <w:spacing w:line="276" w:lineRule="auto"/>
      </w:pPr>
    </w:p>
    <w:p w14:paraId="638F1621" w14:textId="77777777" w:rsidR="00AD0E02" w:rsidRDefault="00AD0E02" w:rsidP="00AD0E02">
      <w:pPr>
        <w:spacing w:line="276" w:lineRule="auto"/>
      </w:pPr>
      <w:r>
        <w:t>1. Introduction</w:t>
      </w:r>
    </w:p>
    <w:p w14:paraId="0350E16F" w14:textId="77777777" w:rsidR="00AD0E02" w:rsidRDefault="00AD0E02" w:rsidP="00AD0E02">
      <w:pPr>
        <w:spacing w:line="276" w:lineRule="auto"/>
      </w:pPr>
    </w:p>
    <w:p w14:paraId="50E512F3" w14:textId="77777777" w:rsidR="00AD0E02" w:rsidRDefault="00AD0E02" w:rsidP="00AD0E02">
      <w:pPr>
        <w:spacing w:line="276" w:lineRule="auto"/>
      </w:pPr>
      <w:r>
        <w:t>Muthoot Finance Ltd. has established itself as a dominant player in the Indian non-banking financial company (NBFC) sector, particularly in the gold loan business. Founded in 1939 and headquartered in Kochi, Kerala, Muthoot Finance operates across more than 5,000 branches, primarily in India. The company has become synonymous with easy, secure, and convenient gold loans, which account for a substantial part of its revenue.</w:t>
      </w:r>
    </w:p>
    <w:p w14:paraId="7F14D3E2" w14:textId="77777777" w:rsidR="00AD0E02" w:rsidRDefault="00AD0E02" w:rsidP="00AD0E02">
      <w:pPr>
        <w:spacing w:line="276" w:lineRule="auto"/>
      </w:pPr>
    </w:p>
    <w:p w14:paraId="5D11939D" w14:textId="77777777" w:rsidR="00AD0E02" w:rsidRDefault="00AD0E02" w:rsidP="00AD0E02">
      <w:pPr>
        <w:spacing w:line="276" w:lineRule="auto"/>
      </w:pPr>
      <w:r>
        <w:t>This paper seeks to evaluate Muthoot Finance’s business model, competitive advantage, financial performance, and its role in the NBFC sector. It also assesses the risks and opportunities associated with the company’s reliance on gold loans and its future in an evolving regulatory and economic environment.</w:t>
      </w:r>
    </w:p>
    <w:p w14:paraId="0658DA76" w14:textId="77777777" w:rsidR="00AD0E02" w:rsidRDefault="00AD0E02" w:rsidP="00AD0E02">
      <w:pPr>
        <w:spacing w:line="276" w:lineRule="auto"/>
      </w:pPr>
    </w:p>
    <w:p w14:paraId="19C18DFA" w14:textId="77777777" w:rsidR="00AD0E02" w:rsidRDefault="00AD0E02" w:rsidP="00AD0E02">
      <w:pPr>
        <w:spacing w:line="276" w:lineRule="auto"/>
      </w:pPr>
      <w:r>
        <w:lastRenderedPageBreak/>
        <w:t>2. Literature Review</w:t>
      </w:r>
    </w:p>
    <w:p w14:paraId="317070A2" w14:textId="77777777" w:rsidR="00AD0E02" w:rsidRDefault="00AD0E02" w:rsidP="00AD0E02">
      <w:pPr>
        <w:spacing w:line="276" w:lineRule="auto"/>
      </w:pPr>
    </w:p>
    <w:p w14:paraId="419DD543" w14:textId="77777777" w:rsidR="00AD0E02" w:rsidRDefault="00AD0E02" w:rsidP="00AD0E02">
      <w:pPr>
        <w:spacing w:line="276" w:lineRule="auto"/>
      </w:pPr>
      <w:r>
        <w:t xml:space="preserve">The role of NBFCs in India’s financial ecosystem has expanded significantly, especially for those offering specialized financial services like gold loans. Gold loan NBFCs like Muthoot Finance and </w:t>
      </w:r>
      <w:proofErr w:type="spellStart"/>
      <w:r>
        <w:t>Manappuram</w:t>
      </w:r>
      <w:proofErr w:type="spellEnd"/>
      <w:r>
        <w:t xml:space="preserve"> Finance have emerged as essential sources of credit for households that lack access to traditional banking. Studies suggest that NBFCs play a critical role in financial inclusion, especially in rural and semi-urban areas, by providing flexible loan products (Ramakrishnan, 2019). Research highlights that the gold loan sector is relatively resilient, given the cultural and economic importance of gold in India.</w:t>
      </w:r>
    </w:p>
    <w:p w14:paraId="5F0B4015" w14:textId="77777777" w:rsidR="00AD0E02" w:rsidRDefault="00AD0E02" w:rsidP="00AD0E02">
      <w:pPr>
        <w:spacing w:line="276" w:lineRule="auto"/>
      </w:pPr>
    </w:p>
    <w:p w14:paraId="4DA6502D" w14:textId="77777777" w:rsidR="00AD0E02" w:rsidRDefault="00AD0E02" w:rsidP="00AD0E02">
      <w:pPr>
        <w:spacing w:line="276" w:lineRule="auto"/>
      </w:pPr>
      <w:r>
        <w:t>3. Company Background</w:t>
      </w:r>
    </w:p>
    <w:p w14:paraId="005EB36E" w14:textId="77777777" w:rsidR="00AD0E02" w:rsidRDefault="00AD0E02" w:rsidP="00AD0E02">
      <w:pPr>
        <w:spacing w:line="276" w:lineRule="auto"/>
      </w:pPr>
    </w:p>
    <w:p w14:paraId="4C1637B6" w14:textId="77777777" w:rsidR="00AD0E02" w:rsidRDefault="00AD0E02" w:rsidP="00AD0E02">
      <w:pPr>
        <w:spacing w:line="276" w:lineRule="auto"/>
      </w:pPr>
      <w:r>
        <w:t>3.1 History and Evolution</w:t>
      </w:r>
    </w:p>
    <w:p w14:paraId="0B64162A" w14:textId="77777777" w:rsidR="00AD0E02" w:rsidRDefault="00AD0E02" w:rsidP="00AD0E02">
      <w:pPr>
        <w:spacing w:line="276" w:lineRule="auto"/>
      </w:pPr>
    </w:p>
    <w:p w14:paraId="19B31157" w14:textId="77777777" w:rsidR="00AD0E02" w:rsidRDefault="00AD0E02" w:rsidP="00AD0E02">
      <w:pPr>
        <w:spacing w:line="276" w:lineRule="auto"/>
      </w:pPr>
      <w:r>
        <w:t>Founded by the Muthoot family, Muthoot Finance initially served as a provider of gold loans in Kerala. The company has since expanded its operations across India, leveraging its well-established brand reputation.</w:t>
      </w:r>
    </w:p>
    <w:p w14:paraId="05AD0668" w14:textId="77777777" w:rsidR="00AD0E02" w:rsidRDefault="00AD0E02" w:rsidP="00AD0E02">
      <w:pPr>
        <w:spacing w:line="276" w:lineRule="auto"/>
      </w:pPr>
    </w:p>
    <w:p w14:paraId="59DB886A" w14:textId="77777777" w:rsidR="00AD0E02" w:rsidRDefault="00AD0E02" w:rsidP="00AD0E02">
      <w:pPr>
        <w:spacing w:line="276" w:lineRule="auto"/>
      </w:pPr>
      <w:r>
        <w:t>3.2 Business Model</w:t>
      </w:r>
    </w:p>
    <w:p w14:paraId="560D3308" w14:textId="77777777" w:rsidR="00AD0E02" w:rsidRDefault="00AD0E02" w:rsidP="00AD0E02">
      <w:pPr>
        <w:spacing w:line="276" w:lineRule="auto"/>
      </w:pPr>
    </w:p>
    <w:p w14:paraId="536BA2A8" w14:textId="77777777" w:rsidR="00AD0E02" w:rsidRDefault="00AD0E02" w:rsidP="00AD0E02">
      <w:pPr>
        <w:spacing w:line="276" w:lineRule="auto"/>
      </w:pPr>
      <w:r>
        <w:t xml:space="preserve">Muthoot Finance’s primary business model revolves around gold loans. The company provides short- to medium-term loans against gold </w:t>
      </w:r>
      <w:proofErr w:type="spellStart"/>
      <w:r>
        <w:t>jewelry</w:t>
      </w:r>
      <w:proofErr w:type="spellEnd"/>
      <w:r>
        <w:t>, allowing customers to pledge their gold as collateral. With competitive interest rates and a simple process, the company has attracted a vast customer base. The business model relies heavily on gold price stability, as gold prices impact both the value of collateral and customer willingness to pledge assets.</w:t>
      </w:r>
    </w:p>
    <w:p w14:paraId="634BDE52" w14:textId="77777777" w:rsidR="00AD0E02" w:rsidRDefault="00AD0E02" w:rsidP="00AD0E02">
      <w:pPr>
        <w:spacing w:line="276" w:lineRule="auto"/>
      </w:pPr>
    </w:p>
    <w:p w14:paraId="709CE114" w14:textId="77777777" w:rsidR="00AD0E02" w:rsidRDefault="00AD0E02" w:rsidP="00AD0E02">
      <w:pPr>
        <w:spacing w:line="276" w:lineRule="auto"/>
      </w:pPr>
      <w:r>
        <w:t>4. Financial Performance Analysis</w:t>
      </w:r>
    </w:p>
    <w:p w14:paraId="4D73AEAE" w14:textId="77777777" w:rsidR="00AD0E02" w:rsidRDefault="00AD0E02" w:rsidP="00AD0E02">
      <w:pPr>
        <w:spacing w:line="276" w:lineRule="auto"/>
      </w:pPr>
    </w:p>
    <w:p w14:paraId="6A013122" w14:textId="77777777" w:rsidR="00AD0E02" w:rsidRDefault="00AD0E02" w:rsidP="00AD0E02">
      <w:pPr>
        <w:spacing w:line="276" w:lineRule="auto"/>
      </w:pPr>
      <w:r>
        <w:t>4.1 Revenue and Profit Growth</w:t>
      </w:r>
    </w:p>
    <w:p w14:paraId="4AC6E315" w14:textId="77777777" w:rsidR="00AD0E02" w:rsidRDefault="00AD0E02" w:rsidP="00AD0E02">
      <w:pPr>
        <w:spacing w:line="276" w:lineRule="auto"/>
      </w:pPr>
    </w:p>
    <w:p w14:paraId="4B026E86" w14:textId="77777777" w:rsidR="00AD0E02" w:rsidRDefault="00AD0E02" w:rsidP="00AD0E02">
      <w:pPr>
        <w:spacing w:line="276" w:lineRule="auto"/>
      </w:pPr>
      <w:r>
        <w:lastRenderedPageBreak/>
        <w:t>Muthoot Finance has exhibited strong revenue and profit growth over the past decade. For the financial year 2022-2023, Muthoot Finance reported revenues exceeding INR 10,000 crores, with net profit in the range of INR 3,500 crores. The company’s consistent growth has been supported by its large branch network and robust customer base.</w:t>
      </w:r>
    </w:p>
    <w:p w14:paraId="3756F8FA" w14:textId="77777777" w:rsidR="00AD0E02" w:rsidRDefault="00AD0E02" w:rsidP="00AD0E02">
      <w:pPr>
        <w:spacing w:line="276" w:lineRule="auto"/>
      </w:pPr>
    </w:p>
    <w:p w14:paraId="1E9A50AF" w14:textId="77777777" w:rsidR="00AD0E02" w:rsidRDefault="00AD0E02" w:rsidP="00AD0E02">
      <w:pPr>
        <w:spacing w:line="276" w:lineRule="auto"/>
      </w:pPr>
      <w:r>
        <w:t>4.2 Key Financial Ratios</w:t>
      </w:r>
    </w:p>
    <w:p w14:paraId="21161674" w14:textId="77777777" w:rsidR="00AD0E02" w:rsidRDefault="00AD0E02" w:rsidP="00AD0E02">
      <w:pPr>
        <w:spacing w:line="276" w:lineRule="auto"/>
      </w:pPr>
    </w:p>
    <w:p w14:paraId="6768218D" w14:textId="77777777" w:rsidR="00AD0E02" w:rsidRDefault="00AD0E02" w:rsidP="00AD0E02">
      <w:pPr>
        <w:spacing w:line="276" w:lineRule="auto"/>
      </w:pPr>
      <w:r>
        <w:tab/>
        <w:t>•</w:t>
      </w:r>
      <w:r>
        <w:tab/>
        <w:t>Net Interest Margin (NIM): Muthoot Finance’s NIM has been consistently high, which reflects its ability to maintain profitable lending despite competitive pressures.</w:t>
      </w:r>
    </w:p>
    <w:p w14:paraId="20DC0E05" w14:textId="77777777" w:rsidR="00AD0E02" w:rsidRDefault="00AD0E02" w:rsidP="00AD0E02">
      <w:pPr>
        <w:spacing w:line="276" w:lineRule="auto"/>
      </w:pPr>
      <w:r>
        <w:tab/>
        <w:t>•</w:t>
      </w:r>
      <w:r>
        <w:tab/>
        <w:t>Return on Assets (ROA) and Return on Equity (ROE): The company maintains a healthy ROA and ROE, underscoring efficient use of assets and strong shareholder returns.</w:t>
      </w:r>
    </w:p>
    <w:p w14:paraId="35128998" w14:textId="77777777" w:rsidR="00AD0E02" w:rsidRDefault="00AD0E02" w:rsidP="00AD0E02">
      <w:pPr>
        <w:spacing w:line="276" w:lineRule="auto"/>
      </w:pPr>
      <w:r>
        <w:tab/>
        <w:t>•</w:t>
      </w:r>
      <w:r>
        <w:tab/>
        <w:t>Asset Quality: Given that gold loans are backed by physical gold, Muthoot Finance has a relatively low Non-Performing Asset (NPA) ratio compared to other NBFCs, making it a safer investment for shareholders.</w:t>
      </w:r>
    </w:p>
    <w:p w14:paraId="23355367" w14:textId="77777777" w:rsidR="00AD0E02" w:rsidRDefault="00AD0E02" w:rsidP="00AD0E02">
      <w:pPr>
        <w:spacing w:line="276" w:lineRule="auto"/>
      </w:pPr>
    </w:p>
    <w:p w14:paraId="4FCD5F53" w14:textId="77777777" w:rsidR="00AD0E02" w:rsidRDefault="00AD0E02" w:rsidP="00AD0E02">
      <w:pPr>
        <w:spacing w:line="276" w:lineRule="auto"/>
      </w:pPr>
      <w:r>
        <w:t>5. Competitive Analysis</w:t>
      </w:r>
    </w:p>
    <w:p w14:paraId="14CEC2E1" w14:textId="77777777" w:rsidR="00AD0E02" w:rsidRDefault="00AD0E02" w:rsidP="00AD0E02">
      <w:pPr>
        <w:spacing w:line="276" w:lineRule="auto"/>
      </w:pPr>
    </w:p>
    <w:p w14:paraId="5B16EF67" w14:textId="77777777" w:rsidR="00AD0E02" w:rsidRDefault="00AD0E02" w:rsidP="00AD0E02">
      <w:pPr>
        <w:spacing w:line="276" w:lineRule="auto"/>
      </w:pPr>
      <w:r>
        <w:t xml:space="preserve">Muthoot Finance operates in a competitive space dominated by both traditional banks and specialized NBFCs like </w:t>
      </w:r>
      <w:proofErr w:type="spellStart"/>
      <w:r>
        <w:t>Manappuram</w:t>
      </w:r>
      <w:proofErr w:type="spellEnd"/>
      <w:r>
        <w:t xml:space="preserve"> Finance. Its extensive branch network, customer trust, and streamlined loan processing system provide it with a competitive edge. However, increased competition from digital lending platforms and fintech companies offering similar services poses a potential threat.</w:t>
      </w:r>
    </w:p>
    <w:p w14:paraId="19EB2F11" w14:textId="77777777" w:rsidR="00AD0E02" w:rsidRDefault="00AD0E02" w:rsidP="00AD0E02">
      <w:pPr>
        <w:spacing w:line="276" w:lineRule="auto"/>
      </w:pPr>
    </w:p>
    <w:p w14:paraId="6E79612F" w14:textId="77777777" w:rsidR="00AD0E02" w:rsidRDefault="00AD0E02" w:rsidP="00AD0E02">
      <w:pPr>
        <w:spacing w:line="276" w:lineRule="auto"/>
      </w:pPr>
      <w:r>
        <w:t>6. Challenges and Risks</w:t>
      </w:r>
    </w:p>
    <w:p w14:paraId="41924940" w14:textId="77777777" w:rsidR="00AD0E02" w:rsidRDefault="00AD0E02" w:rsidP="00AD0E02">
      <w:pPr>
        <w:spacing w:line="276" w:lineRule="auto"/>
      </w:pPr>
    </w:p>
    <w:p w14:paraId="2410FBC9" w14:textId="77777777" w:rsidR="00AD0E02" w:rsidRDefault="00AD0E02" w:rsidP="00AD0E02">
      <w:pPr>
        <w:spacing w:line="276" w:lineRule="auto"/>
      </w:pPr>
      <w:r>
        <w:t>6.1 Regulatory Challenges</w:t>
      </w:r>
    </w:p>
    <w:p w14:paraId="3A981833" w14:textId="77777777" w:rsidR="00AD0E02" w:rsidRDefault="00AD0E02" w:rsidP="00AD0E02">
      <w:pPr>
        <w:spacing w:line="276" w:lineRule="auto"/>
      </w:pPr>
    </w:p>
    <w:p w14:paraId="77E52F9F" w14:textId="77777777" w:rsidR="00AD0E02" w:rsidRDefault="00AD0E02" w:rsidP="00AD0E02">
      <w:pPr>
        <w:spacing w:line="276" w:lineRule="auto"/>
      </w:pPr>
      <w:r>
        <w:t>The Reserve Bank of India (RBI) imposes strict regulatory guidelines on NBFCs, including limits on loan-to-value (LTV) ratios for gold loans. Regulatory tightening can impact Muthoot Finance’s lending capacity and profit margins.</w:t>
      </w:r>
    </w:p>
    <w:p w14:paraId="2E60D176" w14:textId="77777777" w:rsidR="00AD0E02" w:rsidRDefault="00AD0E02" w:rsidP="00AD0E02">
      <w:pPr>
        <w:spacing w:line="276" w:lineRule="auto"/>
      </w:pPr>
    </w:p>
    <w:p w14:paraId="53506885" w14:textId="77777777" w:rsidR="00AD0E02" w:rsidRDefault="00AD0E02" w:rsidP="00AD0E02">
      <w:pPr>
        <w:spacing w:line="276" w:lineRule="auto"/>
      </w:pPr>
      <w:r>
        <w:lastRenderedPageBreak/>
        <w:t>6.2 Dependence on Gold Prices</w:t>
      </w:r>
    </w:p>
    <w:p w14:paraId="4EC68930" w14:textId="77777777" w:rsidR="00AD0E02" w:rsidRDefault="00AD0E02" w:rsidP="00AD0E02">
      <w:pPr>
        <w:spacing w:line="276" w:lineRule="auto"/>
      </w:pPr>
    </w:p>
    <w:p w14:paraId="3189CC3B" w14:textId="77777777" w:rsidR="00AD0E02" w:rsidRDefault="00AD0E02" w:rsidP="00AD0E02">
      <w:pPr>
        <w:spacing w:line="276" w:lineRule="auto"/>
      </w:pPr>
      <w:r>
        <w:t>Gold price volatility directly affects Muthoot Finance’s loan portfolio, as it impacts the value of collateral. A significant drop in gold prices could increase the risk of default, as customers might hesitate to redeem their pledged gold.</w:t>
      </w:r>
    </w:p>
    <w:p w14:paraId="0E6CCC74" w14:textId="77777777" w:rsidR="00AD0E02" w:rsidRDefault="00AD0E02" w:rsidP="00AD0E02">
      <w:pPr>
        <w:spacing w:line="276" w:lineRule="auto"/>
      </w:pPr>
    </w:p>
    <w:p w14:paraId="7EEC2985" w14:textId="77777777" w:rsidR="00AD0E02" w:rsidRDefault="00AD0E02" w:rsidP="00AD0E02">
      <w:pPr>
        <w:spacing w:line="276" w:lineRule="auto"/>
      </w:pPr>
      <w:r>
        <w:t>6.3 Competition from New-Age Lenders</w:t>
      </w:r>
    </w:p>
    <w:p w14:paraId="4501DA0A" w14:textId="77777777" w:rsidR="00AD0E02" w:rsidRDefault="00AD0E02" w:rsidP="00AD0E02">
      <w:pPr>
        <w:spacing w:line="276" w:lineRule="auto"/>
      </w:pPr>
    </w:p>
    <w:p w14:paraId="73167BE2" w14:textId="77777777" w:rsidR="00AD0E02" w:rsidRDefault="00AD0E02" w:rsidP="00AD0E02">
      <w:pPr>
        <w:spacing w:line="276" w:lineRule="auto"/>
      </w:pPr>
      <w:r>
        <w:t>The rise of digital lenders, including fintech firms, has introduced new competition. These firms often use technology to offer faster, more flexible lending solutions, which could appeal to younger and more urban consumers.</w:t>
      </w:r>
    </w:p>
    <w:p w14:paraId="409B8D87" w14:textId="77777777" w:rsidR="00AD0E02" w:rsidRDefault="00AD0E02" w:rsidP="00AD0E02">
      <w:pPr>
        <w:spacing w:line="276" w:lineRule="auto"/>
      </w:pPr>
    </w:p>
    <w:p w14:paraId="2A915AC5" w14:textId="77777777" w:rsidR="00AD0E02" w:rsidRDefault="00AD0E02" w:rsidP="00AD0E02">
      <w:pPr>
        <w:spacing w:line="276" w:lineRule="auto"/>
      </w:pPr>
      <w:r>
        <w:t>7. Future Prospects</w:t>
      </w:r>
    </w:p>
    <w:p w14:paraId="25541288" w14:textId="77777777" w:rsidR="00AD0E02" w:rsidRDefault="00AD0E02" w:rsidP="00AD0E02">
      <w:pPr>
        <w:spacing w:line="276" w:lineRule="auto"/>
      </w:pPr>
    </w:p>
    <w:p w14:paraId="2557B284" w14:textId="77777777" w:rsidR="00AD0E02" w:rsidRDefault="00AD0E02" w:rsidP="00AD0E02">
      <w:pPr>
        <w:spacing w:line="276" w:lineRule="auto"/>
      </w:pPr>
      <w:r>
        <w:t>7.1 Expansion into Non-Gold Loan Products</w:t>
      </w:r>
    </w:p>
    <w:p w14:paraId="306833E4" w14:textId="77777777" w:rsidR="00AD0E02" w:rsidRDefault="00AD0E02" w:rsidP="00AD0E02">
      <w:pPr>
        <w:spacing w:line="276" w:lineRule="auto"/>
      </w:pPr>
    </w:p>
    <w:p w14:paraId="289B85AD" w14:textId="77777777" w:rsidR="00AD0E02" w:rsidRDefault="00AD0E02" w:rsidP="00AD0E02">
      <w:pPr>
        <w:spacing w:line="276" w:lineRule="auto"/>
      </w:pPr>
      <w:r>
        <w:t>Muthoot Finance has started diversifying into personal and vehicle loans, insurance services, and money transfer services. Expanding into these areas can provide additional revenue streams and reduce reliance on gold prices.</w:t>
      </w:r>
    </w:p>
    <w:p w14:paraId="7163FB23" w14:textId="77777777" w:rsidR="00AD0E02" w:rsidRDefault="00AD0E02" w:rsidP="00AD0E02">
      <w:pPr>
        <w:spacing w:line="276" w:lineRule="auto"/>
      </w:pPr>
    </w:p>
    <w:p w14:paraId="23A65DE2" w14:textId="77777777" w:rsidR="00AD0E02" w:rsidRDefault="00AD0E02" w:rsidP="00AD0E02">
      <w:pPr>
        <w:spacing w:line="276" w:lineRule="auto"/>
      </w:pPr>
      <w:r>
        <w:t>7.2 Technological Advancements</w:t>
      </w:r>
    </w:p>
    <w:p w14:paraId="406C7DCB" w14:textId="77777777" w:rsidR="00AD0E02" w:rsidRDefault="00AD0E02" w:rsidP="00AD0E02">
      <w:pPr>
        <w:spacing w:line="276" w:lineRule="auto"/>
      </w:pPr>
    </w:p>
    <w:p w14:paraId="1D22B4A8" w14:textId="77777777" w:rsidR="00AD0E02" w:rsidRDefault="00AD0E02" w:rsidP="00AD0E02">
      <w:pPr>
        <w:spacing w:line="276" w:lineRule="auto"/>
      </w:pPr>
      <w:r>
        <w:t>Investing in digital infrastructure and online loan processing platforms can enable Muthoot Finance to compete with fintech companies. A robust digital presence will also help the company tap into younger, tech-savvy demographics.</w:t>
      </w:r>
    </w:p>
    <w:p w14:paraId="577957B0" w14:textId="77777777" w:rsidR="00AD0E02" w:rsidRDefault="00AD0E02" w:rsidP="00AD0E02">
      <w:pPr>
        <w:spacing w:line="276" w:lineRule="auto"/>
      </w:pPr>
    </w:p>
    <w:p w14:paraId="6525DFCA" w14:textId="77777777" w:rsidR="00AD0E02" w:rsidRDefault="00AD0E02" w:rsidP="00AD0E02">
      <w:pPr>
        <w:spacing w:line="276" w:lineRule="auto"/>
      </w:pPr>
      <w:r>
        <w:t>7.3 International Expansion</w:t>
      </w:r>
    </w:p>
    <w:p w14:paraId="790734F3" w14:textId="77777777" w:rsidR="00AD0E02" w:rsidRDefault="00AD0E02" w:rsidP="00AD0E02">
      <w:pPr>
        <w:spacing w:line="276" w:lineRule="auto"/>
      </w:pPr>
    </w:p>
    <w:p w14:paraId="2487560D" w14:textId="77777777" w:rsidR="00AD0E02" w:rsidRDefault="00AD0E02" w:rsidP="00AD0E02">
      <w:pPr>
        <w:spacing w:line="276" w:lineRule="auto"/>
      </w:pPr>
      <w:r>
        <w:t>Muthoot Finance has begun exploring international markets, especially in the Middle East, where a significant Indian diaspora exists. Such expansion could offer a new revenue source while spreading geographical risk.</w:t>
      </w:r>
    </w:p>
    <w:p w14:paraId="76FCE94A" w14:textId="77777777" w:rsidR="00AD0E02" w:rsidRDefault="00AD0E02" w:rsidP="00AD0E02">
      <w:pPr>
        <w:spacing w:line="276" w:lineRule="auto"/>
      </w:pPr>
    </w:p>
    <w:p w14:paraId="5F8EC167" w14:textId="77777777" w:rsidR="00AD0E02" w:rsidRDefault="00AD0E02" w:rsidP="00AD0E02">
      <w:pPr>
        <w:spacing w:line="276" w:lineRule="auto"/>
      </w:pPr>
      <w:r>
        <w:t>8. Conclusion</w:t>
      </w:r>
    </w:p>
    <w:p w14:paraId="029E80A3" w14:textId="77777777" w:rsidR="00AD0E02" w:rsidRDefault="00AD0E02" w:rsidP="00AD0E02">
      <w:pPr>
        <w:spacing w:line="276" w:lineRule="auto"/>
      </w:pPr>
    </w:p>
    <w:p w14:paraId="15B99621" w14:textId="77777777" w:rsidR="00AD0E02" w:rsidRDefault="00AD0E02" w:rsidP="00AD0E02">
      <w:pPr>
        <w:spacing w:line="276" w:lineRule="auto"/>
      </w:pPr>
      <w:r>
        <w:t>Muthoot Finance has firmly established itself as a leader in the Indian gold loan sector and has become a benchmark for NBFCs in the country. Its resilient business model, which leverages India’s cultural affinity for gold, has contributed to its success. However, the company faces challenges from regulatory constraints, gold price volatility, and competition from digital lenders.</w:t>
      </w:r>
    </w:p>
    <w:p w14:paraId="0BC12A37" w14:textId="77777777" w:rsidR="00AD0E02" w:rsidRDefault="00AD0E02" w:rsidP="00AD0E02">
      <w:pPr>
        <w:spacing w:line="276" w:lineRule="auto"/>
      </w:pPr>
    </w:p>
    <w:p w14:paraId="0C7D2945" w14:textId="77777777" w:rsidR="00AD0E02" w:rsidRDefault="00AD0E02" w:rsidP="00AD0E02">
      <w:pPr>
        <w:spacing w:line="276" w:lineRule="auto"/>
      </w:pPr>
      <w:r>
        <w:t>In conclusion, while Muthoot Finance is well-positioned for continued growth, it must address these challenges to sustain its competitive edge. By embracing diversification, technological innovation, and international expansion, Muthoot Finance can strengthen its market position and ensure long-term success in India’s evolving financial landscape.</w:t>
      </w:r>
    </w:p>
    <w:p w14:paraId="38A4F2C4" w14:textId="77777777" w:rsidR="00AD0E02" w:rsidRDefault="00AD0E02" w:rsidP="00AD0E02">
      <w:pPr>
        <w:spacing w:line="276" w:lineRule="auto"/>
      </w:pPr>
    </w:p>
    <w:p w14:paraId="2B02139C" w14:textId="77777777" w:rsidR="00AD0E02" w:rsidRDefault="00AD0E02" w:rsidP="00AD0E02">
      <w:pPr>
        <w:spacing w:line="276" w:lineRule="auto"/>
      </w:pPr>
      <w:r>
        <w:t>References</w:t>
      </w:r>
    </w:p>
    <w:p w14:paraId="09B70950" w14:textId="77777777" w:rsidR="00AD0E02" w:rsidRDefault="00AD0E02" w:rsidP="00AD0E02">
      <w:pPr>
        <w:spacing w:line="276" w:lineRule="auto"/>
      </w:pPr>
      <w:r>
        <w:tab/>
        <w:t>•</w:t>
      </w:r>
      <w:r>
        <w:tab/>
        <w:t>Ramakrishnan, S. (2019). “Role of NBFCs in Financial Inclusion: A Study on Gold Loan NBFCs in India.” Journal of Financial Services, 17(3), 142-156.</w:t>
      </w:r>
    </w:p>
    <w:p w14:paraId="53CCC5F5" w14:textId="4DECFA09" w:rsidR="00AD0E02" w:rsidRDefault="00AD0E02" w:rsidP="00AD0E02">
      <w:pPr>
        <w:spacing w:line="276" w:lineRule="auto"/>
      </w:pPr>
      <w:r>
        <w:tab/>
        <w:t>•</w:t>
      </w:r>
      <w:r>
        <w:tab/>
        <w:t>Muthoot Finance Ltd. Annual Report (2023).</w:t>
      </w:r>
    </w:p>
    <w:sectPr w:rsidR="00AD0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02"/>
    <w:rsid w:val="00271070"/>
    <w:rsid w:val="00AD0E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E20F"/>
  <w15:chartTrackingRefBased/>
  <w15:docId w15:val="{F386A127-72FF-4926-B4D9-2A268A43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E02"/>
    <w:rPr>
      <w:rFonts w:eastAsiaTheme="majorEastAsia" w:cstheme="majorBidi"/>
      <w:color w:val="272727" w:themeColor="text1" w:themeTint="D8"/>
    </w:rPr>
  </w:style>
  <w:style w:type="paragraph" w:styleId="Title">
    <w:name w:val="Title"/>
    <w:basedOn w:val="Normal"/>
    <w:next w:val="Normal"/>
    <w:link w:val="TitleChar"/>
    <w:uiPriority w:val="10"/>
    <w:qFormat/>
    <w:rsid w:val="00AD0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E02"/>
    <w:pPr>
      <w:spacing w:before="160"/>
      <w:jc w:val="center"/>
    </w:pPr>
    <w:rPr>
      <w:i/>
      <w:iCs/>
      <w:color w:val="404040" w:themeColor="text1" w:themeTint="BF"/>
    </w:rPr>
  </w:style>
  <w:style w:type="character" w:customStyle="1" w:styleId="QuoteChar">
    <w:name w:val="Quote Char"/>
    <w:basedOn w:val="DefaultParagraphFont"/>
    <w:link w:val="Quote"/>
    <w:uiPriority w:val="29"/>
    <w:rsid w:val="00AD0E02"/>
    <w:rPr>
      <w:i/>
      <w:iCs/>
      <w:color w:val="404040" w:themeColor="text1" w:themeTint="BF"/>
    </w:rPr>
  </w:style>
  <w:style w:type="paragraph" w:styleId="ListParagraph">
    <w:name w:val="List Paragraph"/>
    <w:basedOn w:val="Normal"/>
    <w:uiPriority w:val="34"/>
    <w:qFormat/>
    <w:rsid w:val="00AD0E02"/>
    <w:pPr>
      <w:ind w:left="720"/>
      <w:contextualSpacing/>
    </w:pPr>
  </w:style>
  <w:style w:type="character" w:styleId="IntenseEmphasis">
    <w:name w:val="Intense Emphasis"/>
    <w:basedOn w:val="DefaultParagraphFont"/>
    <w:uiPriority w:val="21"/>
    <w:qFormat/>
    <w:rsid w:val="00AD0E02"/>
    <w:rPr>
      <w:i/>
      <w:iCs/>
      <w:color w:val="0F4761" w:themeColor="accent1" w:themeShade="BF"/>
    </w:rPr>
  </w:style>
  <w:style w:type="paragraph" w:styleId="IntenseQuote">
    <w:name w:val="Intense Quote"/>
    <w:basedOn w:val="Normal"/>
    <w:next w:val="Normal"/>
    <w:link w:val="IntenseQuoteChar"/>
    <w:uiPriority w:val="30"/>
    <w:qFormat/>
    <w:rsid w:val="00AD0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E02"/>
    <w:rPr>
      <w:i/>
      <w:iCs/>
      <w:color w:val="0F4761" w:themeColor="accent1" w:themeShade="BF"/>
    </w:rPr>
  </w:style>
  <w:style w:type="character" w:styleId="IntenseReference">
    <w:name w:val="Intense Reference"/>
    <w:basedOn w:val="DefaultParagraphFont"/>
    <w:uiPriority w:val="32"/>
    <w:qFormat/>
    <w:rsid w:val="00AD0E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Saldanha</dc:creator>
  <cp:keywords/>
  <dc:description/>
  <cp:lastModifiedBy>Cassandra Saldanha</cp:lastModifiedBy>
  <cp:revision>1</cp:revision>
  <dcterms:created xsi:type="dcterms:W3CDTF">2024-11-08T05:10:00Z</dcterms:created>
  <dcterms:modified xsi:type="dcterms:W3CDTF">2024-11-08T05:18:00Z</dcterms:modified>
</cp:coreProperties>
</file>