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66" w:rsidRPr="00FD2749" w:rsidRDefault="00A27A24"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FI</w:t>
      </w:r>
      <w:bookmarkStart w:id="0" w:name="_GoBack"/>
      <w:bookmarkEnd w:id="0"/>
      <w:r w:rsidRPr="00FD2749">
        <w:rPr>
          <w:rFonts w:ascii="Times New Roman" w:hAnsi="Times New Roman" w:cs="Times New Roman"/>
          <w:b/>
          <w:sz w:val="28"/>
          <w:szCs w:val="28"/>
        </w:rPr>
        <w:t>NANCIAL PERFORMANCE ANALYSIS</w:t>
      </w:r>
      <w:r w:rsidR="00294566" w:rsidRPr="00FD2749">
        <w:rPr>
          <w:rFonts w:ascii="Times New Roman" w:hAnsi="Times New Roman" w:cs="Times New Roman"/>
          <w:b/>
          <w:sz w:val="28"/>
          <w:szCs w:val="28"/>
        </w:rPr>
        <w:t xml:space="preserve"> FOR MANUFACTURING SECTORS. A CASE STUDY ON INDO SPANISH TASTY FOOD PRIVATE LIMITED KUNIGAL</w:t>
      </w:r>
    </w:p>
    <w:p w:rsidR="00294566" w:rsidRPr="00FD2749" w:rsidRDefault="0029456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 xml:space="preserve">                                        Dr.  PRATHAP  B. N</w:t>
      </w:r>
    </w:p>
    <w:p w:rsidR="00294566" w:rsidRPr="00FD2749" w:rsidRDefault="0029456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 xml:space="preserve">Associate Professor, Department of MBA, Shridevi Institute of Engineering and Technology , Tumkur , Karnataka , India </w:t>
      </w:r>
      <w:r w:rsidR="00A27A24" w:rsidRPr="00FD2749">
        <w:rPr>
          <w:rFonts w:ascii="Times New Roman" w:hAnsi="Times New Roman" w:cs="Times New Roman"/>
          <w:sz w:val="24"/>
          <w:szCs w:val="24"/>
        </w:rPr>
        <w:t xml:space="preserve"> ( </w:t>
      </w:r>
      <w:hyperlink r:id="rId6" w:history="1">
        <w:r w:rsidR="00A27A24" w:rsidRPr="00FD2749">
          <w:rPr>
            <w:rStyle w:val="Hyperlink"/>
            <w:rFonts w:ascii="Times New Roman" w:hAnsi="Times New Roman" w:cs="Times New Roman"/>
            <w:sz w:val="24"/>
            <w:szCs w:val="24"/>
          </w:rPr>
          <w:t>prathap.bn@gmail.com</w:t>
        </w:r>
      </w:hyperlink>
      <w:r w:rsidR="00A27A24" w:rsidRPr="00FD2749">
        <w:rPr>
          <w:rFonts w:ascii="Times New Roman" w:hAnsi="Times New Roman" w:cs="Times New Roman"/>
          <w:sz w:val="24"/>
          <w:szCs w:val="24"/>
        </w:rPr>
        <w:t xml:space="preserve"> )</w:t>
      </w:r>
    </w:p>
    <w:p w:rsidR="00294566" w:rsidRPr="00FD2749" w:rsidRDefault="00294566" w:rsidP="00294566">
      <w:pPr>
        <w:spacing w:line="360" w:lineRule="auto"/>
        <w:jc w:val="both"/>
        <w:rPr>
          <w:rFonts w:ascii="Times New Roman" w:hAnsi="Times New Roman" w:cs="Times New Roman"/>
          <w:sz w:val="24"/>
          <w:szCs w:val="24"/>
        </w:rPr>
      </w:pPr>
      <w:r w:rsidRPr="002945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2749">
        <w:rPr>
          <w:rFonts w:ascii="Times New Roman" w:hAnsi="Times New Roman" w:cs="Times New Roman"/>
          <w:sz w:val="24"/>
          <w:szCs w:val="24"/>
        </w:rPr>
        <w:t xml:space="preserve">Vijayalakshmi S </w:t>
      </w:r>
    </w:p>
    <w:p w:rsidR="00294566" w:rsidRPr="00FD2749" w:rsidRDefault="0029456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w:t>
      </w:r>
      <w:r w:rsidRPr="00FD2749">
        <w:rPr>
          <w:rFonts w:ascii="Times New Roman" w:hAnsi="Times New Roman" w:cs="Times New Roman"/>
          <w:sz w:val="24"/>
          <w:szCs w:val="24"/>
          <w:vertAlign w:val="superscript"/>
        </w:rPr>
        <w:t>nd</w:t>
      </w:r>
      <w:r w:rsidRPr="00FD2749">
        <w:rPr>
          <w:rFonts w:ascii="Times New Roman" w:hAnsi="Times New Roman" w:cs="Times New Roman"/>
          <w:sz w:val="24"/>
          <w:szCs w:val="24"/>
        </w:rPr>
        <w:t xml:space="preserve"> year MBA Student, Department of MBA , Shridevi  Institute of Engineering and Technology , Tumkur , Karnataka, India ( </w:t>
      </w:r>
      <w:hyperlink r:id="rId7" w:history="1">
        <w:r w:rsidRPr="00FD2749">
          <w:rPr>
            <w:rStyle w:val="Hyperlink"/>
            <w:rFonts w:ascii="Times New Roman" w:hAnsi="Times New Roman" w:cs="Times New Roman"/>
            <w:sz w:val="24"/>
            <w:szCs w:val="24"/>
          </w:rPr>
          <w:t>vijayalakshmisviji38@gmail.com</w:t>
        </w:r>
      </w:hyperlink>
      <w:r w:rsidR="00A27A24" w:rsidRPr="00FD2749">
        <w:rPr>
          <w:rFonts w:ascii="Times New Roman" w:hAnsi="Times New Roman" w:cs="Times New Roman"/>
          <w:sz w:val="24"/>
          <w:szCs w:val="24"/>
        </w:rPr>
        <w:t>)</w:t>
      </w:r>
    </w:p>
    <w:p w:rsidR="00294566" w:rsidRPr="00294566" w:rsidRDefault="00294566" w:rsidP="00294566">
      <w:pPr>
        <w:spacing w:line="360" w:lineRule="auto"/>
        <w:jc w:val="both"/>
        <w:rPr>
          <w:rFonts w:ascii="Times New Roman" w:hAnsi="Times New Roman" w:cs="Times New Roman"/>
          <w:sz w:val="28"/>
          <w:szCs w:val="28"/>
        </w:rPr>
      </w:pPr>
    </w:p>
    <w:p w:rsidR="00294566" w:rsidRPr="00FD2749" w:rsidRDefault="00294566" w:rsidP="00294566">
      <w:pPr>
        <w:spacing w:line="360" w:lineRule="auto"/>
        <w:jc w:val="both"/>
        <w:rPr>
          <w:rFonts w:ascii="Times New Roman" w:hAnsi="Times New Roman" w:cs="Times New Roman"/>
          <w:b/>
          <w:sz w:val="28"/>
          <w:szCs w:val="28"/>
        </w:rPr>
      </w:pPr>
    </w:p>
    <w:p w:rsidR="00294566" w:rsidRPr="00FD2749" w:rsidRDefault="00D2309F"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ABSTRACT</w:t>
      </w:r>
    </w:p>
    <w:p w:rsidR="00A27A24" w:rsidRPr="00FD2749" w:rsidRDefault="00E04C7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 xml:space="preserve">Monetary execution investigation includes assessing an organization's financial </w:t>
      </w:r>
      <w:r w:rsidR="00D2309F" w:rsidRPr="00FD2749">
        <w:rPr>
          <w:rFonts w:ascii="Times New Roman" w:hAnsi="Times New Roman" w:cs="Times New Roman"/>
          <w:sz w:val="24"/>
          <w:szCs w:val="24"/>
        </w:rPr>
        <w:t xml:space="preserve">assets and weaknesses through a </w:t>
      </w:r>
      <w:r w:rsidRPr="00FD2749">
        <w:rPr>
          <w:rFonts w:ascii="Times New Roman" w:hAnsi="Times New Roman" w:cs="Times New Roman"/>
          <w:sz w:val="24"/>
          <w:szCs w:val="24"/>
        </w:rPr>
        <w:t>efficient investigation of the associations between accounting report parts</w:t>
      </w:r>
      <w:r w:rsidR="00D2309F" w:rsidRPr="00FD2749">
        <w:rPr>
          <w:rFonts w:ascii="Times New Roman" w:hAnsi="Times New Roman" w:cs="Times New Roman"/>
          <w:sz w:val="24"/>
          <w:szCs w:val="24"/>
        </w:rPr>
        <w:t xml:space="preserve"> and pay articulations. In this  </w:t>
      </w:r>
      <w:r w:rsidRPr="00FD2749">
        <w:rPr>
          <w:rFonts w:ascii="Times New Roman" w:hAnsi="Times New Roman" w:cs="Times New Roman"/>
          <w:sz w:val="24"/>
          <w:szCs w:val="24"/>
        </w:rPr>
        <w:t xml:space="preserve">explicit examination, the attention is on surveying the liquidity and benefit </w:t>
      </w:r>
      <w:r w:rsidR="00D2309F" w:rsidRPr="00FD2749">
        <w:rPr>
          <w:rFonts w:ascii="Times New Roman" w:hAnsi="Times New Roman" w:cs="Times New Roman"/>
          <w:sz w:val="24"/>
          <w:szCs w:val="24"/>
        </w:rPr>
        <w:t xml:space="preserve">of Indo Spanish Delectable Food </w:t>
      </w:r>
      <w:r w:rsidRPr="00FD2749">
        <w:rPr>
          <w:rFonts w:ascii="Times New Roman" w:hAnsi="Times New Roman" w:cs="Times New Roman"/>
          <w:sz w:val="24"/>
          <w:szCs w:val="24"/>
        </w:rPr>
        <w:t>Confidential Restricted. The degree envelops a far reaching four-year assessment</w:t>
      </w:r>
      <w:r w:rsidR="00D2309F" w:rsidRPr="00FD2749">
        <w:rPr>
          <w:rFonts w:ascii="Times New Roman" w:hAnsi="Times New Roman" w:cs="Times New Roman"/>
          <w:sz w:val="24"/>
          <w:szCs w:val="24"/>
        </w:rPr>
        <w:t xml:space="preserve"> of the organization's monetary </w:t>
      </w:r>
      <w:r w:rsidRPr="00FD2749">
        <w:rPr>
          <w:rFonts w:ascii="Times New Roman" w:hAnsi="Times New Roman" w:cs="Times New Roman"/>
          <w:sz w:val="24"/>
          <w:szCs w:val="24"/>
        </w:rPr>
        <w:t>execution, joined by proposals for likely upgrade.</w:t>
      </w:r>
    </w:p>
    <w:p w:rsidR="00D2309F" w:rsidRPr="00FD2749" w:rsidRDefault="00D2309F"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Catchphrases: Indo Spanish Scrumptious Food Private Restricted, examination of monetary execution, appraisal of liquidity, assessment of benefit.</w:t>
      </w:r>
    </w:p>
    <w:p w:rsidR="00D2309F" w:rsidRPr="00294566" w:rsidRDefault="00D2309F" w:rsidP="00294566">
      <w:pPr>
        <w:spacing w:line="360" w:lineRule="auto"/>
        <w:jc w:val="both"/>
        <w:rPr>
          <w:rFonts w:ascii="Times New Roman" w:hAnsi="Times New Roman" w:cs="Times New Roman"/>
          <w:sz w:val="28"/>
          <w:szCs w:val="28"/>
        </w:rPr>
      </w:pPr>
    </w:p>
    <w:p w:rsidR="00D2309F" w:rsidRPr="00FD2749" w:rsidRDefault="00D2309F"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INTRODUCTION</w:t>
      </w:r>
    </w:p>
    <w:p w:rsidR="00D2309F" w:rsidRPr="00FD2749" w:rsidRDefault="00D2309F"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 xml:space="preserve">Finance fills in as the logical discipline zeroed in on the administration of cash. Fundamentally, it relates to the capable organization of assets and the most common way of obtaining essential assets. The domain of money too incorporates the coordination, oversight, and assessment of cash, ventures, credit, resources, and liabilities that on the whole comprise </w:t>
      </w:r>
      <w:r w:rsidRPr="00FD2749">
        <w:rPr>
          <w:rFonts w:ascii="Times New Roman" w:hAnsi="Times New Roman" w:cs="Times New Roman"/>
          <w:sz w:val="24"/>
          <w:szCs w:val="24"/>
        </w:rPr>
        <w:lastRenderedPageBreak/>
        <w:t>monetary frameworks. Utilized to recognize an element's liquidity, dissolvability, strength, or productivity, monetary examination includes a complete examination. Inside this degree, financial execution examination involves the investigation and understanding of fiscal reports in a way that causes a far reaching assessment of the business' productivity and monetary. The essential target of such investigation is to discover the viability and ability of a company's administration.</w:t>
      </w:r>
    </w:p>
    <w:p w:rsidR="00D2309F" w:rsidRPr="00FD2749" w:rsidRDefault="00D2309F"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LITERATURE REVIEW</w:t>
      </w:r>
    </w:p>
    <w:p w:rsidR="00FD2749" w:rsidRPr="00FD2749" w:rsidRDefault="00D2309F"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 xml:space="preserve">Shivam Kakati and Arup Roy (2016) : </w:t>
      </w:r>
    </w:p>
    <w:p w:rsidR="00D2309F" w:rsidRPr="00FD2749" w:rsidRDefault="00D2309F"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The exploration looks at the monetary exhibition of Rancher Maker Organizations (FPCs) in Upper east India, underlining their possible advantages for aggregate asset pooling. Information from reviewed budget summaries of four FPCs more than 2014-17 is broke down utilizing proportion investigation to assess liquidity, benefit, and effectiveness. The review plans to survey FPCs' effect on ranchers' monetary prosperity in the area.</w:t>
      </w:r>
    </w:p>
    <w:p w:rsidR="00FD2749" w:rsidRPr="00FD2749" w:rsidRDefault="00D2309F"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 xml:space="preserve">Vennila And N. Chandru (2022) : </w:t>
      </w:r>
    </w:p>
    <w:p w:rsidR="00D2309F" w:rsidRPr="00FD2749" w:rsidRDefault="00D2309F"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This study conducts a financial</w:t>
      </w:r>
      <w:r w:rsidR="00A13C17" w:rsidRPr="00FD2749">
        <w:rPr>
          <w:rFonts w:ascii="Times New Roman" w:hAnsi="Times New Roman" w:cs="Times New Roman"/>
          <w:sz w:val="24"/>
          <w:szCs w:val="24"/>
        </w:rPr>
        <w:t xml:space="preserve"> analysis of selected IT  </w:t>
      </w:r>
      <w:r w:rsidRPr="00FD2749">
        <w:rPr>
          <w:rFonts w:ascii="Times New Roman" w:hAnsi="Times New Roman" w:cs="Times New Roman"/>
          <w:sz w:val="24"/>
          <w:szCs w:val="24"/>
        </w:rPr>
        <w:t>companies—Infosys Ltd, Tech Mahindra Ltd, Larsen &amp; Toubro Infotech L</w:t>
      </w:r>
      <w:r w:rsidR="00A13C17" w:rsidRPr="00FD2749">
        <w:rPr>
          <w:rFonts w:ascii="Times New Roman" w:hAnsi="Times New Roman" w:cs="Times New Roman"/>
          <w:sz w:val="24"/>
          <w:szCs w:val="24"/>
        </w:rPr>
        <w:t xml:space="preserve">td, and 3i Infotech Ltd. Using  </w:t>
      </w:r>
      <w:r w:rsidRPr="00FD2749">
        <w:rPr>
          <w:rFonts w:ascii="Times New Roman" w:hAnsi="Times New Roman" w:cs="Times New Roman"/>
          <w:sz w:val="24"/>
          <w:szCs w:val="24"/>
        </w:rPr>
        <w:t>analytical research, it evaluates their past, present, and anticipated future fina</w:t>
      </w:r>
      <w:r w:rsidR="00A13C17" w:rsidRPr="00FD2749">
        <w:rPr>
          <w:rFonts w:ascii="Times New Roman" w:hAnsi="Times New Roman" w:cs="Times New Roman"/>
          <w:sz w:val="24"/>
          <w:szCs w:val="24"/>
        </w:rPr>
        <w:t xml:space="preserve">ncial performance, focusing on </w:t>
      </w:r>
      <w:r w:rsidRPr="00FD2749">
        <w:rPr>
          <w:rFonts w:ascii="Times New Roman" w:hAnsi="Times New Roman" w:cs="Times New Roman"/>
          <w:sz w:val="24"/>
          <w:szCs w:val="24"/>
        </w:rPr>
        <w:t>solvency, liquidity, profitability, efficiency, and effectiveness. The analysis o</w:t>
      </w:r>
      <w:r w:rsidR="00A13C17" w:rsidRPr="00FD2749">
        <w:rPr>
          <w:rFonts w:ascii="Times New Roman" w:hAnsi="Times New Roman" w:cs="Times New Roman"/>
          <w:sz w:val="24"/>
          <w:szCs w:val="24"/>
        </w:rPr>
        <w:t xml:space="preserve">ffers insights into strengths, </w:t>
      </w:r>
      <w:r w:rsidRPr="00FD2749">
        <w:rPr>
          <w:rFonts w:ascii="Times New Roman" w:hAnsi="Times New Roman" w:cs="Times New Roman"/>
          <w:sz w:val="24"/>
          <w:szCs w:val="24"/>
        </w:rPr>
        <w:t>weaknesses, opportunities, and risks, aiding financial decision-making and planning.</w:t>
      </w:r>
    </w:p>
    <w:p w:rsidR="00FD2749" w:rsidRPr="00FD2749" w:rsidRDefault="00A13C17"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 xml:space="preserve">Sejal S and Purabiya(2019) : </w:t>
      </w:r>
    </w:p>
    <w:p w:rsidR="00A13C17" w:rsidRPr="00FD2749" w:rsidRDefault="00A13C17"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This study assesses monetary execution in India's drug area, explicitly examining Cipla Ltd., Lupin Ltd., and Dr. Reddy's Lab Ltd. The area's development and significance are featured, pointing to assess benefit for organizations and financial backers. Solid sources including cash control and distributions are utilized for examination, zeroing in on reliable organizations with turnover surpassing 1000 crore for bits of knowledge into their monetary effectiveness.</w:t>
      </w:r>
    </w:p>
    <w:p w:rsidR="00A13C17" w:rsidRPr="00294566" w:rsidRDefault="00A13C17" w:rsidP="00294566">
      <w:pPr>
        <w:spacing w:line="360" w:lineRule="auto"/>
        <w:jc w:val="both"/>
        <w:rPr>
          <w:rFonts w:ascii="Times New Roman" w:hAnsi="Times New Roman" w:cs="Times New Roman"/>
          <w:sz w:val="28"/>
          <w:szCs w:val="28"/>
        </w:rPr>
      </w:pPr>
    </w:p>
    <w:p w:rsidR="00A13C17" w:rsidRPr="00FD2749" w:rsidRDefault="00A13C17"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lastRenderedPageBreak/>
        <w:t>OBJECTIVES</w:t>
      </w:r>
    </w:p>
    <w:p w:rsidR="00294566" w:rsidRPr="00FD2749" w:rsidRDefault="00294566" w:rsidP="00FD2749">
      <w:pPr>
        <w:pStyle w:val="ListParagraph"/>
        <w:numPr>
          <w:ilvl w:val="0"/>
          <w:numId w:val="1"/>
        </w:num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To assets the company’s liquidity</w:t>
      </w:r>
    </w:p>
    <w:p w:rsidR="00294566" w:rsidRPr="00FD2749" w:rsidRDefault="00294566" w:rsidP="00FD2749">
      <w:pPr>
        <w:pStyle w:val="ListParagraph"/>
        <w:numPr>
          <w:ilvl w:val="0"/>
          <w:numId w:val="1"/>
        </w:num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To evaluate the company’s profitability</w:t>
      </w:r>
    </w:p>
    <w:p w:rsidR="00A13C17" w:rsidRPr="00FD2749" w:rsidRDefault="00A13C17"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RESEARCH METHDOLOGY</w:t>
      </w:r>
    </w:p>
    <w:p w:rsidR="00A13C17" w:rsidRPr="00FD2749" w:rsidRDefault="00A13C17"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Research technique is a system utilized to perceive, pick, make due, and investigate information. It involves exploring the strategies used inside the field of study. Auxiliary information from Indo Spanish Delicious Food Confidential Restricted has been utilized, obtained from the organizations' yearly reports.</w:t>
      </w:r>
    </w:p>
    <w:p w:rsidR="00A13C17" w:rsidRPr="00294566" w:rsidRDefault="00A13C17" w:rsidP="00294566">
      <w:pPr>
        <w:spacing w:line="360" w:lineRule="auto"/>
        <w:jc w:val="both"/>
        <w:rPr>
          <w:rFonts w:ascii="Times New Roman" w:hAnsi="Times New Roman" w:cs="Times New Roman"/>
          <w:sz w:val="28"/>
          <w:szCs w:val="28"/>
        </w:rPr>
      </w:pPr>
    </w:p>
    <w:p w:rsidR="00D2309F" w:rsidRPr="00FD2749" w:rsidRDefault="00232845"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DATA ANALYSIS AND INTERPRETATION</w:t>
      </w:r>
    </w:p>
    <w:p w:rsidR="00232845" w:rsidRPr="00FD2749" w:rsidRDefault="00232845"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Table-1 : Debt Equity Ratio</w:t>
      </w:r>
    </w:p>
    <w:tbl>
      <w:tblPr>
        <w:tblStyle w:val="TableGrid"/>
        <w:tblW w:w="0" w:type="auto"/>
        <w:tblLook w:val="04A0" w:firstRow="1" w:lastRow="0" w:firstColumn="1" w:lastColumn="0" w:noHBand="0" w:noVBand="1"/>
      </w:tblPr>
      <w:tblGrid>
        <w:gridCol w:w="2310"/>
        <w:gridCol w:w="2310"/>
        <w:gridCol w:w="2311"/>
        <w:gridCol w:w="2311"/>
      </w:tblGrid>
      <w:tr w:rsidR="003D6772" w:rsidRPr="00294566" w:rsidTr="003D6772">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YEAR</w:t>
            </w:r>
          </w:p>
        </w:tc>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TOTAL DEBT</w:t>
            </w:r>
          </w:p>
        </w:tc>
        <w:tc>
          <w:tcPr>
            <w:tcW w:w="2311"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EQUITY SHAREHOLDERS FUND</w:t>
            </w:r>
          </w:p>
        </w:tc>
        <w:tc>
          <w:tcPr>
            <w:tcW w:w="2311"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DEBT EQUITY RATIO</w:t>
            </w:r>
          </w:p>
        </w:tc>
      </w:tr>
      <w:tr w:rsidR="003D6772" w:rsidRPr="00294566" w:rsidTr="003D6772">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2018-19</w:t>
            </w:r>
          </w:p>
        </w:tc>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16,44,969</w:t>
            </w:r>
          </w:p>
        </w:tc>
        <w:tc>
          <w:tcPr>
            <w:tcW w:w="2311"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41,50,88,143</w:t>
            </w:r>
          </w:p>
        </w:tc>
        <w:tc>
          <w:tcPr>
            <w:tcW w:w="2311"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0.004</w:t>
            </w:r>
          </w:p>
        </w:tc>
      </w:tr>
      <w:tr w:rsidR="003D6772" w:rsidRPr="00294566" w:rsidTr="003D6772">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2019-20</w:t>
            </w:r>
          </w:p>
        </w:tc>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18,58,272</w:t>
            </w:r>
          </w:p>
        </w:tc>
        <w:tc>
          <w:tcPr>
            <w:tcW w:w="2311"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43,73,60,426</w:t>
            </w:r>
          </w:p>
        </w:tc>
        <w:tc>
          <w:tcPr>
            <w:tcW w:w="2311"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0.004</w:t>
            </w:r>
          </w:p>
        </w:tc>
      </w:tr>
      <w:tr w:rsidR="003D6772" w:rsidRPr="00294566" w:rsidTr="003D6772">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2020-21</w:t>
            </w:r>
          </w:p>
        </w:tc>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7,72,024</w:t>
            </w:r>
          </w:p>
        </w:tc>
        <w:tc>
          <w:tcPr>
            <w:tcW w:w="2311"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47,74,16,840</w:t>
            </w:r>
          </w:p>
        </w:tc>
        <w:tc>
          <w:tcPr>
            <w:tcW w:w="2311"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0.002</w:t>
            </w:r>
          </w:p>
        </w:tc>
      </w:tr>
      <w:tr w:rsidR="003D6772" w:rsidRPr="00294566" w:rsidTr="003D6772">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2021-22</w:t>
            </w:r>
          </w:p>
        </w:tc>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6,92,212</w:t>
            </w:r>
          </w:p>
        </w:tc>
        <w:tc>
          <w:tcPr>
            <w:tcW w:w="2311"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51,11,51,899</w:t>
            </w:r>
          </w:p>
        </w:tc>
        <w:tc>
          <w:tcPr>
            <w:tcW w:w="2311"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0.001</w:t>
            </w:r>
          </w:p>
        </w:tc>
      </w:tr>
    </w:tbl>
    <w:p w:rsidR="003D6772" w:rsidRPr="00294566" w:rsidRDefault="003D6772" w:rsidP="00294566">
      <w:pPr>
        <w:spacing w:line="360" w:lineRule="auto"/>
        <w:jc w:val="both"/>
        <w:rPr>
          <w:rFonts w:ascii="Times New Roman" w:hAnsi="Times New Roman" w:cs="Times New Roman"/>
          <w:sz w:val="28"/>
          <w:szCs w:val="28"/>
        </w:rPr>
      </w:pPr>
    </w:p>
    <w:p w:rsidR="00232845" w:rsidRPr="00FD2749" w:rsidRDefault="00232845"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Analysis And Interpretation</w:t>
      </w:r>
    </w:p>
    <w:p w:rsidR="00232845" w:rsidRPr="00FD2749" w:rsidRDefault="00232845"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Over the four years, the organization's obligation value proportion displayed an eminent pattern. In 2018-19 and 2019-20, the proportion stayed steady at a low 0.004, demonstrating a reliable harmony among obligation and value. In any case, in 2020-21, the proportion dropped to 0.002, mirroring a decline in the organization's dependence on obligation. This pattern gone on in 2021-22, with the proportion falling further to 0.001, recommending the organization's proceeded with work to decline its obligation weight and improve monetary soundness. The steady decrease in the obligation value proportion across the years infers a judicious monetary system zeroed in on limiting obligation openness.</w:t>
      </w:r>
    </w:p>
    <w:p w:rsidR="00232845" w:rsidRPr="00294566" w:rsidRDefault="00232845" w:rsidP="00294566">
      <w:pPr>
        <w:spacing w:line="360" w:lineRule="auto"/>
        <w:jc w:val="both"/>
        <w:rPr>
          <w:rFonts w:ascii="Times New Roman" w:hAnsi="Times New Roman" w:cs="Times New Roman"/>
          <w:sz w:val="28"/>
          <w:szCs w:val="28"/>
        </w:rPr>
      </w:pPr>
    </w:p>
    <w:p w:rsidR="00232845" w:rsidRPr="00FD2749" w:rsidRDefault="00232845"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Table-2 : Working Capital Turnover Ratio</w:t>
      </w:r>
    </w:p>
    <w:tbl>
      <w:tblPr>
        <w:tblStyle w:val="TableGrid"/>
        <w:tblW w:w="0" w:type="auto"/>
        <w:tblLook w:val="04A0" w:firstRow="1" w:lastRow="0" w:firstColumn="1" w:lastColumn="0" w:noHBand="0" w:noVBand="1"/>
      </w:tblPr>
      <w:tblGrid>
        <w:gridCol w:w="2310"/>
        <w:gridCol w:w="2310"/>
        <w:gridCol w:w="2311"/>
        <w:gridCol w:w="2311"/>
      </w:tblGrid>
      <w:tr w:rsidR="003D6772" w:rsidRPr="00294566" w:rsidTr="003D6772">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YEAR</w:t>
            </w:r>
          </w:p>
        </w:tc>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NET SALES</w:t>
            </w:r>
          </w:p>
        </w:tc>
        <w:tc>
          <w:tcPr>
            <w:tcW w:w="2311"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WORKING CAPITAL</w:t>
            </w:r>
          </w:p>
        </w:tc>
        <w:tc>
          <w:tcPr>
            <w:tcW w:w="2311"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WORKING CAPITAL TURNOVER RATIO</w:t>
            </w:r>
          </w:p>
        </w:tc>
      </w:tr>
      <w:tr w:rsidR="003D6772" w:rsidRPr="00294566" w:rsidTr="003D6772">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2018-19</w:t>
            </w:r>
          </w:p>
        </w:tc>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80,31,15,422</w:t>
            </w:r>
          </w:p>
        </w:tc>
        <w:tc>
          <w:tcPr>
            <w:tcW w:w="2311" w:type="dxa"/>
          </w:tcPr>
          <w:p w:rsidR="003D6772"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22,24,79,382</w:t>
            </w:r>
          </w:p>
        </w:tc>
        <w:tc>
          <w:tcPr>
            <w:tcW w:w="2311" w:type="dxa"/>
          </w:tcPr>
          <w:p w:rsidR="003D6772"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3.61</w:t>
            </w:r>
          </w:p>
        </w:tc>
      </w:tr>
      <w:tr w:rsidR="003D6772" w:rsidRPr="00294566" w:rsidTr="003D6772">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2019-20</w:t>
            </w:r>
          </w:p>
        </w:tc>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83,75,86,282</w:t>
            </w:r>
          </w:p>
        </w:tc>
        <w:tc>
          <w:tcPr>
            <w:tcW w:w="2311" w:type="dxa"/>
          </w:tcPr>
          <w:p w:rsidR="003D6772"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26,17,39,536</w:t>
            </w:r>
          </w:p>
        </w:tc>
        <w:tc>
          <w:tcPr>
            <w:tcW w:w="2311" w:type="dxa"/>
          </w:tcPr>
          <w:p w:rsidR="003D6772"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3.20</w:t>
            </w:r>
          </w:p>
        </w:tc>
      </w:tr>
      <w:tr w:rsidR="003D6772" w:rsidRPr="00294566" w:rsidTr="003D6772">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2020-21</w:t>
            </w:r>
          </w:p>
        </w:tc>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91,06,05,364</w:t>
            </w:r>
          </w:p>
        </w:tc>
        <w:tc>
          <w:tcPr>
            <w:tcW w:w="2311" w:type="dxa"/>
          </w:tcPr>
          <w:p w:rsidR="003D6772"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30,85,58,434</w:t>
            </w:r>
          </w:p>
        </w:tc>
        <w:tc>
          <w:tcPr>
            <w:tcW w:w="2311" w:type="dxa"/>
          </w:tcPr>
          <w:p w:rsidR="003D6772"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2.95</w:t>
            </w:r>
          </w:p>
        </w:tc>
      </w:tr>
      <w:tr w:rsidR="003D6772" w:rsidRPr="00294566" w:rsidTr="003D6772">
        <w:tc>
          <w:tcPr>
            <w:tcW w:w="2310" w:type="dxa"/>
          </w:tcPr>
          <w:p w:rsidR="003D6772" w:rsidRPr="00FD2749" w:rsidRDefault="003D6772"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2021-22</w:t>
            </w:r>
          </w:p>
        </w:tc>
        <w:tc>
          <w:tcPr>
            <w:tcW w:w="2310" w:type="dxa"/>
          </w:tcPr>
          <w:p w:rsidR="003D6772"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95,22,13,467</w:t>
            </w:r>
          </w:p>
        </w:tc>
        <w:tc>
          <w:tcPr>
            <w:tcW w:w="2311" w:type="dxa"/>
          </w:tcPr>
          <w:p w:rsidR="003D6772"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33,29,77,892</w:t>
            </w:r>
          </w:p>
        </w:tc>
        <w:tc>
          <w:tcPr>
            <w:tcW w:w="2311" w:type="dxa"/>
          </w:tcPr>
          <w:p w:rsidR="003D6772"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2.86</w:t>
            </w:r>
          </w:p>
        </w:tc>
      </w:tr>
    </w:tbl>
    <w:p w:rsidR="003D6772" w:rsidRPr="00294566" w:rsidRDefault="003D6772" w:rsidP="00294566">
      <w:pPr>
        <w:spacing w:line="360" w:lineRule="auto"/>
        <w:jc w:val="both"/>
        <w:rPr>
          <w:rFonts w:ascii="Times New Roman" w:hAnsi="Times New Roman" w:cs="Times New Roman"/>
          <w:sz w:val="28"/>
          <w:szCs w:val="28"/>
        </w:rPr>
      </w:pPr>
    </w:p>
    <w:p w:rsidR="00232845" w:rsidRPr="00FD2749" w:rsidRDefault="00232845"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Analysis and Interpretation</w:t>
      </w:r>
    </w:p>
    <w:p w:rsidR="00232845" w:rsidRPr="00FD2749" w:rsidRDefault="00232845"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The functioning capital turnover proportion over the four years uncovers specific patterns. In 2018-19, the proportion was 3.61, showing that the organization created 3.61 units of net deals per unit of working capital. Notwithstanding, this proportion diminished over the resulting years, arriving at 2.86 in 2021-22. This recommends a decrease in the effectiveness of changing over working capital into deals. Notwithstanding the decrease, the organization for the most part kept a fair turnover proportion, however the diminishing infers a likely region for improving working capital administration to further develop deals effectiveness.</w:t>
      </w:r>
    </w:p>
    <w:p w:rsidR="00232845" w:rsidRPr="00FD2749" w:rsidRDefault="002765FA"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 xml:space="preserve"> Table -3 : Asset Turnover Ratio</w:t>
      </w:r>
    </w:p>
    <w:tbl>
      <w:tblPr>
        <w:tblStyle w:val="TableGrid"/>
        <w:tblW w:w="0" w:type="auto"/>
        <w:tblLook w:val="04A0" w:firstRow="1" w:lastRow="0" w:firstColumn="1" w:lastColumn="0" w:noHBand="0" w:noVBand="1"/>
      </w:tblPr>
      <w:tblGrid>
        <w:gridCol w:w="2310"/>
        <w:gridCol w:w="2310"/>
        <w:gridCol w:w="2311"/>
        <w:gridCol w:w="2311"/>
      </w:tblGrid>
      <w:tr w:rsidR="004C6AF6" w:rsidRPr="00294566" w:rsidTr="004C6AF6">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YEAR</w:t>
            </w:r>
          </w:p>
        </w:tc>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NET SALES</w:t>
            </w:r>
          </w:p>
        </w:tc>
        <w:tc>
          <w:tcPr>
            <w:tcW w:w="2311"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TOTAL ASSETS</w:t>
            </w:r>
          </w:p>
        </w:tc>
        <w:tc>
          <w:tcPr>
            <w:tcW w:w="2311"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ASSETS TURNOVER RATIO</w:t>
            </w:r>
          </w:p>
        </w:tc>
      </w:tr>
      <w:tr w:rsidR="004C6AF6" w:rsidRPr="00294566" w:rsidTr="004C6AF6">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2018-19</w:t>
            </w:r>
          </w:p>
        </w:tc>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80,31,15,422</w:t>
            </w:r>
          </w:p>
        </w:tc>
        <w:tc>
          <w:tcPr>
            <w:tcW w:w="2311"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64,50,92,310</w:t>
            </w:r>
          </w:p>
        </w:tc>
        <w:tc>
          <w:tcPr>
            <w:tcW w:w="2311"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1.24</w:t>
            </w:r>
          </w:p>
        </w:tc>
      </w:tr>
      <w:tr w:rsidR="004C6AF6" w:rsidRPr="00294566" w:rsidTr="004C6AF6">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2019-20</w:t>
            </w:r>
          </w:p>
        </w:tc>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83,75,86,282</w:t>
            </w:r>
          </w:p>
        </w:tc>
        <w:tc>
          <w:tcPr>
            <w:tcW w:w="2311"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69,60,76,793</w:t>
            </w:r>
          </w:p>
        </w:tc>
        <w:tc>
          <w:tcPr>
            <w:tcW w:w="2311"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1.20</w:t>
            </w:r>
          </w:p>
        </w:tc>
      </w:tr>
      <w:tr w:rsidR="004C6AF6" w:rsidRPr="00294566" w:rsidTr="004C6AF6">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2020-21</w:t>
            </w:r>
          </w:p>
        </w:tc>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91,06,05,364</w:t>
            </w:r>
          </w:p>
        </w:tc>
        <w:tc>
          <w:tcPr>
            <w:tcW w:w="2311"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69,43,16,348</w:t>
            </w:r>
          </w:p>
        </w:tc>
        <w:tc>
          <w:tcPr>
            <w:tcW w:w="2311"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1.31</w:t>
            </w:r>
          </w:p>
        </w:tc>
      </w:tr>
      <w:tr w:rsidR="004C6AF6" w:rsidRPr="00294566" w:rsidTr="004C6AF6">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2021-22</w:t>
            </w:r>
          </w:p>
        </w:tc>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95,22,13,467</w:t>
            </w:r>
          </w:p>
        </w:tc>
        <w:tc>
          <w:tcPr>
            <w:tcW w:w="2311"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74,37,24,460</w:t>
            </w:r>
          </w:p>
        </w:tc>
        <w:tc>
          <w:tcPr>
            <w:tcW w:w="2311"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1.28</w:t>
            </w:r>
          </w:p>
        </w:tc>
      </w:tr>
    </w:tbl>
    <w:p w:rsidR="004C6AF6" w:rsidRPr="00294566" w:rsidRDefault="004C6AF6" w:rsidP="00294566">
      <w:pPr>
        <w:spacing w:line="360" w:lineRule="auto"/>
        <w:jc w:val="both"/>
        <w:rPr>
          <w:rFonts w:ascii="Times New Roman" w:hAnsi="Times New Roman" w:cs="Times New Roman"/>
          <w:sz w:val="28"/>
          <w:szCs w:val="28"/>
        </w:rPr>
      </w:pPr>
    </w:p>
    <w:p w:rsidR="002765FA" w:rsidRPr="00FD2749" w:rsidRDefault="002765FA" w:rsidP="00294566">
      <w:pPr>
        <w:spacing w:line="360" w:lineRule="auto"/>
        <w:jc w:val="both"/>
        <w:rPr>
          <w:rFonts w:ascii="Times New Roman" w:hAnsi="Times New Roman" w:cs="Times New Roman"/>
          <w:b/>
          <w:sz w:val="28"/>
          <w:szCs w:val="28"/>
        </w:rPr>
      </w:pPr>
      <w:r w:rsidRPr="00FD2749">
        <w:rPr>
          <w:rFonts w:ascii="Times New Roman" w:hAnsi="Times New Roman" w:cs="Times New Roman"/>
          <w:b/>
          <w:sz w:val="28"/>
          <w:szCs w:val="28"/>
        </w:rPr>
        <w:t>Analysis and interpretation</w:t>
      </w:r>
    </w:p>
    <w:p w:rsidR="002765FA" w:rsidRPr="00FD2749" w:rsidRDefault="002765FA"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lastRenderedPageBreak/>
        <w:t>The resources turnover proportion for the given years delineates a fluctuating pattern. In 2018-19, the proportion was 1.24, demonstrating that the organization created INR 1.24 of net deals per unit of all out resources. This proportion marginally diminished in 2019-20 to 1.20, bounced back to 1.31 in 2020-21, and settled at 1.28 in 2021-22. The varieties feature the organization's capacity to use its resources for create deals, with an eminent expansion in 2020-21. Notwithstanding the variances, the organization's capacity to create deals from its resources remains somewhat steady throughout the long term.</w:t>
      </w:r>
    </w:p>
    <w:p w:rsidR="002765FA" w:rsidRPr="00FD2749" w:rsidRDefault="002765FA" w:rsidP="00294566">
      <w:pPr>
        <w:spacing w:line="360" w:lineRule="auto"/>
        <w:ind w:left="720" w:hanging="720"/>
        <w:jc w:val="both"/>
        <w:rPr>
          <w:rFonts w:ascii="Times New Roman" w:hAnsi="Times New Roman" w:cs="Times New Roman"/>
          <w:b/>
          <w:sz w:val="28"/>
          <w:szCs w:val="28"/>
        </w:rPr>
      </w:pPr>
      <w:r w:rsidRPr="00FD2749">
        <w:rPr>
          <w:rFonts w:ascii="Times New Roman" w:hAnsi="Times New Roman" w:cs="Times New Roman"/>
          <w:b/>
          <w:sz w:val="28"/>
          <w:szCs w:val="28"/>
        </w:rPr>
        <w:t>Table -4 : Gross Profit Ratio</w:t>
      </w:r>
    </w:p>
    <w:tbl>
      <w:tblPr>
        <w:tblStyle w:val="TableGrid"/>
        <w:tblW w:w="0" w:type="auto"/>
        <w:tblInd w:w="720" w:type="dxa"/>
        <w:tblLook w:val="04A0" w:firstRow="1" w:lastRow="0" w:firstColumn="1" w:lastColumn="0" w:noHBand="0" w:noVBand="1"/>
      </w:tblPr>
      <w:tblGrid>
        <w:gridCol w:w="2080"/>
        <w:gridCol w:w="2157"/>
        <w:gridCol w:w="2177"/>
        <w:gridCol w:w="2108"/>
      </w:tblGrid>
      <w:tr w:rsidR="004C6AF6" w:rsidRPr="00FD2749" w:rsidTr="004C6AF6">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YEAR</w:t>
            </w:r>
          </w:p>
        </w:tc>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GROSS PROFIT</w:t>
            </w:r>
          </w:p>
        </w:tc>
        <w:tc>
          <w:tcPr>
            <w:tcW w:w="2311"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NET SALES</w:t>
            </w:r>
          </w:p>
        </w:tc>
        <w:tc>
          <w:tcPr>
            <w:tcW w:w="2311"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GROSS PROFIT RATIO</w:t>
            </w:r>
          </w:p>
        </w:tc>
      </w:tr>
      <w:tr w:rsidR="004C6AF6" w:rsidRPr="00FD2749" w:rsidTr="004C6AF6">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2018-19</w:t>
            </w:r>
          </w:p>
        </w:tc>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7,51,47,445</w:t>
            </w:r>
          </w:p>
        </w:tc>
        <w:tc>
          <w:tcPr>
            <w:tcW w:w="2311" w:type="dxa"/>
          </w:tcPr>
          <w:p w:rsidR="004C6AF6" w:rsidRPr="00FD2749" w:rsidRDefault="006037BD"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80,31,15,422</w:t>
            </w:r>
          </w:p>
        </w:tc>
        <w:tc>
          <w:tcPr>
            <w:tcW w:w="2311" w:type="dxa"/>
          </w:tcPr>
          <w:p w:rsidR="004C6AF6" w:rsidRPr="00FD2749" w:rsidRDefault="006037BD"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9.36</w:t>
            </w:r>
          </w:p>
        </w:tc>
      </w:tr>
      <w:tr w:rsidR="004C6AF6" w:rsidRPr="00FD2749" w:rsidTr="004C6AF6">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2019-20</w:t>
            </w:r>
          </w:p>
        </w:tc>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2,86,41,167</w:t>
            </w:r>
          </w:p>
        </w:tc>
        <w:tc>
          <w:tcPr>
            <w:tcW w:w="2311" w:type="dxa"/>
          </w:tcPr>
          <w:p w:rsidR="004C6AF6" w:rsidRPr="00FD2749" w:rsidRDefault="006037BD"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83,75,86,282</w:t>
            </w:r>
          </w:p>
        </w:tc>
        <w:tc>
          <w:tcPr>
            <w:tcW w:w="2311" w:type="dxa"/>
          </w:tcPr>
          <w:p w:rsidR="004C6AF6" w:rsidRPr="00FD2749" w:rsidRDefault="006037BD"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3.42</w:t>
            </w:r>
          </w:p>
        </w:tc>
      </w:tr>
      <w:tr w:rsidR="004C6AF6" w:rsidRPr="00FD2749" w:rsidTr="004C6AF6">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2020-21</w:t>
            </w:r>
          </w:p>
        </w:tc>
        <w:tc>
          <w:tcPr>
            <w:tcW w:w="2310" w:type="dxa"/>
          </w:tcPr>
          <w:p w:rsidR="004C6AF6" w:rsidRPr="00FD2749" w:rsidRDefault="006037BD"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5,61,16,913</w:t>
            </w:r>
          </w:p>
        </w:tc>
        <w:tc>
          <w:tcPr>
            <w:tcW w:w="2311" w:type="dxa"/>
          </w:tcPr>
          <w:p w:rsidR="004C6AF6" w:rsidRPr="00FD2749" w:rsidRDefault="006037BD"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91,06,05,364</w:t>
            </w:r>
          </w:p>
        </w:tc>
        <w:tc>
          <w:tcPr>
            <w:tcW w:w="2311" w:type="dxa"/>
          </w:tcPr>
          <w:p w:rsidR="004C6AF6" w:rsidRPr="00FD2749" w:rsidRDefault="006037BD"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6.16</w:t>
            </w:r>
          </w:p>
        </w:tc>
      </w:tr>
      <w:tr w:rsidR="004C6AF6" w:rsidRPr="00FD2749" w:rsidTr="004C6AF6">
        <w:tc>
          <w:tcPr>
            <w:tcW w:w="2310" w:type="dxa"/>
          </w:tcPr>
          <w:p w:rsidR="004C6AF6" w:rsidRPr="00FD2749" w:rsidRDefault="004C6AF6"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2021-22</w:t>
            </w:r>
          </w:p>
        </w:tc>
        <w:tc>
          <w:tcPr>
            <w:tcW w:w="2310" w:type="dxa"/>
          </w:tcPr>
          <w:p w:rsidR="004C6AF6" w:rsidRPr="00FD2749" w:rsidRDefault="006037BD"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7,70,13,998</w:t>
            </w:r>
          </w:p>
        </w:tc>
        <w:tc>
          <w:tcPr>
            <w:tcW w:w="2311" w:type="dxa"/>
          </w:tcPr>
          <w:p w:rsidR="004C6AF6" w:rsidRPr="00FD2749" w:rsidRDefault="006037BD"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95,22,13,467</w:t>
            </w:r>
          </w:p>
        </w:tc>
        <w:tc>
          <w:tcPr>
            <w:tcW w:w="2311" w:type="dxa"/>
          </w:tcPr>
          <w:p w:rsidR="004C6AF6" w:rsidRPr="00FD2749" w:rsidRDefault="006037BD" w:rsidP="00294566">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8.09</w:t>
            </w:r>
          </w:p>
        </w:tc>
      </w:tr>
    </w:tbl>
    <w:p w:rsidR="004C6AF6" w:rsidRPr="00FD2749" w:rsidRDefault="004C6AF6" w:rsidP="00294566">
      <w:pPr>
        <w:spacing w:line="360" w:lineRule="auto"/>
        <w:ind w:left="720" w:hanging="720"/>
        <w:jc w:val="both"/>
        <w:rPr>
          <w:rFonts w:ascii="Times New Roman" w:hAnsi="Times New Roman" w:cs="Times New Roman"/>
          <w:sz w:val="24"/>
          <w:szCs w:val="24"/>
        </w:rPr>
      </w:pPr>
    </w:p>
    <w:p w:rsidR="002765FA" w:rsidRPr="00FD2749" w:rsidRDefault="002765FA" w:rsidP="00294566">
      <w:pPr>
        <w:spacing w:line="360" w:lineRule="auto"/>
        <w:ind w:left="720" w:hanging="720"/>
        <w:jc w:val="both"/>
        <w:rPr>
          <w:rFonts w:ascii="Times New Roman" w:hAnsi="Times New Roman" w:cs="Times New Roman"/>
          <w:b/>
          <w:sz w:val="28"/>
          <w:szCs w:val="28"/>
        </w:rPr>
      </w:pPr>
      <w:r w:rsidRPr="00FD2749">
        <w:rPr>
          <w:rFonts w:ascii="Times New Roman" w:hAnsi="Times New Roman" w:cs="Times New Roman"/>
          <w:b/>
          <w:sz w:val="28"/>
          <w:szCs w:val="28"/>
        </w:rPr>
        <w:t>Analysis and Interpretation</w:t>
      </w:r>
    </w:p>
    <w:p w:rsidR="002765FA" w:rsidRPr="00FD2749" w:rsidRDefault="002765FA" w:rsidP="00294566">
      <w:pPr>
        <w:spacing w:line="360" w:lineRule="auto"/>
        <w:ind w:left="720" w:hanging="720"/>
        <w:jc w:val="both"/>
        <w:rPr>
          <w:rFonts w:ascii="Times New Roman" w:hAnsi="Times New Roman" w:cs="Times New Roman"/>
          <w:sz w:val="24"/>
          <w:szCs w:val="24"/>
        </w:rPr>
      </w:pPr>
      <w:r w:rsidRPr="00FD2749">
        <w:rPr>
          <w:rFonts w:ascii="Times New Roman" w:hAnsi="Times New Roman" w:cs="Times New Roman"/>
          <w:sz w:val="24"/>
          <w:szCs w:val="24"/>
        </w:rPr>
        <w:t xml:space="preserve">          The net benefit proportion over the predefined years shows differing designs. In 2018-19, the proportion remained at 9.36%, demonstrating that the organization held INR 9.36 for each INR 100 of net deals in the wake of representing the cost of merchandise sold. This proportion remarkably diminished to 3.42% in 2019-20, trailed by a huge recuperation to 6.16% in 2020-21 and a further increment to 8.09% in 2021-22. These changes demonstrate shifts in the organization's capacity to create net benefit as a level of net deals. While the proportion bounced back from a plunge in 2019-20, it arrived at a great level in 2021-22, reflecting better effectiveness in overseeing costs and producing benefit from deals.</w:t>
      </w:r>
    </w:p>
    <w:p w:rsidR="002765FA" w:rsidRPr="00FD2749" w:rsidRDefault="002765FA" w:rsidP="00294566">
      <w:pPr>
        <w:spacing w:line="360" w:lineRule="auto"/>
        <w:ind w:left="720" w:hanging="720"/>
        <w:jc w:val="both"/>
        <w:rPr>
          <w:rFonts w:ascii="Times New Roman" w:hAnsi="Times New Roman" w:cs="Times New Roman"/>
          <w:sz w:val="24"/>
          <w:szCs w:val="24"/>
        </w:rPr>
      </w:pPr>
    </w:p>
    <w:p w:rsidR="002765FA" w:rsidRPr="00FD2749" w:rsidRDefault="002765FA" w:rsidP="00294566">
      <w:pPr>
        <w:spacing w:line="360" w:lineRule="auto"/>
        <w:ind w:left="720" w:hanging="720"/>
        <w:jc w:val="both"/>
        <w:rPr>
          <w:rFonts w:ascii="Times New Roman" w:hAnsi="Times New Roman" w:cs="Times New Roman"/>
          <w:b/>
          <w:sz w:val="28"/>
          <w:szCs w:val="28"/>
        </w:rPr>
      </w:pPr>
      <w:r w:rsidRPr="00FD2749">
        <w:rPr>
          <w:rFonts w:ascii="Times New Roman" w:hAnsi="Times New Roman" w:cs="Times New Roman"/>
          <w:b/>
          <w:sz w:val="28"/>
          <w:szCs w:val="28"/>
        </w:rPr>
        <w:t>FINDINGS</w:t>
      </w:r>
    </w:p>
    <w:p w:rsidR="002765FA" w:rsidRPr="002C799E" w:rsidRDefault="002765FA" w:rsidP="002C799E">
      <w:pPr>
        <w:pStyle w:val="ListParagraph"/>
        <w:numPr>
          <w:ilvl w:val="0"/>
          <w:numId w:val="2"/>
        </w:numPr>
        <w:spacing w:line="360" w:lineRule="auto"/>
        <w:jc w:val="both"/>
        <w:rPr>
          <w:rFonts w:ascii="Times New Roman" w:hAnsi="Times New Roman" w:cs="Times New Roman"/>
          <w:sz w:val="24"/>
          <w:szCs w:val="24"/>
        </w:rPr>
      </w:pPr>
      <w:r w:rsidRPr="002C799E">
        <w:rPr>
          <w:rFonts w:ascii="Times New Roman" w:hAnsi="Times New Roman" w:cs="Times New Roman"/>
          <w:sz w:val="24"/>
          <w:szCs w:val="24"/>
        </w:rPr>
        <w:lastRenderedPageBreak/>
        <w:t>Stable Debt –Equity Ratio : The obligation value proportion reliably stayed low over the four years, going from  0.001 to 0.004, demonstrating a decent methodology among obligation and value supporting.</w:t>
      </w:r>
    </w:p>
    <w:p w:rsidR="002765FA" w:rsidRPr="002C799E" w:rsidRDefault="002765FA" w:rsidP="002C799E">
      <w:pPr>
        <w:pStyle w:val="ListParagraph"/>
        <w:numPr>
          <w:ilvl w:val="0"/>
          <w:numId w:val="2"/>
        </w:numPr>
        <w:spacing w:line="360" w:lineRule="auto"/>
        <w:jc w:val="both"/>
        <w:rPr>
          <w:rFonts w:ascii="Times New Roman" w:hAnsi="Times New Roman" w:cs="Times New Roman"/>
          <w:sz w:val="24"/>
          <w:szCs w:val="24"/>
        </w:rPr>
      </w:pPr>
      <w:r w:rsidRPr="002C799E">
        <w:rPr>
          <w:rFonts w:ascii="Times New Roman" w:hAnsi="Times New Roman" w:cs="Times New Roman"/>
          <w:sz w:val="24"/>
          <w:szCs w:val="24"/>
        </w:rPr>
        <w:t>Working Capital Efficiency : The functioning capital turnover proportion diminished continuously from 3.61 to 2.86, recommending a decrease in the organization's capacity to create deals from its functioning capital.</w:t>
      </w:r>
    </w:p>
    <w:p w:rsidR="002765FA" w:rsidRPr="002C799E" w:rsidRDefault="002765FA" w:rsidP="002C799E">
      <w:pPr>
        <w:pStyle w:val="ListParagraph"/>
        <w:numPr>
          <w:ilvl w:val="0"/>
          <w:numId w:val="2"/>
        </w:numPr>
        <w:spacing w:line="360" w:lineRule="auto"/>
        <w:jc w:val="both"/>
        <w:rPr>
          <w:rFonts w:ascii="Times New Roman" w:hAnsi="Times New Roman" w:cs="Times New Roman"/>
          <w:sz w:val="24"/>
          <w:szCs w:val="24"/>
        </w:rPr>
      </w:pPr>
      <w:r w:rsidRPr="002C799E">
        <w:rPr>
          <w:rFonts w:ascii="Times New Roman" w:hAnsi="Times New Roman" w:cs="Times New Roman"/>
          <w:sz w:val="24"/>
          <w:szCs w:val="24"/>
        </w:rPr>
        <w:t>Assets Utilization : The resources turnover proportion vacillated, with an increment fr</w:t>
      </w:r>
      <w:r w:rsidR="00074C85" w:rsidRPr="002C799E">
        <w:rPr>
          <w:rFonts w:ascii="Times New Roman" w:hAnsi="Times New Roman" w:cs="Times New Roman"/>
          <w:sz w:val="24"/>
          <w:szCs w:val="24"/>
        </w:rPr>
        <w:t xml:space="preserve">om 1.24 to 1.31 and a resulting </w:t>
      </w:r>
      <w:r w:rsidRPr="002C799E">
        <w:rPr>
          <w:rFonts w:ascii="Times New Roman" w:hAnsi="Times New Roman" w:cs="Times New Roman"/>
          <w:sz w:val="24"/>
          <w:szCs w:val="24"/>
        </w:rPr>
        <w:t>diminishing to 1.28. This shows variable proficiency in using resources for produce deals.</w:t>
      </w:r>
    </w:p>
    <w:p w:rsidR="00074C85" w:rsidRPr="002C799E" w:rsidRDefault="00074C85" w:rsidP="002C799E">
      <w:pPr>
        <w:pStyle w:val="ListParagraph"/>
        <w:numPr>
          <w:ilvl w:val="0"/>
          <w:numId w:val="2"/>
        </w:numPr>
        <w:spacing w:line="360" w:lineRule="auto"/>
        <w:jc w:val="both"/>
        <w:rPr>
          <w:rFonts w:ascii="Times New Roman" w:hAnsi="Times New Roman" w:cs="Times New Roman"/>
          <w:sz w:val="24"/>
          <w:szCs w:val="24"/>
        </w:rPr>
      </w:pPr>
      <w:r w:rsidRPr="002C799E">
        <w:rPr>
          <w:rFonts w:ascii="Times New Roman" w:hAnsi="Times New Roman" w:cs="Times New Roman"/>
          <w:sz w:val="24"/>
          <w:szCs w:val="24"/>
        </w:rPr>
        <w:t>Gross Profit Recovery : After a plunge in 2019-20, the net benefit proportion recuperated fundamentally, coming to 8.09% in 2021-22. This features the organization's capacity to oversee expenses and increment overall revenues.</w:t>
      </w:r>
    </w:p>
    <w:p w:rsidR="00074C85" w:rsidRPr="002C799E" w:rsidRDefault="00074C85" w:rsidP="002C799E">
      <w:pPr>
        <w:pStyle w:val="ListParagraph"/>
        <w:numPr>
          <w:ilvl w:val="0"/>
          <w:numId w:val="2"/>
        </w:numPr>
        <w:spacing w:line="360" w:lineRule="auto"/>
        <w:jc w:val="both"/>
        <w:rPr>
          <w:rFonts w:ascii="Times New Roman" w:hAnsi="Times New Roman" w:cs="Times New Roman"/>
          <w:sz w:val="24"/>
          <w:szCs w:val="24"/>
        </w:rPr>
      </w:pPr>
      <w:r w:rsidRPr="002C799E">
        <w:rPr>
          <w:rFonts w:ascii="Times New Roman" w:hAnsi="Times New Roman" w:cs="Times New Roman"/>
          <w:sz w:val="24"/>
          <w:szCs w:val="24"/>
        </w:rPr>
        <w:t>Liquidity  and Profitability Balance  :  While the functioning capital turnover diminished, the obligation value proportion stayed stable, and net benefit proportion gotten to the next level. This recommends the organization explored a harmony between liquidity and benefit.</w:t>
      </w:r>
    </w:p>
    <w:p w:rsidR="00074C85" w:rsidRPr="00294566" w:rsidRDefault="00074C85" w:rsidP="00294566">
      <w:pPr>
        <w:spacing w:line="360" w:lineRule="auto"/>
        <w:ind w:left="720" w:hanging="720"/>
        <w:jc w:val="both"/>
        <w:rPr>
          <w:rFonts w:ascii="Times New Roman" w:hAnsi="Times New Roman" w:cs="Times New Roman"/>
          <w:sz w:val="28"/>
          <w:szCs w:val="28"/>
        </w:rPr>
      </w:pPr>
    </w:p>
    <w:p w:rsidR="00074C85" w:rsidRPr="002C799E" w:rsidRDefault="00074C85" w:rsidP="00294566">
      <w:pPr>
        <w:spacing w:line="360" w:lineRule="auto"/>
        <w:ind w:left="720" w:hanging="720"/>
        <w:jc w:val="both"/>
        <w:rPr>
          <w:rFonts w:ascii="Times New Roman" w:hAnsi="Times New Roman" w:cs="Times New Roman"/>
          <w:b/>
          <w:sz w:val="28"/>
          <w:szCs w:val="28"/>
        </w:rPr>
      </w:pPr>
      <w:r w:rsidRPr="002C799E">
        <w:rPr>
          <w:rFonts w:ascii="Times New Roman" w:hAnsi="Times New Roman" w:cs="Times New Roman"/>
          <w:b/>
          <w:sz w:val="28"/>
          <w:szCs w:val="28"/>
        </w:rPr>
        <w:t>CONCLUSION</w:t>
      </w:r>
    </w:p>
    <w:p w:rsidR="00074C85" w:rsidRPr="002C799E" w:rsidRDefault="00074C85" w:rsidP="002C799E">
      <w:pPr>
        <w:pStyle w:val="ListParagraph"/>
        <w:numPr>
          <w:ilvl w:val="0"/>
          <w:numId w:val="3"/>
        </w:numPr>
        <w:spacing w:line="360" w:lineRule="auto"/>
        <w:jc w:val="both"/>
        <w:rPr>
          <w:rFonts w:ascii="Times New Roman" w:hAnsi="Times New Roman" w:cs="Times New Roman"/>
          <w:sz w:val="24"/>
          <w:szCs w:val="24"/>
        </w:rPr>
      </w:pPr>
      <w:r w:rsidRPr="002C799E">
        <w:rPr>
          <w:rFonts w:ascii="Times New Roman" w:hAnsi="Times New Roman" w:cs="Times New Roman"/>
          <w:sz w:val="24"/>
          <w:szCs w:val="24"/>
        </w:rPr>
        <w:t>Taking everything into account, the organization displayed judicious monetary administration techniques. Stable obligation value proportions connote mindful getting rehearses. Regardless of a declining working capital turnover, the organization kept up with liquidity by dealing with its obligation levels really. Variances in resources turnover demonstrated fluctuating resource usage proficiency. The surprising recuperation in net benefit proportion highlighted effective expense the executives. These discoveries on the whole show the organization's capacity to find some kind of harmony between liquidity, benefit, and effective asset allotment.</w:t>
      </w:r>
    </w:p>
    <w:p w:rsidR="00074C85" w:rsidRPr="00294566" w:rsidRDefault="00074C85" w:rsidP="00294566">
      <w:pPr>
        <w:spacing w:line="360" w:lineRule="auto"/>
        <w:ind w:left="720" w:hanging="720"/>
        <w:jc w:val="both"/>
        <w:rPr>
          <w:rFonts w:ascii="Times New Roman" w:hAnsi="Times New Roman" w:cs="Times New Roman"/>
          <w:sz w:val="28"/>
          <w:szCs w:val="28"/>
        </w:rPr>
      </w:pPr>
    </w:p>
    <w:p w:rsidR="00074C85" w:rsidRPr="002C799E" w:rsidRDefault="00074C85" w:rsidP="00294566">
      <w:pPr>
        <w:spacing w:line="360" w:lineRule="auto"/>
        <w:ind w:left="720" w:hanging="720"/>
        <w:jc w:val="both"/>
        <w:rPr>
          <w:rFonts w:ascii="Times New Roman" w:hAnsi="Times New Roman" w:cs="Times New Roman"/>
          <w:b/>
          <w:sz w:val="28"/>
          <w:szCs w:val="28"/>
        </w:rPr>
      </w:pPr>
      <w:r w:rsidRPr="002C799E">
        <w:rPr>
          <w:rFonts w:ascii="Times New Roman" w:hAnsi="Times New Roman" w:cs="Times New Roman"/>
          <w:b/>
          <w:sz w:val="28"/>
          <w:szCs w:val="28"/>
        </w:rPr>
        <w:t>REFERENCE</w:t>
      </w:r>
    </w:p>
    <w:p w:rsidR="00074C85" w:rsidRPr="002C799E" w:rsidRDefault="00074C85" w:rsidP="002C799E">
      <w:pPr>
        <w:pStyle w:val="ListParagraph"/>
        <w:numPr>
          <w:ilvl w:val="0"/>
          <w:numId w:val="4"/>
        </w:numPr>
        <w:spacing w:line="360" w:lineRule="auto"/>
        <w:jc w:val="both"/>
        <w:rPr>
          <w:rFonts w:ascii="Times New Roman" w:hAnsi="Times New Roman" w:cs="Times New Roman"/>
          <w:sz w:val="24"/>
          <w:szCs w:val="24"/>
        </w:rPr>
      </w:pPr>
      <w:r w:rsidRPr="002C799E">
        <w:rPr>
          <w:rFonts w:ascii="Times New Roman" w:hAnsi="Times New Roman" w:cs="Times New Roman"/>
          <w:sz w:val="24"/>
          <w:szCs w:val="24"/>
        </w:rPr>
        <w:lastRenderedPageBreak/>
        <w:t>The distribution "Monetary Execution of Rancher maker organizations" was composed by Shivam Kakati what's more, Delivered by Harmony Diary of Agribusinessin 2017.</w:t>
      </w:r>
    </w:p>
    <w:p w:rsidR="00074C85" w:rsidRPr="002C799E" w:rsidRDefault="00074C85" w:rsidP="002C799E">
      <w:pPr>
        <w:pStyle w:val="ListParagraph"/>
        <w:numPr>
          <w:ilvl w:val="0"/>
          <w:numId w:val="4"/>
        </w:numPr>
        <w:spacing w:line="360" w:lineRule="auto"/>
        <w:jc w:val="both"/>
        <w:rPr>
          <w:rFonts w:ascii="Times New Roman" w:hAnsi="Times New Roman" w:cs="Times New Roman"/>
          <w:sz w:val="24"/>
          <w:szCs w:val="24"/>
        </w:rPr>
      </w:pPr>
      <w:r w:rsidRPr="002C799E">
        <w:rPr>
          <w:rFonts w:ascii="Times New Roman" w:hAnsi="Times New Roman" w:cs="Times New Roman"/>
          <w:sz w:val="24"/>
          <w:szCs w:val="24"/>
        </w:rPr>
        <w:t>The distribution "Monetary Execution of Infosys ltd" was composed by Chandru and Delivered by IJCRT in 2022</w:t>
      </w:r>
    </w:p>
    <w:p w:rsidR="00074C85" w:rsidRPr="002C799E" w:rsidRDefault="00074C85" w:rsidP="00294566">
      <w:pPr>
        <w:spacing w:line="360" w:lineRule="auto"/>
        <w:ind w:left="720" w:hanging="720"/>
        <w:jc w:val="both"/>
        <w:rPr>
          <w:rFonts w:ascii="Times New Roman" w:hAnsi="Times New Roman" w:cs="Times New Roman"/>
          <w:b/>
          <w:sz w:val="28"/>
          <w:szCs w:val="28"/>
        </w:rPr>
      </w:pPr>
      <w:r w:rsidRPr="002C799E">
        <w:rPr>
          <w:rFonts w:ascii="Times New Roman" w:hAnsi="Times New Roman" w:cs="Times New Roman"/>
          <w:b/>
          <w:sz w:val="28"/>
          <w:szCs w:val="28"/>
        </w:rPr>
        <w:t>WEBSITE REFFERED</w:t>
      </w:r>
    </w:p>
    <w:p w:rsidR="00074C85" w:rsidRPr="002C799E" w:rsidRDefault="00074C85" w:rsidP="002C799E">
      <w:pPr>
        <w:pStyle w:val="ListParagraph"/>
        <w:numPr>
          <w:ilvl w:val="0"/>
          <w:numId w:val="5"/>
        </w:numPr>
        <w:spacing w:line="360" w:lineRule="auto"/>
        <w:jc w:val="both"/>
        <w:rPr>
          <w:rFonts w:ascii="Times New Roman" w:hAnsi="Times New Roman" w:cs="Times New Roman"/>
          <w:sz w:val="28"/>
          <w:szCs w:val="28"/>
        </w:rPr>
      </w:pPr>
      <w:r w:rsidRPr="002C799E">
        <w:rPr>
          <w:rFonts w:ascii="Times New Roman" w:hAnsi="Times New Roman" w:cs="Times New Roman"/>
          <w:sz w:val="28"/>
          <w:szCs w:val="28"/>
        </w:rPr>
        <w:t xml:space="preserve">www.indospanishtastyfood.com </w:t>
      </w:r>
    </w:p>
    <w:p w:rsidR="00074C85" w:rsidRPr="002C799E" w:rsidRDefault="00074C85" w:rsidP="002C799E">
      <w:pPr>
        <w:pStyle w:val="ListParagraph"/>
        <w:numPr>
          <w:ilvl w:val="0"/>
          <w:numId w:val="5"/>
        </w:numPr>
        <w:spacing w:line="360" w:lineRule="auto"/>
        <w:jc w:val="both"/>
        <w:rPr>
          <w:rFonts w:ascii="Times New Roman" w:hAnsi="Times New Roman" w:cs="Times New Roman"/>
          <w:sz w:val="28"/>
          <w:szCs w:val="28"/>
        </w:rPr>
      </w:pPr>
      <w:r w:rsidRPr="002C799E">
        <w:rPr>
          <w:rFonts w:ascii="Times New Roman" w:hAnsi="Times New Roman" w:cs="Times New Roman"/>
          <w:sz w:val="28"/>
          <w:szCs w:val="28"/>
        </w:rPr>
        <w:t xml:space="preserve">www.ibef.org </w:t>
      </w:r>
    </w:p>
    <w:p w:rsidR="00074C85" w:rsidRPr="002C799E" w:rsidRDefault="00074C85" w:rsidP="002C799E">
      <w:pPr>
        <w:pStyle w:val="ListParagraph"/>
        <w:numPr>
          <w:ilvl w:val="0"/>
          <w:numId w:val="5"/>
        </w:numPr>
        <w:spacing w:line="360" w:lineRule="auto"/>
        <w:jc w:val="both"/>
        <w:rPr>
          <w:rFonts w:ascii="Times New Roman" w:hAnsi="Times New Roman" w:cs="Times New Roman"/>
          <w:sz w:val="28"/>
          <w:szCs w:val="28"/>
        </w:rPr>
      </w:pPr>
      <w:r w:rsidRPr="002C799E">
        <w:rPr>
          <w:rFonts w:ascii="Times New Roman" w:hAnsi="Times New Roman" w:cs="Times New Roman"/>
          <w:sz w:val="28"/>
          <w:szCs w:val="28"/>
        </w:rPr>
        <w:t xml:space="preserve">https://zendy.io </w:t>
      </w:r>
    </w:p>
    <w:p w:rsidR="00074C85" w:rsidRPr="00294566" w:rsidRDefault="00074C85" w:rsidP="00294566">
      <w:pPr>
        <w:spacing w:line="360" w:lineRule="auto"/>
        <w:ind w:left="720" w:hanging="720"/>
        <w:jc w:val="both"/>
        <w:rPr>
          <w:rFonts w:ascii="Times New Roman" w:hAnsi="Times New Roman" w:cs="Times New Roman"/>
          <w:sz w:val="28"/>
          <w:szCs w:val="28"/>
        </w:rPr>
      </w:pPr>
    </w:p>
    <w:sectPr w:rsidR="00074C85" w:rsidRPr="00294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D597D"/>
    <w:multiLevelType w:val="hybridMultilevel"/>
    <w:tmpl w:val="C43E0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FEA22F2"/>
    <w:multiLevelType w:val="hybridMultilevel"/>
    <w:tmpl w:val="B6B605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446C14F9"/>
    <w:multiLevelType w:val="hybridMultilevel"/>
    <w:tmpl w:val="9850CA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71C55F56"/>
    <w:multiLevelType w:val="hybridMultilevel"/>
    <w:tmpl w:val="68864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E06110"/>
    <w:multiLevelType w:val="hybridMultilevel"/>
    <w:tmpl w:val="DEC4A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C76"/>
    <w:rsid w:val="00074C85"/>
    <w:rsid w:val="00232845"/>
    <w:rsid w:val="002765FA"/>
    <w:rsid w:val="00294566"/>
    <w:rsid w:val="002B4FB6"/>
    <w:rsid w:val="002C799E"/>
    <w:rsid w:val="003D6772"/>
    <w:rsid w:val="004C6AF6"/>
    <w:rsid w:val="006037BD"/>
    <w:rsid w:val="00917D0D"/>
    <w:rsid w:val="00927B17"/>
    <w:rsid w:val="00A13C17"/>
    <w:rsid w:val="00A27A24"/>
    <w:rsid w:val="00D2309F"/>
    <w:rsid w:val="00E04C76"/>
    <w:rsid w:val="00FA0488"/>
    <w:rsid w:val="00FD27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94566"/>
    <w:rPr>
      <w:color w:val="0000FF" w:themeColor="hyperlink"/>
      <w:u w:val="single"/>
    </w:rPr>
  </w:style>
  <w:style w:type="paragraph" w:styleId="ListParagraph">
    <w:name w:val="List Paragraph"/>
    <w:basedOn w:val="Normal"/>
    <w:uiPriority w:val="34"/>
    <w:qFormat/>
    <w:rsid w:val="00FD27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94566"/>
    <w:rPr>
      <w:color w:val="0000FF" w:themeColor="hyperlink"/>
      <w:u w:val="single"/>
    </w:rPr>
  </w:style>
  <w:style w:type="paragraph" w:styleId="ListParagraph">
    <w:name w:val="List Paragraph"/>
    <w:basedOn w:val="Normal"/>
    <w:uiPriority w:val="34"/>
    <w:qFormat/>
    <w:rsid w:val="00FD2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ijayalakshmisviji3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thap.b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gfgc</dc:creator>
  <cp:lastModifiedBy>gfgc</cp:lastModifiedBy>
  <cp:revision>2</cp:revision>
  <dcterms:created xsi:type="dcterms:W3CDTF">2024-07-02T15:14:00Z</dcterms:created>
  <dcterms:modified xsi:type="dcterms:W3CDTF">2024-07-02T15:14:00Z</dcterms:modified>
</cp:coreProperties>
</file>