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564" w:rsidRDefault="000E5A15" w:rsidP="004A0564">
      <w:pPr>
        <w:jc w:val="center"/>
        <w:rPr>
          <w:rFonts w:ascii="Times New Roman" w:hAnsi="Times New Roman" w:cs="Times New Roman"/>
          <w:b/>
          <w:sz w:val="24"/>
          <w:szCs w:val="24"/>
        </w:rPr>
      </w:pPr>
      <w:r w:rsidRPr="004A0564">
        <w:rPr>
          <w:rFonts w:ascii="Times New Roman" w:hAnsi="Times New Roman" w:cs="Times New Roman"/>
          <w:b/>
          <w:sz w:val="24"/>
          <w:szCs w:val="24"/>
        </w:rPr>
        <w:t>EFFECT OF MOMORDICA CHARANTIA ON VISCERAL ORGANS WEIGHT</w:t>
      </w:r>
      <w:r w:rsidR="00246EE1">
        <w:rPr>
          <w:rFonts w:ascii="Times New Roman" w:hAnsi="Times New Roman" w:cs="Times New Roman"/>
          <w:b/>
          <w:sz w:val="24"/>
          <w:szCs w:val="24"/>
        </w:rPr>
        <w:t>, SERUM BIOCHEMISTRY</w:t>
      </w:r>
      <w:r w:rsidRPr="004A0564">
        <w:rPr>
          <w:rFonts w:ascii="Times New Roman" w:hAnsi="Times New Roman" w:cs="Times New Roman"/>
          <w:b/>
          <w:sz w:val="24"/>
          <w:szCs w:val="24"/>
        </w:rPr>
        <w:t xml:space="preserve"> AND </w:t>
      </w:r>
      <w:r w:rsidR="004705E1">
        <w:rPr>
          <w:rFonts w:ascii="Times New Roman" w:hAnsi="Times New Roman" w:cs="Times New Roman"/>
          <w:b/>
          <w:sz w:val="24"/>
          <w:szCs w:val="24"/>
        </w:rPr>
        <w:t xml:space="preserve">LIVER </w:t>
      </w:r>
      <w:r w:rsidRPr="004A0564">
        <w:rPr>
          <w:rFonts w:ascii="Times New Roman" w:hAnsi="Times New Roman" w:cs="Times New Roman"/>
          <w:b/>
          <w:sz w:val="24"/>
          <w:szCs w:val="24"/>
        </w:rPr>
        <w:t>HISTO-MOPHOMETRICS OF MONOSO</w:t>
      </w:r>
      <w:r w:rsidR="004A0564" w:rsidRPr="004A0564">
        <w:rPr>
          <w:rFonts w:ascii="Times New Roman" w:hAnsi="Times New Roman" w:cs="Times New Roman"/>
          <w:b/>
          <w:sz w:val="24"/>
          <w:szCs w:val="24"/>
        </w:rPr>
        <w:t>DIUM GLUTAMATE DIABETES INDUCED</w:t>
      </w:r>
      <w:r w:rsidRPr="004A0564">
        <w:rPr>
          <w:rFonts w:ascii="Times New Roman" w:hAnsi="Times New Roman" w:cs="Times New Roman"/>
          <w:b/>
          <w:sz w:val="24"/>
          <w:szCs w:val="24"/>
        </w:rPr>
        <w:t xml:space="preserve"> GUINEA PIGS</w:t>
      </w:r>
    </w:p>
    <w:p w:rsidR="004A0564" w:rsidRPr="004A0564" w:rsidRDefault="00845464" w:rsidP="00845464">
      <w:pPr>
        <w:jc w:val="center"/>
        <w:rPr>
          <w:rFonts w:ascii="Times New Roman" w:hAnsi="Times New Roman" w:cs="Times New Roman"/>
          <w:sz w:val="24"/>
          <w:szCs w:val="24"/>
        </w:rPr>
      </w:pPr>
      <w:r>
        <w:rPr>
          <w:rFonts w:ascii="Times New Roman" w:hAnsi="Times New Roman" w:cs="Times New Roman"/>
          <w:sz w:val="24"/>
          <w:szCs w:val="24"/>
        </w:rPr>
        <w:t xml:space="preserve">Yahaya, M.A., Salisu, U.S., </w:t>
      </w:r>
      <w:r w:rsidR="00BA54F7">
        <w:rPr>
          <w:rFonts w:ascii="Times New Roman" w:hAnsi="Times New Roman" w:cs="Times New Roman"/>
          <w:sz w:val="24"/>
          <w:szCs w:val="24"/>
          <w:vertAlign w:val="superscript"/>
        </w:rPr>
        <w:t>*</w:t>
      </w:r>
      <w:r>
        <w:rPr>
          <w:rFonts w:ascii="Times New Roman" w:hAnsi="Times New Roman" w:cs="Times New Roman"/>
          <w:sz w:val="24"/>
          <w:szCs w:val="24"/>
        </w:rPr>
        <w:t>Gaddafi, S and Garba, M.G.</w:t>
      </w:r>
    </w:p>
    <w:p w:rsidR="004A0564" w:rsidRPr="00BA54F7" w:rsidRDefault="00DD1620" w:rsidP="00BA54F7">
      <w:pPr>
        <w:spacing w:after="0" w:line="240" w:lineRule="auto"/>
        <w:rPr>
          <w:rFonts w:ascii="Times New Roman" w:hAnsi="Times New Roman" w:cs="Times New Roman"/>
          <w:sz w:val="24"/>
          <w:szCs w:val="24"/>
        </w:rPr>
      </w:pPr>
      <w:r w:rsidRPr="00BA54F7">
        <w:rPr>
          <w:rFonts w:ascii="Times New Roman" w:hAnsi="Times New Roman" w:cs="Times New Roman"/>
          <w:sz w:val="24"/>
          <w:szCs w:val="24"/>
        </w:rPr>
        <w:t>Department of Animal Science, Federal University Dutsin-Ma, Katsina State, Nigeria</w:t>
      </w:r>
    </w:p>
    <w:p w:rsidR="00BA54F7" w:rsidRPr="00BA54F7" w:rsidRDefault="00BA54F7" w:rsidP="00BA54F7">
      <w:pPr>
        <w:spacing w:after="0" w:line="240" w:lineRule="auto"/>
        <w:jc w:val="center"/>
        <w:rPr>
          <w:rFonts w:ascii="Times New Roman" w:hAnsi="Times New Roman" w:cs="Times New Roman"/>
          <w:sz w:val="24"/>
          <w:szCs w:val="24"/>
        </w:rPr>
      </w:pPr>
      <w:r w:rsidRPr="00BA54F7">
        <w:rPr>
          <w:rFonts w:ascii="Times New Roman" w:hAnsi="Times New Roman" w:cs="Times New Roman"/>
          <w:sz w:val="24"/>
          <w:szCs w:val="24"/>
        </w:rPr>
        <w:t>*Correspondent Author Phone Number: +2347067212353; Email: sanigaddafi4@gmail.com</w:t>
      </w:r>
    </w:p>
    <w:p w:rsidR="00DD1620" w:rsidRPr="00BA54F7" w:rsidRDefault="00DD1620" w:rsidP="00BA54F7">
      <w:pPr>
        <w:spacing w:after="0" w:line="240" w:lineRule="auto"/>
        <w:rPr>
          <w:rFonts w:ascii="Times New Roman" w:hAnsi="Times New Roman" w:cs="Times New Roman"/>
          <w:sz w:val="24"/>
          <w:szCs w:val="24"/>
        </w:rPr>
      </w:pPr>
    </w:p>
    <w:p w:rsidR="004A0564" w:rsidRDefault="004A0564" w:rsidP="004A0564">
      <w:pPr>
        <w:rPr>
          <w:rFonts w:ascii="Times New Roman" w:hAnsi="Times New Roman" w:cs="Times New Roman"/>
          <w:sz w:val="24"/>
          <w:szCs w:val="24"/>
        </w:rPr>
      </w:pPr>
    </w:p>
    <w:p w:rsidR="00387764" w:rsidRPr="006A6D88" w:rsidRDefault="00845464" w:rsidP="006A6D88">
      <w:pPr>
        <w:tabs>
          <w:tab w:val="left" w:pos="3099"/>
        </w:tabs>
        <w:jc w:val="both"/>
        <w:rPr>
          <w:rFonts w:ascii="Times New Roman" w:hAnsi="Times New Roman" w:cs="Times New Roman"/>
          <w:b/>
          <w:sz w:val="24"/>
          <w:szCs w:val="24"/>
        </w:rPr>
      </w:pPr>
      <w:r w:rsidRPr="006A6D88">
        <w:rPr>
          <w:rFonts w:ascii="Times New Roman" w:hAnsi="Times New Roman" w:cs="Times New Roman"/>
          <w:b/>
          <w:sz w:val="24"/>
          <w:szCs w:val="24"/>
        </w:rPr>
        <w:t>Abstract</w:t>
      </w:r>
    </w:p>
    <w:p w:rsidR="006A6D88" w:rsidRDefault="00845464"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This</w:t>
      </w:r>
      <w:r w:rsidR="00DD1620">
        <w:rPr>
          <w:rFonts w:ascii="Times New Roman" w:hAnsi="Times New Roman" w:cs="Times New Roman"/>
          <w:sz w:val="24"/>
          <w:szCs w:val="24"/>
        </w:rPr>
        <w:t xml:space="preserve"> </w:t>
      </w:r>
      <w:r w:rsidR="006623A8">
        <w:rPr>
          <w:rFonts w:ascii="Times New Roman" w:hAnsi="Times New Roman" w:cs="Times New Roman"/>
          <w:sz w:val="24"/>
          <w:szCs w:val="24"/>
        </w:rPr>
        <w:t xml:space="preserve">study was designed to evaluate the effect of </w:t>
      </w:r>
      <w:r w:rsidR="002271AC">
        <w:rPr>
          <w:rFonts w:ascii="Times New Roman" w:hAnsi="Times New Roman" w:cs="Times New Roman"/>
          <w:i/>
          <w:sz w:val="24"/>
          <w:szCs w:val="24"/>
        </w:rPr>
        <w:t>M</w:t>
      </w:r>
      <w:r w:rsidR="006623A8" w:rsidRPr="002271AC">
        <w:rPr>
          <w:rFonts w:ascii="Times New Roman" w:hAnsi="Times New Roman" w:cs="Times New Roman"/>
          <w:i/>
          <w:sz w:val="24"/>
          <w:szCs w:val="24"/>
        </w:rPr>
        <w:t xml:space="preserve">omordica charantia </w:t>
      </w:r>
      <w:r w:rsidR="006623A8">
        <w:rPr>
          <w:rFonts w:ascii="Times New Roman" w:hAnsi="Times New Roman" w:cs="Times New Roman"/>
          <w:sz w:val="24"/>
          <w:szCs w:val="24"/>
        </w:rPr>
        <w:t>on visceral organ weight, serum biochemistry and liver tissue histo-morphometric of monosodium glutamate induced guinea pigs.</w:t>
      </w:r>
      <w:r w:rsidR="0047063E">
        <w:rPr>
          <w:rFonts w:ascii="Times New Roman" w:hAnsi="Times New Roman" w:cs="Times New Roman"/>
          <w:sz w:val="24"/>
          <w:szCs w:val="24"/>
        </w:rPr>
        <w:t xml:space="preserve"> A total of twenty four (24) apparently healthy guinea pigs were randomly allotted into four treatment consist of 0g. 0.50g, 1</w:t>
      </w:r>
      <w:r w:rsidR="002271AC">
        <w:rPr>
          <w:rFonts w:ascii="Times New Roman" w:hAnsi="Times New Roman" w:cs="Times New Roman"/>
          <w:sz w:val="24"/>
          <w:szCs w:val="24"/>
        </w:rPr>
        <w:t xml:space="preserve">g and 1.5g/ kg diet of </w:t>
      </w:r>
      <w:r w:rsidR="002271AC" w:rsidRPr="002271AC">
        <w:rPr>
          <w:rFonts w:ascii="Times New Roman" w:hAnsi="Times New Roman" w:cs="Times New Roman"/>
          <w:i/>
          <w:sz w:val="24"/>
          <w:szCs w:val="24"/>
        </w:rPr>
        <w:t>M.</w:t>
      </w:r>
      <w:r w:rsidR="0047063E">
        <w:rPr>
          <w:rFonts w:ascii="Times New Roman" w:hAnsi="Times New Roman" w:cs="Times New Roman"/>
          <w:sz w:val="24"/>
          <w:szCs w:val="24"/>
        </w:rPr>
        <w:t xml:space="preserve"> charantia guinea after 5 days monosodium glutamate administration.</w:t>
      </w:r>
      <w:r w:rsidR="00640940">
        <w:rPr>
          <w:rFonts w:ascii="Times New Roman" w:hAnsi="Times New Roman" w:cs="Times New Roman"/>
          <w:sz w:val="24"/>
          <w:szCs w:val="24"/>
        </w:rPr>
        <w:t xml:space="preserve"> The result </w:t>
      </w:r>
      <w:r w:rsidR="00711372">
        <w:rPr>
          <w:rFonts w:ascii="Times New Roman" w:hAnsi="Times New Roman" w:cs="Times New Roman"/>
          <w:sz w:val="24"/>
          <w:szCs w:val="24"/>
        </w:rPr>
        <w:t>were analyzed using analysis of variance (ANOVA) and separated using Duncan multiple range test of Genstat statistical software.</w:t>
      </w:r>
      <w:r w:rsidR="0097650D">
        <w:rPr>
          <w:rFonts w:ascii="Times New Roman" w:hAnsi="Times New Roman" w:cs="Times New Roman"/>
          <w:sz w:val="24"/>
          <w:szCs w:val="24"/>
        </w:rPr>
        <w:t xml:space="preserve"> </w:t>
      </w:r>
      <w:r w:rsidR="00CB6F2D">
        <w:rPr>
          <w:rFonts w:ascii="Times New Roman" w:hAnsi="Times New Roman" w:cs="Times New Roman"/>
          <w:sz w:val="24"/>
          <w:szCs w:val="24"/>
        </w:rPr>
        <w:t xml:space="preserve">The result showed </w:t>
      </w:r>
      <w:r w:rsidR="002271AC">
        <w:rPr>
          <w:rFonts w:ascii="Times New Roman" w:hAnsi="Times New Roman" w:cs="Times New Roman"/>
          <w:sz w:val="24"/>
          <w:szCs w:val="24"/>
        </w:rPr>
        <w:t xml:space="preserve">that </w:t>
      </w:r>
      <w:r w:rsidR="002271AC" w:rsidRPr="002271AC">
        <w:rPr>
          <w:rFonts w:ascii="Times New Roman" w:hAnsi="Times New Roman" w:cs="Times New Roman"/>
          <w:i/>
          <w:sz w:val="24"/>
          <w:szCs w:val="24"/>
        </w:rPr>
        <w:t>M</w:t>
      </w:r>
      <w:r w:rsidR="00DD41CD" w:rsidRPr="002271AC">
        <w:rPr>
          <w:rFonts w:ascii="Times New Roman" w:hAnsi="Times New Roman" w:cs="Times New Roman"/>
          <w:i/>
          <w:sz w:val="24"/>
          <w:szCs w:val="24"/>
        </w:rPr>
        <w:t xml:space="preserve"> charantia</w:t>
      </w:r>
      <w:r w:rsidR="00DD41CD">
        <w:rPr>
          <w:rFonts w:ascii="Times New Roman" w:hAnsi="Times New Roman" w:cs="Times New Roman"/>
          <w:sz w:val="24"/>
          <w:szCs w:val="24"/>
        </w:rPr>
        <w:t xml:space="preserve"> supplementation had significantly (P&lt;0.05) influenced liver and spleen weight while no significant (P&gt;0.05) changes were noticed in kidney, heart and bile weight. </w:t>
      </w:r>
      <w:r w:rsidR="0097650D">
        <w:rPr>
          <w:rFonts w:ascii="Times New Roman" w:hAnsi="Times New Roman" w:cs="Times New Roman"/>
          <w:sz w:val="24"/>
          <w:szCs w:val="24"/>
        </w:rPr>
        <w:t xml:space="preserve">The result revealed that </w:t>
      </w:r>
      <w:r w:rsidR="00CB6F2D">
        <w:rPr>
          <w:rFonts w:ascii="Times New Roman" w:hAnsi="Times New Roman" w:cs="Times New Roman"/>
          <w:sz w:val="24"/>
          <w:szCs w:val="24"/>
        </w:rPr>
        <w:t>there significant (P&lt;0.05) differences in alkaline phosphatase with the highest value in T4.</w:t>
      </w:r>
      <w:r w:rsidR="00D657B4">
        <w:rPr>
          <w:rFonts w:ascii="Times New Roman" w:hAnsi="Times New Roman" w:cs="Times New Roman"/>
          <w:sz w:val="24"/>
          <w:szCs w:val="24"/>
        </w:rPr>
        <w:t xml:space="preserve"> Histologically,</w:t>
      </w:r>
      <w:r w:rsidR="00CB6F2D">
        <w:rPr>
          <w:rFonts w:ascii="Times New Roman" w:hAnsi="Times New Roman" w:cs="Times New Roman"/>
          <w:sz w:val="24"/>
          <w:szCs w:val="24"/>
        </w:rPr>
        <w:t xml:space="preserve"> </w:t>
      </w:r>
      <w:r w:rsidR="00FF1238" w:rsidRPr="00FF1238">
        <w:rPr>
          <w:rFonts w:ascii="Times New Roman" w:hAnsi="Times New Roman" w:cs="Times New Roman"/>
          <w:i/>
          <w:sz w:val="24"/>
          <w:szCs w:val="24"/>
        </w:rPr>
        <w:t xml:space="preserve">M. charantia </w:t>
      </w:r>
      <w:r w:rsidR="00FF1238">
        <w:rPr>
          <w:rFonts w:ascii="Times New Roman" w:hAnsi="Times New Roman" w:cs="Times New Roman"/>
          <w:sz w:val="24"/>
          <w:szCs w:val="24"/>
        </w:rPr>
        <w:t>had a profound</w:t>
      </w:r>
      <w:r w:rsidR="00D657B4">
        <w:rPr>
          <w:rFonts w:ascii="Times New Roman" w:hAnsi="Times New Roman" w:cs="Times New Roman"/>
          <w:sz w:val="24"/>
          <w:szCs w:val="24"/>
        </w:rPr>
        <w:t xml:space="preserve"> effect </w:t>
      </w:r>
      <w:r w:rsidR="00FF1238">
        <w:rPr>
          <w:rFonts w:ascii="Times New Roman" w:hAnsi="Times New Roman" w:cs="Times New Roman"/>
          <w:sz w:val="24"/>
          <w:szCs w:val="24"/>
        </w:rPr>
        <w:t>on hepatocytes, hepato</w:t>
      </w:r>
      <w:r w:rsidR="00D657B4">
        <w:rPr>
          <w:rFonts w:ascii="Times New Roman" w:hAnsi="Times New Roman" w:cs="Times New Roman"/>
          <w:sz w:val="24"/>
          <w:szCs w:val="24"/>
        </w:rPr>
        <w:t>cytes</w:t>
      </w:r>
      <w:r w:rsidR="00FF1238">
        <w:rPr>
          <w:rFonts w:ascii="Times New Roman" w:hAnsi="Times New Roman" w:cs="Times New Roman"/>
          <w:sz w:val="24"/>
          <w:szCs w:val="24"/>
        </w:rPr>
        <w:t xml:space="preserve"> height, cholangiocytes, Kupffer`s cells, stellate cells, endocthelial cells and bile canaliculi. It was concluded that supplementation of </w:t>
      </w:r>
      <w:r w:rsidR="00FF1238" w:rsidRPr="00FF1238">
        <w:rPr>
          <w:rFonts w:ascii="Times New Roman" w:hAnsi="Times New Roman" w:cs="Times New Roman"/>
          <w:i/>
          <w:sz w:val="24"/>
          <w:szCs w:val="24"/>
        </w:rPr>
        <w:t>M. charantia</w:t>
      </w:r>
      <w:r w:rsidR="00FF1238">
        <w:rPr>
          <w:rFonts w:ascii="Times New Roman" w:hAnsi="Times New Roman" w:cs="Times New Roman"/>
          <w:sz w:val="24"/>
          <w:szCs w:val="24"/>
        </w:rPr>
        <w:t xml:space="preserve"> on monosodium glutamate diabetic induced guinea pigs had influence in reducing the damaging effect visceral, modulate the serum biochemical profile and play integral role in increasing liver cells and other hepatic tissue cells. It is therefore, recommended that inclusion of 1g/kg diet of </w:t>
      </w:r>
      <w:r w:rsidR="00FF1238">
        <w:rPr>
          <w:rFonts w:ascii="Times New Roman" w:hAnsi="Times New Roman" w:cs="Times New Roman"/>
          <w:i/>
          <w:sz w:val="24"/>
          <w:szCs w:val="24"/>
        </w:rPr>
        <w:t xml:space="preserve">M. charantia </w:t>
      </w:r>
      <w:r w:rsidR="00FF1238">
        <w:rPr>
          <w:rFonts w:ascii="Times New Roman" w:hAnsi="Times New Roman" w:cs="Times New Roman"/>
          <w:sz w:val="24"/>
          <w:szCs w:val="24"/>
        </w:rPr>
        <w:t xml:space="preserve">is safe and can be used to improve visceral organs weight, serum biochemistry and hepatic histological morphology. </w:t>
      </w:r>
    </w:p>
    <w:p w:rsidR="00CB236C" w:rsidRPr="006A6D88" w:rsidRDefault="00CB236C" w:rsidP="00845464">
      <w:pPr>
        <w:tabs>
          <w:tab w:val="left" w:pos="3099"/>
        </w:tabs>
        <w:jc w:val="both"/>
        <w:rPr>
          <w:rFonts w:ascii="Times New Roman" w:hAnsi="Times New Roman" w:cs="Times New Roman"/>
          <w:b/>
          <w:sz w:val="24"/>
          <w:szCs w:val="24"/>
        </w:rPr>
      </w:pPr>
      <w:r w:rsidRPr="006A6D88">
        <w:rPr>
          <w:rFonts w:ascii="Times New Roman" w:hAnsi="Times New Roman" w:cs="Times New Roman"/>
          <w:b/>
          <w:sz w:val="24"/>
          <w:szCs w:val="24"/>
        </w:rPr>
        <w:t>Introduction</w:t>
      </w:r>
    </w:p>
    <w:p w:rsidR="00CB236C" w:rsidRDefault="00CB236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Diabetes is a chronic health with devastating, yet preventable consequences. It is characterized by high blood glucose levels resulting from defects in insulin production,</w:t>
      </w:r>
      <w:r w:rsidR="009928A7">
        <w:rPr>
          <w:rFonts w:ascii="Times New Roman" w:hAnsi="Times New Roman" w:cs="Times New Roman"/>
          <w:sz w:val="24"/>
          <w:szCs w:val="24"/>
        </w:rPr>
        <w:t xml:space="preserve"> insulin action or both (</w:t>
      </w:r>
      <w:r w:rsidR="00E07BED">
        <w:rPr>
          <w:rFonts w:ascii="Times New Roman" w:hAnsi="Times New Roman" w:cs="Times New Roman"/>
          <w:sz w:val="24"/>
          <w:szCs w:val="24"/>
        </w:rPr>
        <w:t>Langford et al., 2007</w:t>
      </w:r>
      <w:r>
        <w:rPr>
          <w:rFonts w:ascii="Times New Roman" w:hAnsi="Times New Roman" w:cs="Times New Roman"/>
          <w:sz w:val="24"/>
          <w:szCs w:val="24"/>
        </w:rPr>
        <w:t>).</w:t>
      </w:r>
      <w:r w:rsidR="0008091B">
        <w:rPr>
          <w:rFonts w:ascii="Times New Roman" w:hAnsi="Times New Roman" w:cs="Times New Roman"/>
          <w:sz w:val="24"/>
          <w:szCs w:val="24"/>
        </w:rPr>
        <w:t xml:space="preserve"> Sodium glutamate, also known as monosodium glutamate, is a flavor enhancer that is widely used in the food industry to improve the taste of various dishes. However, its excessive consumption has been associated with adverse health effects, including metabolic disturbances. Experimental studies in animal models, such as rabbits, have revealed a link between sodium glutamate intake and the development of hyperglycemia, insulin resistance, and disturbance in glucose metabolism (Xiong </w:t>
      </w:r>
      <w:r w:rsidR="0008091B" w:rsidRPr="00250A18">
        <w:rPr>
          <w:rFonts w:ascii="Times New Roman" w:hAnsi="Times New Roman" w:cs="Times New Roman"/>
          <w:i/>
          <w:sz w:val="24"/>
          <w:szCs w:val="24"/>
        </w:rPr>
        <w:t>et al.,</w:t>
      </w:r>
      <w:r w:rsidR="0008091B">
        <w:rPr>
          <w:rFonts w:ascii="Times New Roman" w:hAnsi="Times New Roman" w:cs="Times New Roman"/>
          <w:sz w:val="24"/>
          <w:szCs w:val="24"/>
        </w:rPr>
        <w:t xml:space="preserve"> 2009). Beside its flavor enhancing effects monosodium glutamate has been linked with obesity, metabolic disorders, Chinese restaurant syndrome, neurotoxic effects and detrimental effects on the reproductive organs (Kamal</w:t>
      </w:r>
      <w:r w:rsidR="0008091B" w:rsidRPr="00210B1C">
        <w:rPr>
          <w:rFonts w:ascii="Times New Roman" w:hAnsi="Times New Roman" w:cs="Times New Roman"/>
          <w:i/>
          <w:sz w:val="24"/>
          <w:szCs w:val="24"/>
        </w:rPr>
        <w:t xml:space="preserve"> et al.,</w:t>
      </w:r>
      <w:r w:rsidR="0008091B">
        <w:rPr>
          <w:rFonts w:ascii="Times New Roman" w:hAnsi="Times New Roman" w:cs="Times New Roman"/>
          <w:sz w:val="24"/>
          <w:szCs w:val="24"/>
        </w:rPr>
        <w:t xml:space="preserve"> 2018). Results from both animal and human studies have demonstrated that administration of even the lowest dose of monosodium glutama</w:t>
      </w:r>
      <w:r w:rsidR="0052348F">
        <w:rPr>
          <w:rFonts w:ascii="Times New Roman" w:hAnsi="Times New Roman" w:cs="Times New Roman"/>
          <w:sz w:val="24"/>
          <w:szCs w:val="24"/>
        </w:rPr>
        <w:t xml:space="preserve">te has toxic effects (Kamal </w:t>
      </w:r>
      <w:r w:rsidR="0052348F" w:rsidRPr="00250A18">
        <w:rPr>
          <w:rFonts w:ascii="Times New Roman" w:hAnsi="Times New Roman" w:cs="Times New Roman"/>
          <w:i/>
          <w:sz w:val="24"/>
          <w:szCs w:val="24"/>
        </w:rPr>
        <w:t xml:space="preserve">et al., </w:t>
      </w:r>
      <w:r w:rsidR="0052348F">
        <w:rPr>
          <w:rFonts w:ascii="Times New Roman" w:hAnsi="Times New Roman" w:cs="Times New Roman"/>
          <w:sz w:val="24"/>
          <w:szCs w:val="24"/>
        </w:rPr>
        <w:t>2018).</w:t>
      </w:r>
    </w:p>
    <w:p w:rsidR="00FA692B" w:rsidRDefault="00FA692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There is need to explore alternative methods of treatment of diabetic that are effective, cheaper and readily available for the populace considering the high rate of diabetics in the world today.</w:t>
      </w:r>
    </w:p>
    <w:p w:rsidR="0052348F" w:rsidRDefault="00B46576"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For the present study, </w:t>
      </w:r>
      <w:r w:rsidRPr="00B46576">
        <w:rPr>
          <w:rFonts w:ascii="Times New Roman" w:hAnsi="Times New Roman" w:cs="Times New Roman"/>
          <w:i/>
          <w:sz w:val="24"/>
          <w:szCs w:val="24"/>
        </w:rPr>
        <w:t>M.</w:t>
      </w:r>
      <w:r w:rsidR="0052348F" w:rsidRPr="00B46576">
        <w:rPr>
          <w:rFonts w:ascii="Times New Roman" w:hAnsi="Times New Roman" w:cs="Times New Roman"/>
          <w:i/>
          <w:sz w:val="24"/>
          <w:szCs w:val="24"/>
        </w:rPr>
        <w:t xml:space="preserve"> charantia (Ccurbitaceae)</w:t>
      </w:r>
      <w:r w:rsidR="0052348F">
        <w:rPr>
          <w:rFonts w:ascii="Times New Roman" w:hAnsi="Times New Roman" w:cs="Times New Roman"/>
          <w:sz w:val="24"/>
          <w:szCs w:val="24"/>
        </w:rPr>
        <w:t xml:space="preserve"> was chosen since it is the most greatly inspected and most widely acclaimed remedy for the management of diabetes since a</w:t>
      </w:r>
      <w:r>
        <w:rPr>
          <w:rFonts w:ascii="Times New Roman" w:hAnsi="Times New Roman" w:cs="Times New Roman"/>
          <w:sz w:val="24"/>
          <w:szCs w:val="24"/>
        </w:rPr>
        <w:t>n</w:t>
      </w:r>
      <w:r w:rsidR="0052348F">
        <w:rPr>
          <w:rFonts w:ascii="Times New Roman" w:hAnsi="Times New Roman" w:cs="Times New Roman"/>
          <w:sz w:val="24"/>
          <w:szCs w:val="24"/>
        </w:rPr>
        <w:t xml:space="preserve">cient times. </w:t>
      </w:r>
      <w:r w:rsidRPr="00B46576">
        <w:rPr>
          <w:rFonts w:ascii="Times New Roman" w:hAnsi="Times New Roman" w:cs="Times New Roman"/>
          <w:i/>
          <w:sz w:val="24"/>
          <w:szCs w:val="24"/>
        </w:rPr>
        <w:t xml:space="preserve">M. charantia </w:t>
      </w:r>
      <w:r w:rsidR="0052348F">
        <w:rPr>
          <w:rFonts w:ascii="Times New Roman" w:hAnsi="Times New Roman" w:cs="Times New Roman"/>
          <w:sz w:val="24"/>
          <w:szCs w:val="24"/>
        </w:rPr>
        <w:t>also referred to as bitter melon, bitter gourd or karela</w:t>
      </w:r>
      <w:r w:rsidR="00C8446D">
        <w:rPr>
          <w:rFonts w:ascii="Times New Roman" w:hAnsi="Times New Roman" w:cs="Times New Roman"/>
          <w:sz w:val="24"/>
          <w:szCs w:val="24"/>
        </w:rPr>
        <w:t xml:space="preserve"> (Behera </w:t>
      </w:r>
      <w:r w:rsidR="00C8446D" w:rsidRPr="00250A18">
        <w:rPr>
          <w:rFonts w:ascii="Times New Roman" w:hAnsi="Times New Roman" w:cs="Times New Roman"/>
          <w:i/>
          <w:sz w:val="24"/>
          <w:szCs w:val="24"/>
        </w:rPr>
        <w:t xml:space="preserve">et al., </w:t>
      </w:r>
      <w:r w:rsidR="00C8446D">
        <w:rPr>
          <w:rFonts w:ascii="Times New Roman" w:hAnsi="Times New Roman" w:cs="Times New Roman"/>
          <w:sz w:val="24"/>
          <w:szCs w:val="24"/>
        </w:rPr>
        <w:t xml:space="preserve">2008). Scientific research have proved the potential of </w:t>
      </w:r>
      <w:r w:rsidRPr="00B46576">
        <w:rPr>
          <w:rFonts w:ascii="Times New Roman" w:hAnsi="Times New Roman" w:cs="Times New Roman"/>
          <w:i/>
          <w:sz w:val="24"/>
          <w:szCs w:val="24"/>
        </w:rPr>
        <w:t xml:space="preserve">M. charantia </w:t>
      </w:r>
      <w:r w:rsidR="00C8446D">
        <w:rPr>
          <w:rFonts w:ascii="Times New Roman" w:hAnsi="Times New Roman" w:cs="Times New Roman"/>
          <w:sz w:val="24"/>
          <w:szCs w:val="24"/>
        </w:rPr>
        <w:t>has anti-diabetic effect due to the its insulin-like principle which is often being designated as plant insulin, which has positive effects</w:t>
      </w:r>
      <w:r w:rsidR="00557762">
        <w:rPr>
          <w:rFonts w:ascii="Times New Roman" w:hAnsi="Times New Roman" w:cs="Times New Roman"/>
          <w:sz w:val="24"/>
          <w:szCs w:val="24"/>
        </w:rPr>
        <w:t xml:space="preserve"> in lowering</w:t>
      </w:r>
      <w:r w:rsidR="003B5E6C">
        <w:rPr>
          <w:rFonts w:ascii="Times New Roman" w:hAnsi="Times New Roman" w:cs="Times New Roman"/>
          <w:sz w:val="24"/>
          <w:szCs w:val="24"/>
        </w:rPr>
        <w:t xml:space="preserve"> the blood and urine glucose con</w:t>
      </w:r>
      <w:r w:rsidR="00557762">
        <w:rPr>
          <w:rFonts w:ascii="Times New Roman" w:hAnsi="Times New Roman" w:cs="Times New Roman"/>
          <w:sz w:val="24"/>
          <w:szCs w:val="24"/>
        </w:rPr>
        <w:t xml:space="preserve">tent (Janagal </w:t>
      </w:r>
      <w:r w:rsidR="00557762" w:rsidRPr="00250A18">
        <w:rPr>
          <w:rFonts w:ascii="Times New Roman" w:hAnsi="Times New Roman" w:cs="Times New Roman"/>
          <w:i/>
          <w:sz w:val="24"/>
          <w:szCs w:val="24"/>
        </w:rPr>
        <w:t>et al.,</w:t>
      </w:r>
      <w:r w:rsidR="00557762">
        <w:rPr>
          <w:rFonts w:ascii="Times New Roman" w:hAnsi="Times New Roman" w:cs="Times New Roman"/>
          <w:sz w:val="24"/>
          <w:szCs w:val="24"/>
        </w:rPr>
        <w:t xml:space="preserve"> 2018).</w:t>
      </w:r>
    </w:p>
    <w:p w:rsidR="00B54703" w:rsidRDefault="00B54703"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Due to the insulin-like metabolites contained in </w:t>
      </w:r>
      <w:r w:rsidR="003B5E6C" w:rsidRPr="00B46576">
        <w:rPr>
          <w:rFonts w:ascii="Times New Roman" w:hAnsi="Times New Roman" w:cs="Times New Roman"/>
          <w:i/>
          <w:sz w:val="24"/>
          <w:szCs w:val="24"/>
        </w:rPr>
        <w:t>M. charantia</w:t>
      </w:r>
      <w:r>
        <w:rPr>
          <w:rFonts w:ascii="Times New Roman" w:hAnsi="Times New Roman" w:cs="Times New Roman"/>
          <w:sz w:val="24"/>
          <w:szCs w:val="24"/>
        </w:rPr>
        <w:t xml:space="preserve">, it was </w:t>
      </w:r>
      <w:r w:rsidR="003B5E6C">
        <w:rPr>
          <w:rFonts w:ascii="Times New Roman" w:hAnsi="Times New Roman" w:cs="Times New Roman"/>
          <w:sz w:val="24"/>
          <w:szCs w:val="24"/>
        </w:rPr>
        <w:t>believed</w:t>
      </w:r>
      <w:r>
        <w:rPr>
          <w:rFonts w:ascii="Times New Roman" w:hAnsi="Times New Roman" w:cs="Times New Roman"/>
          <w:sz w:val="24"/>
          <w:szCs w:val="24"/>
        </w:rPr>
        <w:t xml:space="preserve"> to have counteractive effect against the damaging effect of diabetics. Therefore, the objectives of this paper was to determine the effect of </w:t>
      </w:r>
      <w:r w:rsidR="003B5E6C" w:rsidRPr="00B46576">
        <w:rPr>
          <w:rFonts w:ascii="Times New Roman" w:hAnsi="Times New Roman" w:cs="Times New Roman"/>
          <w:i/>
          <w:sz w:val="24"/>
          <w:szCs w:val="24"/>
        </w:rPr>
        <w:t xml:space="preserve">M. charantia </w:t>
      </w:r>
      <w:r>
        <w:rPr>
          <w:rFonts w:ascii="Times New Roman" w:hAnsi="Times New Roman" w:cs="Times New Roman"/>
          <w:sz w:val="24"/>
          <w:szCs w:val="24"/>
        </w:rPr>
        <w:t>on monosodium glutamate induced diabetic guinea pigs on serum biochemistry, visceral organ weight and physical pathologies and liver histo-morphometric.</w:t>
      </w:r>
    </w:p>
    <w:p w:rsidR="00C1283F" w:rsidRPr="00250A18" w:rsidRDefault="00C1283F" w:rsidP="00845464">
      <w:pPr>
        <w:tabs>
          <w:tab w:val="left" w:pos="3099"/>
        </w:tabs>
        <w:jc w:val="both"/>
        <w:rPr>
          <w:rFonts w:ascii="Times New Roman" w:hAnsi="Times New Roman" w:cs="Times New Roman"/>
          <w:b/>
          <w:sz w:val="24"/>
          <w:szCs w:val="24"/>
        </w:rPr>
      </w:pPr>
      <w:r w:rsidRPr="00250A18">
        <w:rPr>
          <w:rFonts w:ascii="Times New Roman" w:hAnsi="Times New Roman" w:cs="Times New Roman"/>
          <w:b/>
          <w:sz w:val="24"/>
          <w:szCs w:val="24"/>
        </w:rPr>
        <w:t>Materials and methods</w:t>
      </w:r>
    </w:p>
    <w:p w:rsidR="000E19BC" w:rsidRDefault="00C1283F"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This study was carried out at Micro-livestock Unit of Prof. Lawal Abdu Saulawa Livestock Teaching and Research Farm, Department of Animal of Animal Science Federal University Dutsin-Ma Katsina State, Nigeria. The farm is situated in Latitude 11</w:t>
      </w:r>
      <w:r>
        <w:rPr>
          <w:rFonts w:ascii="Times New Roman" w:hAnsi="Times New Roman" w:cs="Times New Roman"/>
          <w:sz w:val="24"/>
          <w:szCs w:val="24"/>
          <w:vertAlign w:val="superscript"/>
        </w:rPr>
        <w:t>o</w:t>
      </w:r>
      <w:r>
        <w:rPr>
          <w:rFonts w:ascii="Times New Roman" w:hAnsi="Times New Roman" w:cs="Times New Roman"/>
          <w:sz w:val="24"/>
          <w:szCs w:val="24"/>
        </w:rPr>
        <w:t>22`N and Longitude 7</w:t>
      </w:r>
      <w:r>
        <w:rPr>
          <w:rFonts w:ascii="Times New Roman" w:hAnsi="Times New Roman" w:cs="Times New Roman"/>
          <w:sz w:val="24"/>
          <w:szCs w:val="24"/>
          <w:vertAlign w:val="superscript"/>
        </w:rPr>
        <w:t>o</w:t>
      </w:r>
      <w:r w:rsidR="00B558F4">
        <w:rPr>
          <w:rFonts w:ascii="Times New Roman" w:hAnsi="Times New Roman" w:cs="Times New Roman"/>
          <w:sz w:val="24"/>
          <w:szCs w:val="24"/>
        </w:rPr>
        <w:t>33`E in the Sudan Savannah ecological zone of Nigeria.</w:t>
      </w:r>
      <w:r>
        <w:rPr>
          <w:rFonts w:ascii="Times New Roman" w:hAnsi="Times New Roman" w:cs="Times New Roman"/>
          <w:sz w:val="24"/>
          <w:szCs w:val="24"/>
        </w:rPr>
        <w:t xml:space="preserve"> A total number of twenty four (24) guinea pigs were randomly allotted into four treatment groups consist of three replicate with two guinea pigs per replicate. The guinea pigs were induced with monosodium gluatamate orally via drinking water for a period of two weeks and suspended when their sugar level was high. Treatment 1 is the control without monosodium glutamate inducement while T2, T3 and T4 consist of</w:t>
      </w:r>
      <w:r w:rsidR="0097650D">
        <w:rPr>
          <w:rFonts w:ascii="Times New Roman" w:hAnsi="Times New Roman" w:cs="Times New Roman"/>
          <w:sz w:val="24"/>
          <w:szCs w:val="24"/>
        </w:rPr>
        <w:t xml:space="preserve"> 0.50g, 1</w:t>
      </w:r>
      <w:r w:rsidR="00E26DEA">
        <w:rPr>
          <w:rFonts w:ascii="Times New Roman" w:hAnsi="Times New Roman" w:cs="Times New Roman"/>
          <w:sz w:val="24"/>
          <w:szCs w:val="24"/>
        </w:rPr>
        <w:t xml:space="preserve"> and 1</w:t>
      </w:r>
      <w:r w:rsidR="0097650D">
        <w:rPr>
          <w:rFonts w:ascii="Times New Roman" w:hAnsi="Times New Roman" w:cs="Times New Roman"/>
          <w:sz w:val="24"/>
          <w:szCs w:val="24"/>
        </w:rPr>
        <w:t>.5</w:t>
      </w:r>
      <w:r w:rsidR="00E26DEA">
        <w:rPr>
          <w:rFonts w:ascii="Times New Roman" w:hAnsi="Times New Roman" w:cs="Times New Roman"/>
          <w:sz w:val="24"/>
          <w:szCs w:val="24"/>
        </w:rPr>
        <w:t xml:space="preserve">g/kg diet of </w:t>
      </w:r>
      <w:r w:rsidR="003F4AA6" w:rsidRPr="00B46576">
        <w:rPr>
          <w:rFonts w:ascii="Times New Roman" w:hAnsi="Times New Roman" w:cs="Times New Roman"/>
          <w:i/>
          <w:sz w:val="24"/>
          <w:szCs w:val="24"/>
        </w:rPr>
        <w:t xml:space="preserve">M. charantia </w:t>
      </w:r>
      <w:r w:rsidR="00E26DEA">
        <w:rPr>
          <w:rFonts w:ascii="Times New Roman" w:hAnsi="Times New Roman" w:cs="Times New Roman"/>
          <w:sz w:val="24"/>
          <w:szCs w:val="24"/>
        </w:rPr>
        <w:t>powder mixed thoroughly in the feed and fed to the guinea pigs for six weeks.</w:t>
      </w:r>
      <w:r w:rsidR="009C7C23">
        <w:rPr>
          <w:rFonts w:ascii="Times New Roman" w:hAnsi="Times New Roman" w:cs="Times New Roman"/>
          <w:sz w:val="24"/>
          <w:szCs w:val="24"/>
        </w:rPr>
        <w:t xml:space="preserve"> At the end of six weeks three guinea pigs one from each replicate were randomly selected for blood samples</w:t>
      </w:r>
      <w:r w:rsidR="005F7CE6">
        <w:rPr>
          <w:rFonts w:ascii="Times New Roman" w:hAnsi="Times New Roman" w:cs="Times New Roman"/>
          <w:sz w:val="24"/>
          <w:szCs w:val="24"/>
        </w:rPr>
        <w:t xml:space="preserve"> collection, </w:t>
      </w:r>
      <w:r w:rsidR="003F4AA6">
        <w:rPr>
          <w:rFonts w:ascii="Times New Roman" w:hAnsi="Times New Roman" w:cs="Times New Roman"/>
          <w:sz w:val="24"/>
          <w:szCs w:val="24"/>
        </w:rPr>
        <w:t>visceral</w:t>
      </w:r>
      <w:r w:rsidR="009C7C23">
        <w:rPr>
          <w:rFonts w:ascii="Times New Roman" w:hAnsi="Times New Roman" w:cs="Times New Roman"/>
          <w:sz w:val="24"/>
          <w:szCs w:val="24"/>
        </w:rPr>
        <w:t xml:space="preserve"> </w:t>
      </w:r>
      <w:r w:rsidR="005F7CE6">
        <w:rPr>
          <w:rFonts w:ascii="Times New Roman" w:hAnsi="Times New Roman" w:cs="Times New Roman"/>
          <w:sz w:val="24"/>
          <w:szCs w:val="24"/>
        </w:rPr>
        <w:t xml:space="preserve">organ and hepatic tissue histo-morphometeric determination. The data obtained were subjected to analysis of </w:t>
      </w:r>
      <w:r w:rsidR="003F4AA6">
        <w:rPr>
          <w:rFonts w:ascii="Times New Roman" w:hAnsi="Times New Roman" w:cs="Times New Roman"/>
          <w:sz w:val="24"/>
          <w:szCs w:val="24"/>
        </w:rPr>
        <w:t>variances</w:t>
      </w:r>
      <w:r w:rsidR="005F7CE6">
        <w:rPr>
          <w:rFonts w:ascii="Times New Roman" w:hAnsi="Times New Roman" w:cs="Times New Roman"/>
          <w:sz w:val="24"/>
          <w:szCs w:val="24"/>
        </w:rPr>
        <w:t xml:space="preserve"> (ANOVA) where treatment means were separated using Duncan Multiple Range Test of Genstat </w:t>
      </w:r>
      <w:r w:rsidR="003F4AA6">
        <w:rPr>
          <w:rFonts w:ascii="Times New Roman" w:hAnsi="Times New Roman" w:cs="Times New Roman"/>
          <w:sz w:val="24"/>
          <w:szCs w:val="24"/>
        </w:rPr>
        <w:t>Statistical</w:t>
      </w:r>
      <w:r w:rsidR="005F7CE6">
        <w:rPr>
          <w:rFonts w:ascii="Times New Roman" w:hAnsi="Times New Roman" w:cs="Times New Roman"/>
          <w:sz w:val="24"/>
          <w:szCs w:val="24"/>
        </w:rPr>
        <w:t xml:space="preserve"> Software.</w:t>
      </w:r>
    </w:p>
    <w:p w:rsidR="000E19BC" w:rsidRPr="003F4AA6" w:rsidRDefault="000E19BC" w:rsidP="00845464">
      <w:pPr>
        <w:tabs>
          <w:tab w:val="left" w:pos="3099"/>
        </w:tabs>
        <w:jc w:val="both"/>
        <w:rPr>
          <w:rFonts w:ascii="Times New Roman" w:hAnsi="Times New Roman" w:cs="Times New Roman"/>
          <w:b/>
          <w:sz w:val="24"/>
          <w:szCs w:val="24"/>
        </w:rPr>
      </w:pPr>
      <w:r w:rsidRPr="003F4AA6">
        <w:rPr>
          <w:rFonts w:ascii="Times New Roman" w:hAnsi="Times New Roman" w:cs="Times New Roman"/>
          <w:b/>
          <w:sz w:val="24"/>
          <w:szCs w:val="24"/>
        </w:rPr>
        <w:t>Result and Discussion</w:t>
      </w:r>
    </w:p>
    <w:p w:rsidR="004B4390" w:rsidRPr="003F4AA6" w:rsidRDefault="004B4390" w:rsidP="00845464">
      <w:pPr>
        <w:tabs>
          <w:tab w:val="left" w:pos="3099"/>
        </w:tabs>
        <w:jc w:val="both"/>
        <w:rPr>
          <w:rFonts w:ascii="Times New Roman" w:hAnsi="Times New Roman" w:cs="Times New Roman"/>
          <w:b/>
          <w:sz w:val="24"/>
          <w:szCs w:val="24"/>
        </w:rPr>
      </w:pPr>
      <w:r w:rsidRPr="003F4AA6">
        <w:rPr>
          <w:rFonts w:ascii="Times New Roman" w:hAnsi="Times New Roman" w:cs="Times New Roman"/>
          <w:b/>
          <w:sz w:val="24"/>
          <w:szCs w:val="24"/>
        </w:rPr>
        <w:t xml:space="preserve">Effect of </w:t>
      </w:r>
      <w:r w:rsidR="003F4AA6" w:rsidRPr="003F4AA6">
        <w:rPr>
          <w:rFonts w:ascii="Times New Roman" w:hAnsi="Times New Roman" w:cs="Times New Roman"/>
          <w:b/>
          <w:i/>
          <w:sz w:val="24"/>
          <w:szCs w:val="24"/>
        </w:rPr>
        <w:t xml:space="preserve">M. charantia </w:t>
      </w:r>
      <w:r w:rsidRPr="003F4AA6">
        <w:rPr>
          <w:rFonts w:ascii="Times New Roman" w:hAnsi="Times New Roman" w:cs="Times New Roman"/>
          <w:b/>
          <w:sz w:val="24"/>
          <w:szCs w:val="24"/>
        </w:rPr>
        <w:t xml:space="preserve">on Diabetic Induced Guinea pigs </w:t>
      </w:r>
      <w:r w:rsidR="00807FB3" w:rsidRPr="003F4AA6">
        <w:rPr>
          <w:rFonts w:ascii="Times New Roman" w:hAnsi="Times New Roman" w:cs="Times New Roman"/>
          <w:b/>
          <w:sz w:val="24"/>
          <w:szCs w:val="24"/>
        </w:rPr>
        <w:t>visceral</w:t>
      </w:r>
      <w:r w:rsidRPr="003F4AA6">
        <w:rPr>
          <w:rFonts w:ascii="Times New Roman" w:hAnsi="Times New Roman" w:cs="Times New Roman"/>
          <w:b/>
          <w:sz w:val="24"/>
          <w:szCs w:val="24"/>
        </w:rPr>
        <w:t xml:space="preserve"> organs weight</w:t>
      </w:r>
    </w:p>
    <w:p w:rsidR="00603CDF" w:rsidRDefault="004B4390"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The result on the effect of </w:t>
      </w:r>
      <w:r w:rsidR="003F4AA6" w:rsidRPr="00B46576">
        <w:rPr>
          <w:rFonts w:ascii="Times New Roman" w:hAnsi="Times New Roman" w:cs="Times New Roman"/>
          <w:i/>
          <w:sz w:val="24"/>
          <w:szCs w:val="24"/>
        </w:rPr>
        <w:t xml:space="preserve">M. charantia </w:t>
      </w:r>
      <w:r>
        <w:rPr>
          <w:rFonts w:ascii="Times New Roman" w:hAnsi="Times New Roman" w:cs="Times New Roman"/>
          <w:sz w:val="24"/>
          <w:szCs w:val="24"/>
        </w:rPr>
        <w:t>on Diabetic induced guinea pigs visceral organs weight were presented in table 1 below. The result revealed that there were significant (P&lt;0.05) differences in liver and spleen weight. Higher liver and spleen weight were recorded in T3 with 30.150g and 0.400g for liver and spleen respectively. The significant (P&lt;0.05) of these internal organ</w:t>
      </w:r>
      <w:r w:rsidR="00603CDF">
        <w:rPr>
          <w:rFonts w:ascii="Times New Roman" w:hAnsi="Times New Roman" w:cs="Times New Roman"/>
          <w:sz w:val="24"/>
          <w:szCs w:val="24"/>
        </w:rPr>
        <w:t xml:space="preserve">s could be due to the variation of physiological activities of the organs caused by the varied level of inclusion of </w:t>
      </w:r>
      <w:r w:rsidR="00911BD3" w:rsidRPr="00B46576">
        <w:rPr>
          <w:rFonts w:ascii="Times New Roman" w:hAnsi="Times New Roman" w:cs="Times New Roman"/>
          <w:i/>
          <w:sz w:val="24"/>
          <w:szCs w:val="24"/>
        </w:rPr>
        <w:t xml:space="preserve">M. charantia </w:t>
      </w:r>
      <w:r w:rsidR="00603CDF">
        <w:rPr>
          <w:rFonts w:ascii="Times New Roman" w:hAnsi="Times New Roman" w:cs="Times New Roman"/>
          <w:sz w:val="24"/>
          <w:szCs w:val="24"/>
        </w:rPr>
        <w:t xml:space="preserve">in the diet across treatment groups. The weight of spleen and liver reported in this study were similar to the findings of Okpanachi (2008). </w:t>
      </w:r>
    </w:p>
    <w:p w:rsidR="004B4390" w:rsidRDefault="00603CDF"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The result further showed that there were no significant (P&gt;0.05) differences in the heart, kidney and bile parameters although there were numerical differences between the treatments. The result were in agreement with Haruna and Muhammad (2018) where the visceral organs values fall within the values reported in this study.</w:t>
      </w:r>
      <w:r w:rsidR="004B4390">
        <w:rPr>
          <w:rFonts w:ascii="Times New Roman" w:hAnsi="Times New Roman" w:cs="Times New Roman"/>
          <w:sz w:val="24"/>
          <w:szCs w:val="24"/>
        </w:rPr>
        <w:t xml:space="preserve">   </w:t>
      </w:r>
    </w:p>
    <w:p w:rsidR="00BA54F7" w:rsidRDefault="00BA54F7" w:rsidP="00845464">
      <w:pPr>
        <w:tabs>
          <w:tab w:val="left" w:pos="3099"/>
        </w:tabs>
        <w:jc w:val="both"/>
        <w:rPr>
          <w:rFonts w:ascii="Times New Roman" w:hAnsi="Times New Roman" w:cs="Times New Roman"/>
          <w:b/>
          <w:sz w:val="24"/>
          <w:szCs w:val="24"/>
        </w:rPr>
      </w:pPr>
    </w:p>
    <w:p w:rsidR="000934E4" w:rsidRPr="00807FB3" w:rsidRDefault="000934E4" w:rsidP="00845464">
      <w:pPr>
        <w:tabs>
          <w:tab w:val="left" w:pos="3099"/>
        </w:tabs>
        <w:jc w:val="both"/>
        <w:rPr>
          <w:rFonts w:ascii="Times New Roman" w:hAnsi="Times New Roman" w:cs="Times New Roman"/>
          <w:b/>
          <w:sz w:val="24"/>
          <w:szCs w:val="24"/>
        </w:rPr>
      </w:pPr>
      <w:r w:rsidRPr="00807FB3">
        <w:rPr>
          <w:rFonts w:ascii="Times New Roman" w:hAnsi="Times New Roman" w:cs="Times New Roman"/>
          <w:b/>
          <w:sz w:val="24"/>
          <w:szCs w:val="24"/>
        </w:rPr>
        <w:lastRenderedPageBreak/>
        <w:t xml:space="preserve">Table 1: Effect of </w:t>
      </w:r>
      <w:r w:rsidR="00807FB3" w:rsidRPr="00807FB3">
        <w:rPr>
          <w:rFonts w:ascii="Times New Roman" w:hAnsi="Times New Roman" w:cs="Times New Roman"/>
          <w:b/>
          <w:i/>
          <w:sz w:val="24"/>
          <w:szCs w:val="24"/>
        </w:rPr>
        <w:t xml:space="preserve">M. charantia </w:t>
      </w:r>
      <w:r w:rsidRPr="00807FB3">
        <w:rPr>
          <w:rFonts w:ascii="Times New Roman" w:hAnsi="Times New Roman" w:cs="Times New Roman"/>
          <w:b/>
          <w:sz w:val="24"/>
          <w:szCs w:val="24"/>
        </w:rPr>
        <w:t xml:space="preserve">on Diabetic Induced Guinea pigs </w:t>
      </w:r>
      <w:r w:rsidR="00807FB3" w:rsidRPr="00807FB3">
        <w:rPr>
          <w:rFonts w:ascii="Times New Roman" w:hAnsi="Times New Roman" w:cs="Times New Roman"/>
          <w:b/>
          <w:sz w:val="24"/>
          <w:szCs w:val="24"/>
        </w:rPr>
        <w:t>visceral</w:t>
      </w:r>
      <w:r w:rsidRPr="00807FB3">
        <w:rPr>
          <w:rFonts w:ascii="Times New Roman" w:hAnsi="Times New Roman" w:cs="Times New Roman"/>
          <w:b/>
          <w:sz w:val="24"/>
          <w:szCs w:val="24"/>
        </w:rPr>
        <w:t xml:space="preserve"> organs weight</w:t>
      </w:r>
    </w:p>
    <w:tbl>
      <w:tblPr>
        <w:tblStyle w:val="TableGrid"/>
        <w:tblW w:w="4995" w:type="pct"/>
        <w:tblBorders>
          <w:left w:val="none" w:sz="0" w:space="0" w:color="auto"/>
          <w:right w:val="none" w:sz="0" w:space="0" w:color="auto"/>
          <w:insideV w:val="none" w:sz="0" w:space="0" w:color="auto"/>
        </w:tblBorders>
        <w:tblLook w:val="04A0" w:firstRow="1" w:lastRow="0" w:firstColumn="1" w:lastColumn="0" w:noHBand="0" w:noVBand="1"/>
      </w:tblPr>
      <w:tblGrid>
        <w:gridCol w:w="1336"/>
        <w:gridCol w:w="1336"/>
        <w:gridCol w:w="1336"/>
        <w:gridCol w:w="1336"/>
        <w:gridCol w:w="1336"/>
        <w:gridCol w:w="1336"/>
        <w:gridCol w:w="1335"/>
      </w:tblGrid>
      <w:tr w:rsidR="00E749F9" w:rsidTr="00D33C7B">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Parameters</w:t>
            </w:r>
          </w:p>
        </w:tc>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T1</w:t>
            </w:r>
          </w:p>
        </w:tc>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T2</w:t>
            </w:r>
          </w:p>
        </w:tc>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T3</w:t>
            </w:r>
          </w:p>
        </w:tc>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T4</w:t>
            </w:r>
          </w:p>
        </w:tc>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SEM</w:t>
            </w:r>
          </w:p>
        </w:tc>
        <w:tc>
          <w:tcPr>
            <w:tcW w:w="714" w:type="pct"/>
            <w:tcBorders>
              <w:bottom w:val="single" w:sz="4" w:space="0" w:color="auto"/>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LOS</w:t>
            </w:r>
          </w:p>
        </w:tc>
      </w:tr>
      <w:tr w:rsidR="00E749F9" w:rsidTr="00D33C7B">
        <w:tc>
          <w:tcPr>
            <w:tcW w:w="714" w:type="pct"/>
            <w:tcBorders>
              <w:bottom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Liver (g)</w:t>
            </w:r>
          </w:p>
        </w:tc>
        <w:tc>
          <w:tcPr>
            <w:tcW w:w="714" w:type="pct"/>
            <w:tcBorders>
              <w:bottom w:val="nil"/>
            </w:tcBorders>
          </w:tcPr>
          <w:p w:rsidR="00E749F9" w:rsidRPr="00E749F9" w:rsidRDefault="00E749F9"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23.500</w:t>
            </w:r>
            <w:r>
              <w:rPr>
                <w:rFonts w:ascii="Times New Roman" w:hAnsi="Times New Roman" w:cs="Times New Roman"/>
                <w:sz w:val="24"/>
                <w:szCs w:val="24"/>
                <w:vertAlign w:val="superscript"/>
              </w:rPr>
              <w:t>b</w:t>
            </w:r>
          </w:p>
        </w:tc>
        <w:tc>
          <w:tcPr>
            <w:tcW w:w="714" w:type="pct"/>
            <w:tcBorders>
              <w:bottom w:val="nil"/>
            </w:tcBorders>
          </w:tcPr>
          <w:p w:rsidR="00E749F9" w:rsidRPr="00E749F9" w:rsidRDefault="00E749F9"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21.450</w:t>
            </w:r>
            <w:r>
              <w:rPr>
                <w:rFonts w:ascii="Times New Roman" w:hAnsi="Times New Roman" w:cs="Times New Roman"/>
                <w:sz w:val="24"/>
                <w:szCs w:val="24"/>
                <w:vertAlign w:val="superscript"/>
              </w:rPr>
              <w:t>b</w:t>
            </w:r>
          </w:p>
        </w:tc>
        <w:tc>
          <w:tcPr>
            <w:tcW w:w="714" w:type="pct"/>
            <w:tcBorders>
              <w:bottom w:val="nil"/>
            </w:tcBorders>
          </w:tcPr>
          <w:p w:rsidR="00E749F9" w:rsidRPr="00E749F9" w:rsidRDefault="00E749F9"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30.150</w:t>
            </w:r>
            <w:r>
              <w:rPr>
                <w:rFonts w:ascii="Times New Roman" w:hAnsi="Times New Roman" w:cs="Times New Roman"/>
                <w:sz w:val="24"/>
                <w:szCs w:val="24"/>
                <w:vertAlign w:val="superscript"/>
              </w:rPr>
              <w:t>a</w:t>
            </w:r>
          </w:p>
        </w:tc>
        <w:tc>
          <w:tcPr>
            <w:tcW w:w="714" w:type="pct"/>
            <w:tcBorders>
              <w:bottom w:val="nil"/>
            </w:tcBorders>
          </w:tcPr>
          <w:p w:rsidR="00E749F9" w:rsidRPr="00E749F9" w:rsidRDefault="00E749F9"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19.800</w:t>
            </w:r>
            <w:r>
              <w:rPr>
                <w:rFonts w:ascii="Times New Roman" w:hAnsi="Times New Roman" w:cs="Times New Roman"/>
                <w:sz w:val="24"/>
                <w:szCs w:val="24"/>
                <w:vertAlign w:val="superscript"/>
              </w:rPr>
              <w:t>b</w:t>
            </w:r>
          </w:p>
        </w:tc>
        <w:tc>
          <w:tcPr>
            <w:tcW w:w="714" w:type="pct"/>
            <w:tcBorders>
              <w:bottom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1.648</w:t>
            </w:r>
          </w:p>
        </w:tc>
        <w:tc>
          <w:tcPr>
            <w:tcW w:w="714" w:type="pct"/>
            <w:tcBorders>
              <w:bottom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E749F9" w:rsidTr="00D33C7B">
        <w:tc>
          <w:tcPr>
            <w:tcW w:w="714" w:type="pct"/>
            <w:tcBorders>
              <w:top w:val="nil"/>
              <w:bottom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Heart (g)</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2.350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2.350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3.150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2.400</w:t>
            </w:r>
            <w:r>
              <w:rPr>
                <w:rFonts w:ascii="Times New Roman" w:hAnsi="Times New Roman" w:cs="Times New Roman"/>
                <w:sz w:val="24"/>
                <w:szCs w:val="24"/>
                <w:vertAlign w:val="superscript"/>
              </w:rPr>
              <w:t>a</w:t>
            </w:r>
          </w:p>
        </w:tc>
        <w:tc>
          <w:tcPr>
            <w:tcW w:w="714" w:type="pct"/>
            <w:tcBorders>
              <w:top w:val="nil"/>
              <w:bottom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0.243</w:t>
            </w:r>
          </w:p>
        </w:tc>
        <w:tc>
          <w:tcPr>
            <w:tcW w:w="714" w:type="pct"/>
            <w:tcBorders>
              <w:top w:val="nil"/>
              <w:bottom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E749F9" w:rsidTr="00D33C7B">
        <w:tc>
          <w:tcPr>
            <w:tcW w:w="714" w:type="pct"/>
            <w:tcBorders>
              <w:top w:val="nil"/>
              <w:bottom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Kidney (g)</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6.500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6.900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8.000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5.550</w:t>
            </w:r>
            <w:r>
              <w:rPr>
                <w:rFonts w:ascii="Times New Roman" w:hAnsi="Times New Roman" w:cs="Times New Roman"/>
                <w:sz w:val="24"/>
                <w:szCs w:val="24"/>
                <w:vertAlign w:val="superscript"/>
              </w:rPr>
              <w:t>a</w:t>
            </w:r>
          </w:p>
        </w:tc>
        <w:tc>
          <w:tcPr>
            <w:tcW w:w="714" w:type="pct"/>
            <w:tcBorders>
              <w:top w:val="nil"/>
              <w:bottom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0.841</w:t>
            </w:r>
          </w:p>
        </w:tc>
        <w:tc>
          <w:tcPr>
            <w:tcW w:w="714" w:type="pct"/>
            <w:tcBorders>
              <w:top w:val="nil"/>
              <w:bottom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E749F9" w:rsidTr="00D33C7B">
        <w:tc>
          <w:tcPr>
            <w:tcW w:w="714" w:type="pct"/>
            <w:tcBorders>
              <w:top w:val="nil"/>
              <w:bottom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Spleen (g)</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0.300</w:t>
            </w:r>
            <w:r>
              <w:rPr>
                <w:rFonts w:ascii="Times New Roman" w:hAnsi="Times New Roman" w:cs="Times New Roman"/>
                <w:sz w:val="24"/>
                <w:szCs w:val="24"/>
                <w:vertAlign w:val="superscript"/>
              </w:rPr>
              <w:t>ab</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0.150</w:t>
            </w:r>
            <w:r>
              <w:rPr>
                <w:rFonts w:ascii="Times New Roman" w:hAnsi="Times New Roman" w:cs="Times New Roman"/>
                <w:sz w:val="24"/>
                <w:szCs w:val="24"/>
                <w:vertAlign w:val="superscript"/>
              </w:rPr>
              <w:t>b</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0.400</w:t>
            </w:r>
            <w:r>
              <w:rPr>
                <w:rFonts w:ascii="Times New Roman" w:hAnsi="Times New Roman" w:cs="Times New Roman"/>
                <w:sz w:val="24"/>
                <w:szCs w:val="24"/>
                <w:vertAlign w:val="superscript"/>
              </w:rPr>
              <w:t>a</w:t>
            </w:r>
          </w:p>
        </w:tc>
        <w:tc>
          <w:tcPr>
            <w:tcW w:w="714" w:type="pct"/>
            <w:tcBorders>
              <w:top w:val="nil"/>
              <w:bottom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0.300</w:t>
            </w:r>
            <w:r>
              <w:rPr>
                <w:rFonts w:ascii="Times New Roman" w:hAnsi="Times New Roman" w:cs="Times New Roman"/>
                <w:sz w:val="24"/>
                <w:szCs w:val="24"/>
                <w:vertAlign w:val="superscript"/>
              </w:rPr>
              <w:t>ab</w:t>
            </w:r>
          </w:p>
        </w:tc>
        <w:tc>
          <w:tcPr>
            <w:tcW w:w="714" w:type="pct"/>
            <w:tcBorders>
              <w:top w:val="nil"/>
              <w:bottom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0.056</w:t>
            </w:r>
          </w:p>
        </w:tc>
        <w:tc>
          <w:tcPr>
            <w:tcW w:w="714" w:type="pct"/>
            <w:tcBorders>
              <w:top w:val="nil"/>
              <w:bottom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E749F9" w:rsidTr="00D33C7B">
        <w:tc>
          <w:tcPr>
            <w:tcW w:w="714" w:type="pct"/>
            <w:tcBorders>
              <w:top w:val="nil"/>
            </w:tcBorders>
          </w:tcPr>
          <w:p w:rsidR="00E749F9" w:rsidRDefault="00E749F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Bile (g)</w:t>
            </w:r>
          </w:p>
        </w:tc>
        <w:tc>
          <w:tcPr>
            <w:tcW w:w="714" w:type="pct"/>
            <w:tcBorders>
              <w:top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0.400</w:t>
            </w:r>
            <w:r>
              <w:rPr>
                <w:rFonts w:ascii="Times New Roman" w:hAnsi="Times New Roman" w:cs="Times New Roman"/>
                <w:sz w:val="24"/>
                <w:szCs w:val="24"/>
                <w:vertAlign w:val="superscript"/>
              </w:rPr>
              <w:t>a</w:t>
            </w:r>
          </w:p>
        </w:tc>
        <w:tc>
          <w:tcPr>
            <w:tcW w:w="714" w:type="pct"/>
            <w:tcBorders>
              <w:top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0.450</w:t>
            </w:r>
            <w:r>
              <w:rPr>
                <w:rFonts w:ascii="Times New Roman" w:hAnsi="Times New Roman" w:cs="Times New Roman"/>
                <w:sz w:val="24"/>
                <w:szCs w:val="24"/>
                <w:vertAlign w:val="superscript"/>
              </w:rPr>
              <w:t>a</w:t>
            </w:r>
          </w:p>
        </w:tc>
        <w:tc>
          <w:tcPr>
            <w:tcW w:w="714" w:type="pct"/>
            <w:tcBorders>
              <w:top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0.350</w:t>
            </w:r>
            <w:r>
              <w:rPr>
                <w:rFonts w:ascii="Times New Roman" w:hAnsi="Times New Roman" w:cs="Times New Roman"/>
                <w:sz w:val="24"/>
                <w:szCs w:val="24"/>
                <w:vertAlign w:val="superscript"/>
              </w:rPr>
              <w:t>a</w:t>
            </w:r>
          </w:p>
        </w:tc>
        <w:tc>
          <w:tcPr>
            <w:tcW w:w="714" w:type="pct"/>
            <w:tcBorders>
              <w:top w:val="nil"/>
            </w:tcBorders>
          </w:tcPr>
          <w:p w:rsidR="00E749F9" w:rsidRPr="00EF43BB" w:rsidRDefault="00EF43BB"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0.200</w:t>
            </w:r>
            <w:r>
              <w:rPr>
                <w:rFonts w:ascii="Times New Roman" w:hAnsi="Times New Roman" w:cs="Times New Roman"/>
                <w:sz w:val="24"/>
                <w:szCs w:val="24"/>
                <w:vertAlign w:val="superscript"/>
              </w:rPr>
              <w:t>a</w:t>
            </w:r>
          </w:p>
        </w:tc>
        <w:tc>
          <w:tcPr>
            <w:tcW w:w="714" w:type="pct"/>
            <w:tcBorders>
              <w:top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0.079</w:t>
            </w:r>
          </w:p>
        </w:tc>
        <w:tc>
          <w:tcPr>
            <w:tcW w:w="714" w:type="pct"/>
            <w:tcBorders>
              <w:top w:val="nil"/>
            </w:tcBorders>
          </w:tcPr>
          <w:p w:rsidR="00E749F9" w:rsidRDefault="00EF43BB"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bl>
    <w:p w:rsidR="00E749F9" w:rsidRDefault="00E749F9" w:rsidP="00845464">
      <w:pPr>
        <w:tabs>
          <w:tab w:val="left" w:pos="3099"/>
        </w:tabs>
        <w:jc w:val="both"/>
        <w:rPr>
          <w:rFonts w:ascii="Times New Roman" w:hAnsi="Times New Roman" w:cs="Times New Roman"/>
          <w:sz w:val="24"/>
          <w:szCs w:val="24"/>
        </w:rPr>
      </w:pPr>
    </w:p>
    <w:p w:rsidR="00EF43BB" w:rsidRDefault="00EF43BB" w:rsidP="00845464">
      <w:pPr>
        <w:tabs>
          <w:tab w:val="left" w:pos="3099"/>
        </w:tabs>
        <w:jc w:val="both"/>
        <w:rPr>
          <w:rFonts w:ascii="Times New Roman" w:hAnsi="Times New Roman" w:cs="Times New Roman"/>
          <w:sz w:val="24"/>
          <w:szCs w:val="24"/>
        </w:rPr>
      </w:pPr>
    </w:p>
    <w:p w:rsidR="00A733AE" w:rsidRDefault="00A733AE" w:rsidP="00845464">
      <w:pPr>
        <w:tabs>
          <w:tab w:val="left" w:pos="3099"/>
        </w:tabs>
        <w:jc w:val="both"/>
        <w:rPr>
          <w:rFonts w:ascii="Times New Roman" w:hAnsi="Times New Roman" w:cs="Times New Roman"/>
          <w:sz w:val="24"/>
          <w:szCs w:val="24"/>
        </w:rPr>
      </w:pPr>
    </w:p>
    <w:p w:rsidR="00A733AE" w:rsidRDefault="00B60B33"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Table 2 showed the patho-anatomical changes observed in the visceral organs of diabetic induced guinea pigs treated with </w:t>
      </w:r>
      <w:r w:rsidR="00C42DEA" w:rsidRPr="00B46576">
        <w:rPr>
          <w:rFonts w:ascii="Times New Roman" w:hAnsi="Times New Roman" w:cs="Times New Roman"/>
          <w:i/>
          <w:sz w:val="24"/>
          <w:szCs w:val="24"/>
        </w:rPr>
        <w:t>M. charantia</w:t>
      </w:r>
      <w:r>
        <w:rPr>
          <w:rFonts w:ascii="Times New Roman" w:hAnsi="Times New Roman" w:cs="Times New Roman"/>
          <w:sz w:val="24"/>
          <w:szCs w:val="24"/>
        </w:rPr>
        <w:t xml:space="preserve">. Liver congestion and change in liver colour were recorded in monosodium glutamate diabetic induced guinea pigs fed </w:t>
      </w:r>
      <w:r w:rsidR="00C42DEA" w:rsidRPr="00B46576">
        <w:rPr>
          <w:rFonts w:ascii="Times New Roman" w:hAnsi="Times New Roman" w:cs="Times New Roman"/>
          <w:i/>
          <w:sz w:val="24"/>
          <w:szCs w:val="24"/>
        </w:rPr>
        <w:t xml:space="preserve">M. charantia </w:t>
      </w:r>
      <w:r>
        <w:rPr>
          <w:rFonts w:ascii="Times New Roman" w:hAnsi="Times New Roman" w:cs="Times New Roman"/>
          <w:sz w:val="24"/>
          <w:szCs w:val="24"/>
        </w:rPr>
        <w:t>in T3 and T4.</w:t>
      </w:r>
      <w:r w:rsidR="00D54068">
        <w:rPr>
          <w:rFonts w:ascii="Times New Roman" w:hAnsi="Times New Roman" w:cs="Times New Roman"/>
          <w:sz w:val="24"/>
          <w:szCs w:val="24"/>
        </w:rPr>
        <w:t xml:space="preserve"> Slightly kidney hyperthrophy, excessive changes in the bile colour, congested lungs with heamatoma were found in guinea pigs of T4. </w:t>
      </w:r>
      <w:r>
        <w:rPr>
          <w:rFonts w:ascii="Times New Roman" w:hAnsi="Times New Roman" w:cs="Times New Roman"/>
          <w:sz w:val="24"/>
          <w:szCs w:val="24"/>
        </w:rPr>
        <w:t xml:space="preserve"> </w:t>
      </w:r>
    </w:p>
    <w:p w:rsidR="00EF43BB" w:rsidRPr="005D40BA" w:rsidRDefault="00EF43BB" w:rsidP="00845464">
      <w:pPr>
        <w:tabs>
          <w:tab w:val="left" w:pos="3099"/>
        </w:tabs>
        <w:jc w:val="both"/>
        <w:rPr>
          <w:rFonts w:ascii="Times New Roman" w:hAnsi="Times New Roman" w:cs="Times New Roman"/>
          <w:b/>
          <w:sz w:val="24"/>
          <w:szCs w:val="24"/>
        </w:rPr>
      </w:pPr>
      <w:r w:rsidRPr="005D40BA">
        <w:rPr>
          <w:rFonts w:ascii="Times New Roman" w:hAnsi="Times New Roman" w:cs="Times New Roman"/>
          <w:b/>
          <w:sz w:val="24"/>
          <w:szCs w:val="24"/>
        </w:rPr>
        <w:t>Table 2: Physical Anatomical Changes observed in Visceral of Diabetic induced guinea pigs treated with</w:t>
      </w:r>
      <w:r w:rsidR="005D40BA" w:rsidRPr="005D40BA">
        <w:rPr>
          <w:rFonts w:ascii="Times New Roman" w:hAnsi="Times New Roman" w:cs="Times New Roman"/>
          <w:b/>
          <w:sz w:val="24"/>
          <w:szCs w:val="24"/>
        </w:rPr>
        <w:t xml:space="preserve"> </w:t>
      </w:r>
      <w:r w:rsidR="005D40BA" w:rsidRPr="005D40BA">
        <w:rPr>
          <w:rFonts w:ascii="Times New Roman" w:hAnsi="Times New Roman" w:cs="Times New Roman"/>
          <w:b/>
          <w:i/>
          <w:sz w:val="24"/>
          <w:szCs w:val="24"/>
        </w:rPr>
        <w:t>M. charantia</w:t>
      </w:r>
    </w:p>
    <w:tbl>
      <w:tblPr>
        <w:tblStyle w:val="TableGrid"/>
        <w:tblW w:w="4995" w:type="pct"/>
        <w:tblLook w:val="04A0" w:firstRow="1" w:lastRow="0" w:firstColumn="1" w:lastColumn="0" w:noHBand="0" w:noVBand="1"/>
      </w:tblPr>
      <w:tblGrid>
        <w:gridCol w:w="1166"/>
        <w:gridCol w:w="2339"/>
        <w:gridCol w:w="2102"/>
        <w:gridCol w:w="1868"/>
        <w:gridCol w:w="1866"/>
      </w:tblGrid>
      <w:tr w:rsidR="00A733AE" w:rsidRPr="004B4390" w:rsidTr="004B4390">
        <w:tc>
          <w:tcPr>
            <w:tcW w:w="624"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Tissue</w:t>
            </w:r>
          </w:p>
        </w:tc>
        <w:tc>
          <w:tcPr>
            <w:tcW w:w="1252"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T1</w:t>
            </w:r>
          </w:p>
        </w:tc>
        <w:tc>
          <w:tcPr>
            <w:tcW w:w="1125"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T2</w:t>
            </w:r>
          </w:p>
        </w:tc>
        <w:tc>
          <w:tcPr>
            <w:tcW w:w="1000"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T3</w:t>
            </w:r>
          </w:p>
        </w:tc>
        <w:tc>
          <w:tcPr>
            <w:tcW w:w="999"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T4</w:t>
            </w:r>
          </w:p>
        </w:tc>
      </w:tr>
      <w:tr w:rsidR="00A733AE" w:rsidRPr="004B4390" w:rsidTr="004B4390">
        <w:tc>
          <w:tcPr>
            <w:tcW w:w="624"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Liver</w:t>
            </w:r>
          </w:p>
        </w:tc>
        <w:tc>
          <w:tcPr>
            <w:tcW w:w="1252"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visible lesion, no necrosis but liver color turned dark brown</w:t>
            </w:r>
          </w:p>
        </w:tc>
        <w:tc>
          <w:tcPr>
            <w:tcW w:w="1125" w:type="pct"/>
          </w:tcPr>
          <w:p w:rsidR="00A733AE" w:rsidRPr="004B4390" w:rsidRDefault="00A733AE"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The hepatic tissue is alright without swollen, odour or fluid accumulation only liver excessively dark brown</w:t>
            </w:r>
          </w:p>
        </w:tc>
        <w:tc>
          <w:tcPr>
            <w:tcW w:w="1000" w:type="pct"/>
          </w:tcPr>
          <w:p w:rsidR="00A733AE" w:rsidRPr="004B4390" w:rsidRDefault="00535170"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visible lesion only liver discolorations was observed</w:t>
            </w:r>
          </w:p>
        </w:tc>
        <w:tc>
          <w:tcPr>
            <w:tcW w:w="999" w:type="pct"/>
          </w:tcPr>
          <w:p w:rsidR="00A733AE" w:rsidRPr="004B4390" w:rsidRDefault="00535170"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Hepatic congestion and dark brown coloured</w:t>
            </w:r>
          </w:p>
        </w:tc>
      </w:tr>
      <w:tr w:rsidR="00A733AE" w:rsidRPr="004B4390" w:rsidTr="004B4390">
        <w:tc>
          <w:tcPr>
            <w:tcW w:w="624" w:type="pct"/>
          </w:tcPr>
          <w:p w:rsidR="00A733AE" w:rsidRPr="004B4390" w:rsidRDefault="009C426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Kidney</w:t>
            </w:r>
          </w:p>
        </w:tc>
        <w:tc>
          <w:tcPr>
            <w:tcW w:w="1252" w:type="pct"/>
          </w:tcPr>
          <w:p w:rsidR="00A733AE" w:rsidRPr="004B4390" w:rsidRDefault="009C426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Swollen and hypertrophy kidney was observed</w:t>
            </w:r>
          </w:p>
        </w:tc>
        <w:tc>
          <w:tcPr>
            <w:tcW w:w="1125" w:type="pct"/>
          </w:tcPr>
          <w:p w:rsidR="00A733AE" w:rsidRPr="004B4390" w:rsidRDefault="009C426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Kidney was swollen with renal congestion</w:t>
            </w:r>
          </w:p>
        </w:tc>
        <w:tc>
          <w:tcPr>
            <w:tcW w:w="1000" w:type="pct"/>
          </w:tcPr>
          <w:p w:rsidR="00A733AE" w:rsidRPr="004B4390" w:rsidRDefault="009C426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 xml:space="preserve">No visible </w:t>
            </w:r>
            <w:r w:rsidR="005D40BA" w:rsidRPr="004B4390">
              <w:rPr>
                <w:rFonts w:ascii="Times New Roman" w:hAnsi="Times New Roman" w:cs="Times New Roman"/>
                <w:sz w:val="20"/>
                <w:szCs w:val="20"/>
              </w:rPr>
              <w:t>lesion</w:t>
            </w:r>
          </w:p>
        </w:tc>
        <w:tc>
          <w:tcPr>
            <w:tcW w:w="999" w:type="pct"/>
          </w:tcPr>
          <w:p w:rsidR="00A733AE" w:rsidRPr="004B4390" w:rsidRDefault="009C426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 xml:space="preserve">Kidney was slightly found to have hypertrophy </w:t>
            </w:r>
          </w:p>
        </w:tc>
      </w:tr>
      <w:tr w:rsidR="00A733AE" w:rsidRPr="004B4390" w:rsidTr="004B4390">
        <w:tc>
          <w:tcPr>
            <w:tcW w:w="624"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Heart</w:t>
            </w:r>
          </w:p>
        </w:tc>
        <w:tc>
          <w:tcPr>
            <w:tcW w:w="1252"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pathological changes in cardiac tissue</w:t>
            </w:r>
          </w:p>
        </w:tc>
        <w:tc>
          <w:tcPr>
            <w:tcW w:w="1125"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pathological changes in cardiac tissue</w:t>
            </w:r>
          </w:p>
        </w:tc>
        <w:tc>
          <w:tcPr>
            <w:tcW w:w="1000"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Cardiac tissue was apparently normal</w:t>
            </w:r>
          </w:p>
        </w:tc>
        <w:tc>
          <w:tcPr>
            <w:tcW w:w="999"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pathological changes in cardiac tissue</w:t>
            </w:r>
          </w:p>
        </w:tc>
      </w:tr>
      <w:tr w:rsidR="00A733AE" w:rsidRPr="004B4390" w:rsidTr="004B4390">
        <w:tc>
          <w:tcPr>
            <w:tcW w:w="624"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Spleen</w:t>
            </w:r>
          </w:p>
        </w:tc>
        <w:tc>
          <w:tcPr>
            <w:tcW w:w="1252"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changes</w:t>
            </w:r>
          </w:p>
        </w:tc>
        <w:tc>
          <w:tcPr>
            <w:tcW w:w="1125"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Swollen and distension of spleen was noticed</w:t>
            </w:r>
          </w:p>
        </w:tc>
        <w:tc>
          <w:tcPr>
            <w:tcW w:w="1000"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visible lesion</w:t>
            </w:r>
          </w:p>
        </w:tc>
        <w:tc>
          <w:tcPr>
            <w:tcW w:w="999"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visible lesion</w:t>
            </w:r>
          </w:p>
        </w:tc>
      </w:tr>
      <w:tr w:rsidR="00A733AE" w:rsidRPr="004B4390" w:rsidTr="004B4390">
        <w:tc>
          <w:tcPr>
            <w:tcW w:w="624"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Bile</w:t>
            </w:r>
          </w:p>
        </w:tc>
        <w:tc>
          <w:tcPr>
            <w:tcW w:w="1252"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clear pathological changes</w:t>
            </w:r>
          </w:p>
        </w:tc>
        <w:tc>
          <w:tcPr>
            <w:tcW w:w="1125"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No visible lesion</w:t>
            </w:r>
          </w:p>
        </w:tc>
        <w:tc>
          <w:tcPr>
            <w:tcW w:w="1000"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Changes in colouration of bile fluids</w:t>
            </w:r>
          </w:p>
        </w:tc>
        <w:tc>
          <w:tcPr>
            <w:tcW w:w="999" w:type="pct"/>
          </w:tcPr>
          <w:p w:rsidR="00A733AE" w:rsidRPr="004B4390" w:rsidRDefault="00296BF8"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Excessive changes in bile content</w:t>
            </w:r>
          </w:p>
        </w:tc>
      </w:tr>
      <w:tr w:rsidR="00D3362D" w:rsidRPr="004B4390" w:rsidTr="00212C45">
        <w:tc>
          <w:tcPr>
            <w:tcW w:w="624" w:type="pct"/>
          </w:tcPr>
          <w:p w:rsidR="00D3362D" w:rsidRPr="004B4390" w:rsidRDefault="00D3362D"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Lungs</w:t>
            </w:r>
          </w:p>
        </w:tc>
        <w:tc>
          <w:tcPr>
            <w:tcW w:w="1252" w:type="pct"/>
          </w:tcPr>
          <w:p w:rsidR="00D3362D" w:rsidRPr="004B4390" w:rsidRDefault="00D3362D"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There were necrosis, distension and heamatoma in the lungs</w:t>
            </w:r>
          </w:p>
        </w:tc>
        <w:tc>
          <w:tcPr>
            <w:tcW w:w="1125" w:type="pct"/>
          </w:tcPr>
          <w:p w:rsidR="00D3362D" w:rsidRPr="004B4390" w:rsidRDefault="00D3362D"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Visible necrosis, changes in lungs colour and lesion were noticed</w:t>
            </w:r>
          </w:p>
        </w:tc>
        <w:tc>
          <w:tcPr>
            <w:tcW w:w="1000" w:type="pct"/>
          </w:tcPr>
          <w:p w:rsidR="00D3362D" w:rsidRPr="004B4390" w:rsidRDefault="00D3362D"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Excessive discolouration and heamatoma</w:t>
            </w:r>
          </w:p>
        </w:tc>
        <w:tc>
          <w:tcPr>
            <w:tcW w:w="999" w:type="pct"/>
          </w:tcPr>
          <w:p w:rsidR="00D3362D" w:rsidRPr="004B4390" w:rsidRDefault="00D3362D" w:rsidP="00845464">
            <w:pPr>
              <w:tabs>
                <w:tab w:val="left" w:pos="3099"/>
              </w:tabs>
              <w:jc w:val="both"/>
              <w:rPr>
                <w:rFonts w:ascii="Times New Roman" w:hAnsi="Times New Roman" w:cs="Times New Roman"/>
                <w:sz w:val="20"/>
                <w:szCs w:val="20"/>
              </w:rPr>
            </w:pPr>
            <w:r w:rsidRPr="004B4390">
              <w:rPr>
                <w:rFonts w:ascii="Times New Roman" w:hAnsi="Times New Roman" w:cs="Times New Roman"/>
                <w:sz w:val="20"/>
                <w:szCs w:val="20"/>
              </w:rPr>
              <w:t>The lungs are congested, presence of heamatoma and undefined colour</w:t>
            </w:r>
          </w:p>
        </w:tc>
      </w:tr>
    </w:tbl>
    <w:p w:rsidR="00D33C7B" w:rsidRDefault="00D33C7B" w:rsidP="00845464">
      <w:pPr>
        <w:tabs>
          <w:tab w:val="left" w:pos="3099"/>
        </w:tabs>
        <w:jc w:val="both"/>
        <w:rPr>
          <w:rFonts w:ascii="Times New Roman" w:hAnsi="Times New Roman" w:cs="Times New Roman"/>
          <w:b/>
          <w:sz w:val="24"/>
          <w:szCs w:val="24"/>
        </w:rPr>
      </w:pPr>
    </w:p>
    <w:p w:rsidR="00250A18" w:rsidRDefault="00250A18" w:rsidP="00845464">
      <w:pPr>
        <w:tabs>
          <w:tab w:val="left" w:pos="3099"/>
        </w:tabs>
        <w:jc w:val="both"/>
        <w:rPr>
          <w:rFonts w:ascii="Times New Roman" w:hAnsi="Times New Roman" w:cs="Times New Roman"/>
          <w:b/>
          <w:sz w:val="24"/>
          <w:szCs w:val="24"/>
        </w:rPr>
      </w:pPr>
    </w:p>
    <w:p w:rsidR="00250A18" w:rsidRDefault="00250A18" w:rsidP="00845464">
      <w:pPr>
        <w:tabs>
          <w:tab w:val="left" w:pos="3099"/>
        </w:tabs>
        <w:jc w:val="both"/>
        <w:rPr>
          <w:rFonts w:ascii="Times New Roman" w:hAnsi="Times New Roman" w:cs="Times New Roman"/>
          <w:b/>
          <w:sz w:val="24"/>
          <w:szCs w:val="24"/>
        </w:rPr>
      </w:pPr>
    </w:p>
    <w:p w:rsidR="00466914" w:rsidRDefault="00466914" w:rsidP="00845464">
      <w:pPr>
        <w:tabs>
          <w:tab w:val="left" w:pos="3099"/>
        </w:tabs>
        <w:jc w:val="both"/>
        <w:rPr>
          <w:rFonts w:ascii="Times New Roman" w:hAnsi="Times New Roman" w:cs="Times New Roman"/>
          <w:b/>
          <w:sz w:val="24"/>
          <w:szCs w:val="24"/>
        </w:rPr>
      </w:pPr>
    </w:p>
    <w:p w:rsidR="00535170" w:rsidRPr="00D33C7B" w:rsidRDefault="00101E8D" w:rsidP="00845464">
      <w:pPr>
        <w:tabs>
          <w:tab w:val="left" w:pos="3099"/>
        </w:tabs>
        <w:jc w:val="both"/>
        <w:rPr>
          <w:rFonts w:ascii="Times New Roman" w:hAnsi="Times New Roman" w:cs="Times New Roman"/>
          <w:b/>
          <w:sz w:val="24"/>
          <w:szCs w:val="24"/>
        </w:rPr>
      </w:pPr>
      <w:r w:rsidRPr="00D33C7B">
        <w:rPr>
          <w:rFonts w:ascii="Times New Roman" w:hAnsi="Times New Roman" w:cs="Times New Roman"/>
          <w:b/>
          <w:sz w:val="24"/>
          <w:szCs w:val="24"/>
        </w:rPr>
        <w:lastRenderedPageBreak/>
        <w:t xml:space="preserve">Effect </w:t>
      </w:r>
      <w:r w:rsidR="00E356DE" w:rsidRPr="00D33C7B">
        <w:rPr>
          <w:rFonts w:ascii="Times New Roman" w:hAnsi="Times New Roman" w:cs="Times New Roman"/>
          <w:b/>
          <w:sz w:val="24"/>
          <w:szCs w:val="24"/>
        </w:rPr>
        <w:t>Momordica charantia on serum biochemistry profile of Monosodium glutamate diabetic induced guinea pigs</w:t>
      </w:r>
    </w:p>
    <w:p w:rsidR="00641B0C" w:rsidRDefault="00447B66" w:rsidP="00845464">
      <w:pPr>
        <w:tabs>
          <w:tab w:val="left" w:pos="3099"/>
        </w:tabs>
        <w:jc w:val="both"/>
        <w:rPr>
          <w:rFonts w:ascii="Times New Roman" w:hAnsi="Times New Roman" w:cs="Times New Roman"/>
          <w:sz w:val="24"/>
          <w:szCs w:val="24"/>
        </w:rPr>
      </w:pPr>
      <w:r w:rsidRPr="00466914">
        <w:rPr>
          <w:rFonts w:ascii="Times New Roman" w:hAnsi="Times New Roman" w:cs="Times New Roman"/>
          <w:sz w:val="24"/>
          <w:szCs w:val="24"/>
        </w:rPr>
        <w:t>E</w:t>
      </w:r>
      <w:r>
        <w:rPr>
          <w:rFonts w:ascii="Times New Roman" w:hAnsi="Times New Roman" w:cs="Times New Roman"/>
          <w:sz w:val="24"/>
          <w:szCs w:val="24"/>
        </w:rPr>
        <w:t xml:space="preserve">valuation of serum biochemical profile are usually related to health status and are of diagnostic importance in clinical evaluation of the state of health. It serves as indicator of physiological, welfare assessment, pathological and nutritional status of an animal (Okoruw and  Ihimioya, 2014).  </w:t>
      </w:r>
      <w:r w:rsidR="00641B0C">
        <w:rPr>
          <w:rFonts w:ascii="Times New Roman" w:hAnsi="Times New Roman" w:cs="Times New Roman"/>
          <w:sz w:val="24"/>
          <w:szCs w:val="24"/>
        </w:rPr>
        <w:t xml:space="preserve">The result on the effect of </w:t>
      </w:r>
      <w:r w:rsidR="00BB6FD7" w:rsidRPr="00B46576">
        <w:rPr>
          <w:rFonts w:ascii="Times New Roman" w:hAnsi="Times New Roman" w:cs="Times New Roman"/>
          <w:i/>
          <w:sz w:val="24"/>
          <w:szCs w:val="24"/>
        </w:rPr>
        <w:t xml:space="preserve">M. charantia </w:t>
      </w:r>
      <w:r w:rsidR="00B538EF">
        <w:rPr>
          <w:rFonts w:ascii="Times New Roman" w:hAnsi="Times New Roman" w:cs="Times New Roman"/>
          <w:sz w:val="24"/>
          <w:szCs w:val="24"/>
        </w:rPr>
        <w:t>i</w:t>
      </w:r>
      <w:r w:rsidR="00BB6FD7">
        <w:rPr>
          <w:rFonts w:ascii="Times New Roman" w:hAnsi="Times New Roman" w:cs="Times New Roman"/>
          <w:sz w:val="24"/>
          <w:szCs w:val="24"/>
        </w:rPr>
        <w:t>n</w:t>
      </w:r>
      <w:r w:rsidR="00641B0C">
        <w:rPr>
          <w:rFonts w:ascii="Times New Roman" w:hAnsi="Times New Roman" w:cs="Times New Roman"/>
          <w:sz w:val="24"/>
          <w:szCs w:val="24"/>
        </w:rPr>
        <w:t xml:space="preserve"> serum biochemical profile of diabetic induced guinea pigs were presented in table 3 below. The result clearly indicated that there were significant (P&lt;0.05) differences in alkaline phosphatase were T4 had the highest level of alkaline phosphatase (78.81 iu/l) while lowest were recorded in T1 (57.50 iu/l). The result revealed that alanine aminotransferase were significantly (P&lt;0.05) increased with increases level of </w:t>
      </w:r>
      <w:r w:rsidR="00B538EF" w:rsidRPr="00B46576">
        <w:rPr>
          <w:rFonts w:ascii="Times New Roman" w:hAnsi="Times New Roman" w:cs="Times New Roman"/>
          <w:i/>
          <w:sz w:val="24"/>
          <w:szCs w:val="24"/>
        </w:rPr>
        <w:t xml:space="preserve">M. charantia </w:t>
      </w:r>
      <w:r w:rsidR="00641B0C">
        <w:rPr>
          <w:rFonts w:ascii="Times New Roman" w:hAnsi="Times New Roman" w:cs="Times New Roman"/>
          <w:sz w:val="24"/>
          <w:szCs w:val="24"/>
        </w:rPr>
        <w:t xml:space="preserve">in which highest value were obtained in T4 followed by T3, T2 while lowest recorded in T1. Being aspartate aminotransferase as an enzymes that are released into the blood when certain organs or tissues, particularly the liver and heart are injured were found not significantly (P&gt;0.05) </w:t>
      </w:r>
      <w:r w:rsidR="00B538EF">
        <w:rPr>
          <w:rFonts w:ascii="Times New Roman" w:hAnsi="Times New Roman" w:cs="Times New Roman"/>
          <w:sz w:val="24"/>
          <w:szCs w:val="24"/>
        </w:rPr>
        <w:t>affected</w:t>
      </w:r>
      <w:r w:rsidR="00641B0C">
        <w:rPr>
          <w:rFonts w:ascii="Times New Roman" w:hAnsi="Times New Roman" w:cs="Times New Roman"/>
          <w:sz w:val="24"/>
          <w:szCs w:val="24"/>
        </w:rPr>
        <w:t xml:space="preserve"> in this study. The result</w:t>
      </w:r>
      <w:r w:rsidR="00AC13BC">
        <w:rPr>
          <w:rFonts w:ascii="Times New Roman" w:hAnsi="Times New Roman" w:cs="Times New Roman"/>
          <w:sz w:val="24"/>
          <w:szCs w:val="24"/>
        </w:rPr>
        <w:t xml:space="preserve"> revealed that albumin was significantly (P&lt;0.05) increases with increasing levels of </w:t>
      </w:r>
      <w:r w:rsidR="00B538EF" w:rsidRPr="00B46576">
        <w:rPr>
          <w:rFonts w:ascii="Times New Roman" w:hAnsi="Times New Roman" w:cs="Times New Roman"/>
          <w:i/>
          <w:sz w:val="24"/>
          <w:szCs w:val="24"/>
        </w:rPr>
        <w:t xml:space="preserve">M. charantia </w:t>
      </w:r>
      <w:r w:rsidR="00AC13BC">
        <w:rPr>
          <w:rFonts w:ascii="Times New Roman" w:hAnsi="Times New Roman" w:cs="Times New Roman"/>
          <w:sz w:val="24"/>
          <w:szCs w:val="24"/>
        </w:rPr>
        <w:t xml:space="preserve">in the current study and this may be attributed to the </w:t>
      </w:r>
      <w:r w:rsidR="00B538EF" w:rsidRPr="00B46576">
        <w:rPr>
          <w:rFonts w:ascii="Times New Roman" w:hAnsi="Times New Roman" w:cs="Times New Roman"/>
          <w:i/>
          <w:sz w:val="24"/>
          <w:szCs w:val="24"/>
        </w:rPr>
        <w:t xml:space="preserve">M. charantia </w:t>
      </w:r>
      <w:r w:rsidR="00AC13BC">
        <w:rPr>
          <w:rFonts w:ascii="Times New Roman" w:hAnsi="Times New Roman" w:cs="Times New Roman"/>
          <w:sz w:val="24"/>
          <w:szCs w:val="24"/>
        </w:rPr>
        <w:t>effect since albumin is one of the</w:t>
      </w:r>
      <w:r w:rsidR="003D0830">
        <w:rPr>
          <w:rFonts w:ascii="Times New Roman" w:hAnsi="Times New Roman" w:cs="Times New Roman"/>
          <w:sz w:val="24"/>
          <w:szCs w:val="24"/>
        </w:rPr>
        <w:t xml:space="preserve"> the plasma protein that are synthesized in the liver and is responsible for nearly 80% of the colloid osmotic pressure of the intravascular fluid, which maintains the appropriate fluid balance in the tissue. Albumin has the capacity to bind and transport various substances in the blood such as thyroid hormones, unconjugated bilirubin, fat-soluble hor</w:t>
      </w:r>
      <w:r w:rsidR="00EC6BC0">
        <w:rPr>
          <w:rFonts w:ascii="Times New Roman" w:hAnsi="Times New Roman" w:cs="Times New Roman"/>
          <w:sz w:val="24"/>
          <w:szCs w:val="24"/>
        </w:rPr>
        <w:t>mones and others</w:t>
      </w:r>
      <w:r w:rsidR="003D0830">
        <w:rPr>
          <w:rFonts w:ascii="Times New Roman" w:hAnsi="Times New Roman" w:cs="Times New Roman"/>
          <w:sz w:val="24"/>
          <w:szCs w:val="24"/>
        </w:rPr>
        <w:t>.</w:t>
      </w:r>
      <w:r w:rsidR="00EB1800">
        <w:rPr>
          <w:rFonts w:ascii="Times New Roman" w:hAnsi="Times New Roman" w:cs="Times New Roman"/>
          <w:sz w:val="24"/>
          <w:szCs w:val="24"/>
        </w:rPr>
        <w:t xml:space="preserve"> </w:t>
      </w:r>
      <w:r w:rsidR="00BC615D">
        <w:rPr>
          <w:rFonts w:ascii="Times New Roman" w:hAnsi="Times New Roman" w:cs="Times New Roman"/>
          <w:sz w:val="24"/>
          <w:szCs w:val="24"/>
        </w:rPr>
        <w:t>The plasma total protein values falls within the normal ranges reported by Williamson and Fe</w:t>
      </w:r>
      <w:r w:rsidR="00AD6FB8">
        <w:rPr>
          <w:rFonts w:ascii="Times New Roman" w:hAnsi="Times New Roman" w:cs="Times New Roman"/>
          <w:sz w:val="24"/>
          <w:szCs w:val="24"/>
        </w:rPr>
        <w:t xml:space="preserve">sting (1971) and Hill </w:t>
      </w:r>
      <w:r w:rsidR="00250A18">
        <w:rPr>
          <w:rFonts w:ascii="Times New Roman" w:hAnsi="Times New Roman" w:cs="Times New Roman"/>
          <w:sz w:val="24"/>
          <w:szCs w:val="24"/>
        </w:rPr>
        <w:t>et al.</w:t>
      </w:r>
      <w:r w:rsidR="00AD6FB8">
        <w:rPr>
          <w:rFonts w:ascii="Times New Roman" w:hAnsi="Times New Roman" w:cs="Times New Roman"/>
          <w:sz w:val="24"/>
          <w:szCs w:val="24"/>
        </w:rPr>
        <w:t xml:space="preserve"> (2003</w:t>
      </w:r>
      <w:r w:rsidR="00BC615D">
        <w:rPr>
          <w:rFonts w:ascii="Times New Roman" w:hAnsi="Times New Roman" w:cs="Times New Roman"/>
          <w:sz w:val="24"/>
          <w:szCs w:val="24"/>
        </w:rPr>
        <w:t>) 4.6 - 6.2g/dl and 5.66 – 5.94g/dl respectively. The high level of ALT and AST observed in this study supported the findings Bashandy and Alwasel (2011). The total protein and globulin were found not have significant (P&gt;0.05) differences in this study.</w:t>
      </w:r>
    </w:p>
    <w:p w:rsidR="00EB1800" w:rsidRDefault="00EB1800"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Information on the plasma electrolytes is very essential due to the fact that electrolytes serves as an essential components in numerous process. However, the creatinine, and potassium were not significantly (P&gt;0.05) change while plasma urea were statistically (P&lt;0.05) different in this study.</w:t>
      </w:r>
    </w:p>
    <w:p w:rsidR="00D33C7B" w:rsidRPr="00D33C7B" w:rsidRDefault="00D33C7B" w:rsidP="00D33C7B">
      <w:pPr>
        <w:tabs>
          <w:tab w:val="left" w:pos="3099"/>
        </w:tabs>
        <w:jc w:val="both"/>
        <w:rPr>
          <w:rFonts w:ascii="Times New Roman" w:hAnsi="Times New Roman" w:cs="Times New Roman"/>
          <w:b/>
          <w:sz w:val="24"/>
          <w:szCs w:val="24"/>
        </w:rPr>
      </w:pPr>
      <w:r w:rsidRPr="00D33C7B">
        <w:rPr>
          <w:rFonts w:ascii="Times New Roman" w:hAnsi="Times New Roman" w:cs="Times New Roman"/>
          <w:b/>
          <w:sz w:val="24"/>
          <w:szCs w:val="24"/>
        </w:rPr>
        <w:t>Table 3: Effect Momordica charantia on serum biochemistry profile of Monosodium glutamate diabetic induced guinea pigs</w:t>
      </w:r>
    </w:p>
    <w:tbl>
      <w:tblPr>
        <w:tblStyle w:val="TableGrid"/>
        <w:tblW w:w="4995" w:type="pct"/>
        <w:tblBorders>
          <w:left w:val="none" w:sz="0" w:space="0" w:color="auto"/>
          <w:right w:val="none" w:sz="0" w:space="0" w:color="auto"/>
          <w:insideV w:val="none" w:sz="0" w:space="0" w:color="auto"/>
        </w:tblBorders>
        <w:tblLook w:val="04A0" w:firstRow="1" w:lastRow="0" w:firstColumn="1" w:lastColumn="0" w:noHBand="0" w:noVBand="1"/>
      </w:tblPr>
      <w:tblGrid>
        <w:gridCol w:w="3598"/>
        <w:gridCol w:w="1171"/>
        <w:gridCol w:w="1083"/>
        <w:gridCol w:w="984"/>
        <w:gridCol w:w="909"/>
        <w:gridCol w:w="901"/>
        <w:gridCol w:w="705"/>
      </w:tblGrid>
      <w:tr w:rsidR="000E19BC" w:rsidTr="00B47C4A">
        <w:tc>
          <w:tcPr>
            <w:tcW w:w="1924"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Parameters</w:t>
            </w:r>
          </w:p>
        </w:tc>
        <w:tc>
          <w:tcPr>
            <w:tcW w:w="626"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T1</w:t>
            </w:r>
          </w:p>
        </w:tc>
        <w:tc>
          <w:tcPr>
            <w:tcW w:w="579"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T2</w:t>
            </w:r>
          </w:p>
        </w:tc>
        <w:tc>
          <w:tcPr>
            <w:tcW w:w="526"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T3</w:t>
            </w:r>
          </w:p>
        </w:tc>
        <w:tc>
          <w:tcPr>
            <w:tcW w:w="486"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T4</w:t>
            </w:r>
          </w:p>
        </w:tc>
        <w:tc>
          <w:tcPr>
            <w:tcW w:w="482"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SEM</w:t>
            </w:r>
          </w:p>
        </w:tc>
        <w:tc>
          <w:tcPr>
            <w:tcW w:w="377" w:type="pct"/>
            <w:tcBorders>
              <w:bottom w:val="single" w:sz="4" w:space="0" w:color="auto"/>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LOS</w:t>
            </w:r>
          </w:p>
        </w:tc>
      </w:tr>
      <w:tr w:rsidR="000E19BC" w:rsidTr="00B47C4A">
        <w:tc>
          <w:tcPr>
            <w:tcW w:w="1924" w:type="pct"/>
            <w:tcBorders>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Alkaline phosphatase (iu/l)</w:t>
            </w:r>
          </w:p>
        </w:tc>
        <w:tc>
          <w:tcPr>
            <w:tcW w:w="626" w:type="pct"/>
            <w:tcBorders>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57.50</w:t>
            </w:r>
            <w:r>
              <w:rPr>
                <w:rFonts w:ascii="Times New Roman" w:hAnsi="Times New Roman" w:cs="Times New Roman"/>
                <w:sz w:val="24"/>
                <w:szCs w:val="24"/>
                <w:vertAlign w:val="superscript"/>
              </w:rPr>
              <w:t>a</w:t>
            </w:r>
          </w:p>
        </w:tc>
        <w:tc>
          <w:tcPr>
            <w:tcW w:w="579" w:type="pct"/>
            <w:tcBorders>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69.45</w:t>
            </w:r>
            <w:r>
              <w:rPr>
                <w:rFonts w:ascii="Times New Roman" w:hAnsi="Times New Roman" w:cs="Times New Roman"/>
                <w:sz w:val="24"/>
                <w:szCs w:val="24"/>
                <w:vertAlign w:val="superscript"/>
              </w:rPr>
              <w:t>b</w:t>
            </w:r>
          </w:p>
        </w:tc>
        <w:tc>
          <w:tcPr>
            <w:tcW w:w="526" w:type="pct"/>
            <w:tcBorders>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72.68</w:t>
            </w:r>
            <w:r>
              <w:rPr>
                <w:rFonts w:ascii="Times New Roman" w:hAnsi="Times New Roman" w:cs="Times New Roman"/>
                <w:sz w:val="24"/>
                <w:szCs w:val="24"/>
                <w:vertAlign w:val="superscript"/>
              </w:rPr>
              <w:t>b</w:t>
            </w:r>
          </w:p>
        </w:tc>
        <w:tc>
          <w:tcPr>
            <w:tcW w:w="486" w:type="pct"/>
            <w:tcBorders>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74.81</w:t>
            </w:r>
            <w:r>
              <w:rPr>
                <w:rFonts w:ascii="Times New Roman" w:hAnsi="Times New Roman" w:cs="Times New Roman"/>
                <w:sz w:val="24"/>
                <w:szCs w:val="24"/>
                <w:vertAlign w:val="superscript"/>
              </w:rPr>
              <w:t>b</w:t>
            </w:r>
          </w:p>
        </w:tc>
        <w:tc>
          <w:tcPr>
            <w:tcW w:w="482" w:type="pct"/>
            <w:tcBorders>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2.823</w:t>
            </w:r>
          </w:p>
        </w:tc>
        <w:tc>
          <w:tcPr>
            <w:tcW w:w="377" w:type="pct"/>
            <w:tcBorders>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0E19BC" w:rsidTr="00B47C4A">
        <w:tc>
          <w:tcPr>
            <w:tcW w:w="1924"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Alanine aminotransferase (iu/l)</w:t>
            </w:r>
          </w:p>
        </w:tc>
        <w:tc>
          <w:tcPr>
            <w:tcW w:w="62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22.80</w:t>
            </w:r>
            <w:r>
              <w:rPr>
                <w:rFonts w:ascii="Times New Roman" w:hAnsi="Times New Roman" w:cs="Times New Roman"/>
                <w:sz w:val="24"/>
                <w:szCs w:val="24"/>
                <w:vertAlign w:val="superscript"/>
              </w:rPr>
              <w:t>a</w:t>
            </w:r>
          </w:p>
        </w:tc>
        <w:tc>
          <w:tcPr>
            <w:tcW w:w="579"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24.11</w:t>
            </w:r>
            <w:r>
              <w:rPr>
                <w:rFonts w:ascii="Times New Roman" w:hAnsi="Times New Roman" w:cs="Times New Roman"/>
                <w:sz w:val="24"/>
                <w:szCs w:val="24"/>
                <w:vertAlign w:val="superscript"/>
              </w:rPr>
              <w:t>a</w:t>
            </w:r>
          </w:p>
        </w:tc>
        <w:tc>
          <w:tcPr>
            <w:tcW w:w="52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31.52</w:t>
            </w:r>
            <w:r>
              <w:rPr>
                <w:rFonts w:ascii="Times New Roman" w:hAnsi="Times New Roman" w:cs="Times New Roman"/>
                <w:sz w:val="24"/>
                <w:szCs w:val="24"/>
                <w:vertAlign w:val="superscript"/>
              </w:rPr>
              <w:t>ab</w:t>
            </w:r>
          </w:p>
        </w:tc>
        <w:tc>
          <w:tcPr>
            <w:tcW w:w="48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37.89</w:t>
            </w:r>
            <w:r>
              <w:rPr>
                <w:rFonts w:ascii="Times New Roman" w:hAnsi="Times New Roman" w:cs="Times New Roman"/>
                <w:sz w:val="24"/>
                <w:szCs w:val="24"/>
                <w:vertAlign w:val="superscript"/>
              </w:rPr>
              <w:t>b</w:t>
            </w:r>
          </w:p>
        </w:tc>
        <w:tc>
          <w:tcPr>
            <w:tcW w:w="482"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3.66</w:t>
            </w:r>
          </w:p>
        </w:tc>
        <w:tc>
          <w:tcPr>
            <w:tcW w:w="377"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0E19BC" w:rsidTr="00B47C4A">
        <w:tc>
          <w:tcPr>
            <w:tcW w:w="1924"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Aspartate aminotransferase (iu/l)</w:t>
            </w:r>
          </w:p>
        </w:tc>
        <w:tc>
          <w:tcPr>
            <w:tcW w:w="62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40.50</w:t>
            </w:r>
            <w:r>
              <w:rPr>
                <w:rFonts w:ascii="Times New Roman" w:hAnsi="Times New Roman" w:cs="Times New Roman"/>
                <w:sz w:val="24"/>
                <w:szCs w:val="24"/>
                <w:vertAlign w:val="superscript"/>
              </w:rPr>
              <w:t>a</w:t>
            </w:r>
          </w:p>
        </w:tc>
        <w:tc>
          <w:tcPr>
            <w:tcW w:w="579"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38.00</w:t>
            </w:r>
            <w:r>
              <w:rPr>
                <w:rFonts w:ascii="Times New Roman" w:hAnsi="Times New Roman" w:cs="Times New Roman"/>
                <w:sz w:val="24"/>
                <w:szCs w:val="24"/>
                <w:vertAlign w:val="superscript"/>
              </w:rPr>
              <w:t>a</w:t>
            </w:r>
          </w:p>
        </w:tc>
        <w:tc>
          <w:tcPr>
            <w:tcW w:w="52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22.50</w:t>
            </w:r>
            <w:r>
              <w:rPr>
                <w:rFonts w:ascii="Times New Roman" w:hAnsi="Times New Roman" w:cs="Times New Roman"/>
                <w:sz w:val="24"/>
                <w:szCs w:val="24"/>
                <w:vertAlign w:val="superscript"/>
              </w:rPr>
              <w:t>a</w:t>
            </w:r>
          </w:p>
        </w:tc>
        <w:tc>
          <w:tcPr>
            <w:tcW w:w="48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25.00</w:t>
            </w:r>
            <w:r>
              <w:rPr>
                <w:rFonts w:ascii="Times New Roman" w:hAnsi="Times New Roman" w:cs="Times New Roman"/>
                <w:sz w:val="24"/>
                <w:szCs w:val="24"/>
                <w:vertAlign w:val="superscript"/>
              </w:rPr>
              <w:t>a</w:t>
            </w:r>
          </w:p>
        </w:tc>
        <w:tc>
          <w:tcPr>
            <w:tcW w:w="482"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94.3</w:t>
            </w:r>
          </w:p>
        </w:tc>
        <w:tc>
          <w:tcPr>
            <w:tcW w:w="377"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0E19BC" w:rsidTr="00B47C4A">
        <w:tc>
          <w:tcPr>
            <w:tcW w:w="1924"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Albumin (g/dl)</w:t>
            </w:r>
          </w:p>
        </w:tc>
        <w:tc>
          <w:tcPr>
            <w:tcW w:w="62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2.660</w:t>
            </w:r>
            <w:r>
              <w:rPr>
                <w:rFonts w:ascii="Times New Roman" w:hAnsi="Times New Roman" w:cs="Times New Roman"/>
                <w:sz w:val="24"/>
                <w:szCs w:val="24"/>
                <w:vertAlign w:val="superscript"/>
              </w:rPr>
              <w:t>a</w:t>
            </w:r>
          </w:p>
        </w:tc>
        <w:tc>
          <w:tcPr>
            <w:tcW w:w="579"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2.999</w:t>
            </w:r>
            <w:r>
              <w:rPr>
                <w:rFonts w:ascii="Times New Roman" w:hAnsi="Times New Roman" w:cs="Times New Roman"/>
                <w:sz w:val="24"/>
                <w:szCs w:val="24"/>
                <w:vertAlign w:val="superscript"/>
              </w:rPr>
              <w:t>ab</w:t>
            </w:r>
          </w:p>
        </w:tc>
        <w:tc>
          <w:tcPr>
            <w:tcW w:w="52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3.636</w:t>
            </w:r>
            <w:r>
              <w:rPr>
                <w:rFonts w:ascii="Times New Roman" w:hAnsi="Times New Roman" w:cs="Times New Roman"/>
                <w:sz w:val="24"/>
                <w:szCs w:val="24"/>
                <w:vertAlign w:val="superscript"/>
              </w:rPr>
              <w:t>b</w:t>
            </w:r>
          </w:p>
        </w:tc>
        <w:tc>
          <w:tcPr>
            <w:tcW w:w="486" w:type="pct"/>
            <w:tcBorders>
              <w:top w:val="nil"/>
              <w:bottom w:val="nil"/>
            </w:tcBorders>
          </w:tcPr>
          <w:p w:rsidR="000E19BC" w:rsidRPr="000E19BC" w:rsidRDefault="000E19BC"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3.034</w:t>
            </w:r>
            <w:r>
              <w:rPr>
                <w:rFonts w:ascii="Times New Roman" w:hAnsi="Times New Roman" w:cs="Times New Roman"/>
                <w:sz w:val="24"/>
                <w:szCs w:val="24"/>
                <w:vertAlign w:val="superscript"/>
              </w:rPr>
              <w:t>ab</w:t>
            </w:r>
          </w:p>
        </w:tc>
        <w:tc>
          <w:tcPr>
            <w:tcW w:w="482"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0.246</w:t>
            </w:r>
          </w:p>
        </w:tc>
        <w:tc>
          <w:tcPr>
            <w:tcW w:w="377" w:type="pct"/>
            <w:tcBorders>
              <w:top w:val="nil"/>
              <w:bottom w:val="nil"/>
            </w:tcBorders>
          </w:tcPr>
          <w:p w:rsidR="000E19BC" w:rsidRDefault="000E19BC"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0E19BC" w:rsidTr="00B47C4A">
        <w:tc>
          <w:tcPr>
            <w:tcW w:w="1924"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Creatinine (µmol/l)</w:t>
            </w:r>
          </w:p>
        </w:tc>
        <w:tc>
          <w:tcPr>
            <w:tcW w:w="6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1.300</w:t>
            </w:r>
            <w:r>
              <w:rPr>
                <w:rFonts w:ascii="Times New Roman" w:hAnsi="Times New Roman" w:cs="Times New Roman"/>
                <w:sz w:val="24"/>
                <w:szCs w:val="24"/>
                <w:vertAlign w:val="superscript"/>
              </w:rPr>
              <w:t>a</w:t>
            </w:r>
          </w:p>
        </w:tc>
        <w:tc>
          <w:tcPr>
            <w:tcW w:w="579"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0.800</w:t>
            </w:r>
            <w:r>
              <w:rPr>
                <w:rFonts w:ascii="Times New Roman" w:hAnsi="Times New Roman" w:cs="Times New Roman"/>
                <w:sz w:val="24"/>
                <w:szCs w:val="24"/>
                <w:vertAlign w:val="superscript"/>
              </w:rPr>
              <w:t>a</w:t>
            </w:r>
          </w:p>
        </w:tc>
        <w:tc>
          <w:tcPr>
            <w:tcW w:w="5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0.655</w:t>
            </w:r>
            <w:r>
              <w:rPr>
                <w:rFonts w:ascii="Times New Roman" w:hAnsi="Times New Roman" w:cs="Times New Roman"/>
                <w:sz w:val="24"/>
                <w:szCs w:val="24"/>
                <w:vertAlign w:val="superscript"/>
              </w:rPr>
              <w:t>a</w:t>
            </w:r>
          </w:p>
        </w:tc>
        <w:tc>
          <w:tcPr>
            <w:tcW w:w="48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1.025</w:t>
            </w:r>
            <w:r>
              <w:rPr>
                <w:rFonts w:ascii="Times New Roman" w:hAnsi="Times New Roman" w:cs="Times New Roman"/>
                <w:sz w:val="24"/>
                <w:szCs w:val="24"/>
                <w:vertAlign w:val="superscript"/>
              </w:rPr>
              <w:t>a</w:t>
            </w:r>
          </w:p>
        </w:tc>
        <w:tc>
          <w:tcPr>
            <w:tcW w:w="482"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0.353</w:t>
            </w:r>
          </w:p>
        </w:tc>
        <w:tc>
          <w:tcPr>
            <w:tcW w:w="377"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0E19BC" w:rsidTr="00B47C4A">
        <w:tc>
          <w:tcPr>
            <w:tcW w:w="1924"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Globulin (g/dl)</w:t>
            </w:r>
          </w:p>
        </w:tc>
        <w:tc>
          <w:tcPr>
            <w:tcW w:w="6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2.855</w:t>
            </w:r>
            <w:r>
              <w:rPr>
                <w:rFonts w:ascii="Times New Roman" w:hAnsi="Times New Roman" w:cs="Times New Roman"/>
                <w:sz w:val="24"/>
                <w:szCs w:val="24"/>
                <w:vertAlign w:val="superscript"/>
              </w:rPr>
              <w:t>a</w:t>
            </w:r>
          </w:p>
        </w:tc>
        <w:tc>
          <w:tcPr>
            <w:tcW w:w="579"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2.660</w:t>
            </w:r>
            <w:r>
              <w:rPr>
                <w:rFonts w:ascii="Times New Roman" w:hAnsi="Times New Roman" w:cs="Times New Roman"/>
                <w:sz w:val="24"/>
                <w:szCs w:val="24"/>
                <w:vertAlign w:val="superscript"/>
              </w:rPr>
              <w:t>a</w:t>
            </w:r>
          </w:p>
        </w:tc>
        <w:tc>
          <w:tcPr>
            <w:tcW w:w="5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2.935</w:t>
            </w:r>
            <w:r>
              <w:rPr>
                <w:rFonts w:ascii="Times New Roman" w:hAnsi="Times New Roman" w:cs="Times New Roman"/>
                <w:sz w:val="24"/>
                <w:szCs w:val="24"/>
                <w:vertAlign w:val="superscript"/>
              </w:rPr>
              <w:t>a</w:t>
            </w:r>
          </w:p>
        </w:tc>
        <w:tc>
          <w:tcPr>
            <w:tcW w:w="48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2.140</w:t>
            </w:r>
            <w:r>
              <w:rPr>
                <w:rFonts w:ascii="Times New Roman" w:hAnsi="Times New Roman" w:cs="Times New Roman"/>
                <w:sz w:val="24"/>
                <w:szCs w:val="24"/>
                <w:vertAlign w:val="superscript"/>
              </w:rPr>
              <w:t>a</w:t>
            </w:r>
          </w:p>
        </w:tc>
        <w:tc>
          <w:tcPr>
            <w:tcW w:w="482"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0.389</w:t>
            </w:r>
          </w:p>
        </w:tc>
        <w:tc>
          <w:tcPr>
            <w:tcW w:w="377"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0E19BC" w:rsidTr="00B47C4A">
        <w:tc>
          <w:tcPr>
            <w:tcW w:w="1924"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Total Protein (g/dl)</w:t>
            </w:r>
          </w:p>
        </w:tc>
        <w:tc>
          <w:tcPr>
            <w:tcW w:w="6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5.515</w:t>
            </w:r>
            <w:r>
              <w:rPr>
                <w:rFonts w:ascii="Times New Roman" w:hAnsi="Times New Roman" w:cs="Times New Roman"/>
                <w:sz w:val="24"/>
                <w:szCs w:val="24"/>
                <w:vertAlign w:val="superscript"/>
              </w:rPr>
              <w:t>a</w:t>
            </w:r>
          </w:p>
        </w:tc>
        <w:tc>
          <w:tcPr>
            <w:tcW w:w="579"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5.659</w:t>
            </w:r>
            <w:r>
              <w:rPr>
                <w:rFonts w:ascii="Times New Roman" w:hAnsi="Times New Roman" w:cs="Times New Roman"/>
                <w:sz w:val="24"/>
                <w:szCs w:val="24"/>
                <w:vertAlign w:val="superscript"/>
              </w:rPr>
              <w:t>a</w:t>
            </w:r>
          </w:p>
        </w:tc>
        <w:tc>
          <w:tcPr>
            <w:tcW w:w="5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6.600</w:t>
            </w:r>
            <w:r>
              <w:rPr>
                <w:rFonts w:ascii="Times New Roman" w:hAnsi="Times New Roman" w:cs="Times New Roman"/>
                <w:sz w:val="24"/>
                <w:szCs w:val="24"/>
                <w:vertAlign w:val="superscript"/>
              </w:rPr>
              <w:t>a</w:t>
            </w:r>
          </w:p>
        </w:tc>
        <w:tc>
          <w:tcPr>
            <w:tcW w:w="48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5.174</w:t>
            </w:r>
            <w:r>
              <w:rPr>
                <w:rFonts w:ascii="Times New Roman" w:hAnsi="Times New Roman" w:cs="Times New Roman"/>
                <w:sz w:val="24"/>
                <w:szCs w:val="24"/>
                <w:vertAlign w:val="superscript"/>
              </w:rPr>
              <w:t>a</w:t>
            </w:r>
          </w:p>
        </w:tc>
        <w:tc>
          <w:tcPr>
            <w:tcW w:w="482"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0.567</w:t>
            </w:r>
          </w:p>
        </w:tc>
        <w:tc>
          <w:tcPr>
            <w:tcW w:w="377"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0E19BC" w:rsidTr="00B47C4A">
        <w:tc>
          <w:tcPr>
            <w:tcW w:w="1924"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Potassium</w:t>
            </w:r>
          </w:p>
        </w:tc>
        <w:tc>
          <w:tcPr>
            <w:tcW w:w="6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48.75</w:t>
            </w:r>
            <w:r>
              <w:rPr>
                <w:rFonts w:ascii="Times New Roman" w:hAnsi="Times New Roman" w:cs="Times New Roman"/>
                <w:sz w:val="24"/>
                <w:szCs w:val="24"/>
                <w:vertAlign w:val="superscript"/>
              </w:rPr>
              <w:t>a</w:t>
            </w:r>
          </w:p>
        </w:tc>
        <w:tc>
          <w:tcPr>
            <w:tcW w:w="579"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24.50</w:t>
            </w:r>
            <w:r>
              <w:rPr>
                <w:rFonts w:ascii="Times New Roman" w:hAnsi="Times New Roman" w:cs="Times New Roman"/>
                <w:sz w:val="24"/>
                <w:szCs w:val="24"/>
                <w:vertAlign w:val="superscript"/>
              </w:rPr>
              <w:t>a</w:t>
            </w:r>
          </w:p>
        </w:tc>
        <w:tc>
          <w:tcPr>
            <w:tcW w:w="52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14.75</w:t>
            </w:r>
            <w:r>
              <w:rPr>
                <w:rFonts w:ascii="Times New Roman" w:hAnsi="Times New Roman" w:cs="Times New Roman"/>
                <w:sz w:val="24"/>
                <w:szCs w:val="24"/>
                <w:vertAlign w:val="superscript"/>
              </w:rPr>
              <w:t>a</w:t>
            </w:r>
          </w:p>
        </w:tc>
        <w:tc>
          <w:tcPr>
            <w:tcW w:w="486" w:type="pct"/>
            <w:tcBorders>
              <w:top w:val="nil"/>
              <w:bottom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18.75</w:t>
            </w:r>
            <w:r>
              <w:rPr>
                <w:rFonts w:ascii="Times New Roman" w:hAnsi="Times New Roman" w:cs="Times New Roman"/>
                <w:sz w:val="24"/>
                <w:szCs w:val="24"/>
                <w:vertAlign w:val="superscript"/>
              </w:rPr>
              <w:t>a</w:t>
            </w:r>
          </w:p>
        </w:tc>
        <w:tc>
          <w:tcPr>
            <w:tcW w:w="482"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24.10</w:t>
            </w:r>
          </w:p>
        </w:tc>
        <w:tc>
          <w:tcPr>
            <w:tcW w:w="377" w:type="pct"/>
            <w:tcBorders>
              <w:top w:val="nil"/>
              <w:bottom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0E19BC" w:rsidTr="00B47C4A">
        <w:tc>
          <w:tcPr>
            <w:tcW w:w="1924" w:type="pct"/>
            <w:tcBorders>
              <w:top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Urea (nmol/l)</w:t>
            </w:r>
          </w:p>
        </w:tc>
        <w:tc>
          <w:tcPr>
            <w:tcW w:w="626" w:type="pct"/>
            <w:tcBorders>
              <w:top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9.125</w:t>
            </w:r>
            <w:r>
              <w:rPr>
                <w:rFonts w:ascii="Times New Roman" w:hAnsi="Times New Roman" w:cs="Times New Roman"/>
                <w:sz w:val="24"/>
                <w:szCs w:val="24"/>
                <w:vertAlign w:val="superscript"/>
              </w:rPr>
              <w:t>b</w:t>
            </w:r>
          </w:p>
        </w:tc>
        <w:tc>
          <w:tcPr>
            <w:tcW w:w="579" w:type="pct"/>
            <w:tcBorders>
              <w:top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7.700</w:t>
            </w:r>
            <w:r>
              <w:rPr>
                <w:rFonts w:ascii="Times New Roman" w:hAnsi="Times New Roman" w:cs="Times New Roman"/>
                <w:sz w:val="24"/>
                <w:szCs w:val="24"/>
                <w:vertAlign w:val="superscript"/>
              </w:rPr>
              <w:t>ab</w:t>
            </w:r>
          </w:p>
        </w:tc>
        <w:tc>
          <w:tcPr>
            <w:tcW w:w="526" w:type="pct"/>
            <w:tcBorders>
              <w:top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6.000</w:t>
            </w:r>
            <w:r>
              <w:rPr>
                <w:rFonts w:ascii="Times New Roman" w:hAnsi="Times New Roman" w:cs="Times New Roman"/>
                <w:sz w:val="24"/>
                <w:szCs w:val="24"/>
                <w:vertAlign w:val="superscript"/>
              </w:rPr>
              <w:t>a</w:t>
            </w:r>
          </w:p>
        </w:tc>
        <w:tc>
          <w:tcPr>
            <w:tcW w:w="486" w:type="pct"/>
            <w:tcBorders>
              <w:top w:val="nil"/>
            </w:tcBorders>
          </w:tcPr>
          <w:p w:rsidR="000E19BC" w:rsidRPr="006D17DA" w:rsidRDefault="006D17DA"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9.110</w:t>
            </w:r>
            <w:r>
              <w:rPr>
                <w:rFonts w:ascii="Times New Roman" w:hAnsi="Times New Roman" w:cs="Times New Roman"/>
                <w:sz w:val="24"/>
                <w:szCs w:val="24"/>
                <w:vertAlign w:val="superscript"/>
              </w:rPr>
              <w:t>b</w:t>
            </w:r>
          </w:p>
        </w:tc>
        <w:tc>
          <w:tcPr>
            <w:tcW w:w="482" w:type="pct"/>
            <w:tcBorders>
              <w:top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0.850</w:t>
            </w:r>
          </w:p>
        </w:tc>
        <w:tc>
          <w:tcPr>
            <w:tcW w:w="377" w:type="pct"/>
            <w:tcBorders>
              <w:top w:val="nil"/>
            </w:tcBorders>
          </w:tcPr>
          <w:p w:rsidR="000E19BC" w:rsidRDefault="006D17DA"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bl>
    <w:p w:rsidR="000934E4" w:rsidRDefault="000934E4" w:rsidP="000934E4">
      <w:pPr>
        <w:tabs>
          <w:tab w:val="left" w:pos="3099"/>
        </w:tabs>
        <w:jc w:val="both"/>
        <w:rPr>
          <w:rFonts w:ascii="Times New Roman" w:hAnsi="Times New Roman" w:cs="Times New Roman"/>
          <w:sz w:val="24"/>
          <w:szCs w:val="24"/>
        </w:rPr>
      </w:pPr>
    </w:p>
    <w:p w:rsidR="000934E4" w:rsidRDefault="000934E4" w:rsidP="000934E4">
      <w:pPr>
        <w:tabs>
          <w:tab w:val="left" w:pos="3099"/>
        </w:tabs>
        <w:jc w:val="both"/>
        <w:rPr>
          <w:rFonts w:ascii="Times New Roman" w:hAnsi="Times New Roman" w:cs="Times New Roman"/>
          <w:sz w:val="24"/>
          <w:szCs w:val="24"/>
        </w:rPr>
      </w:pPr>
    </w:p>
    <w:p w:rsidR="000934E4" w:rsidRDefault="000934E4" w:rsidP="000934E4">
      <w:pPr>
        <w:tabs>
          <w:tab w:val="left" w:pos="3099"/>
        </w:tabs>
        <w:jc w:val="both"/>
        <w:rPr>
          <w:rFonts w:ascii="Times New Roman" w:hAnsi="Times New Roman" w:cs="Times New Roman"/>
          <w:sz w:val="24"/>
          <w:szCs w:val="24"/>
        </w:rPr>
      </w:pPr>
    </w:p>
    <w:p w:rsidR="000934E4" w:rsidRDefault="000934E4" w:rsidP="000934E4">
      <w:pPr>
        <w:tabs>
          <w:tab w:val="left" w:pos="3099"/>
        </w:tabs>
        <w:jc w:val="both"/>
        <w:rPr>
          <w:rFonts w:ascii="Times New Roman" w:hAnsi="Times New Roman" w:cs="Times New Roman"/>
          <w:sz w:val="24"/>
          <w:szCs w:val="24"/>
        </w:rPr>
      </w:pPr>
    </w:p>
    <w:p w:rsidR="000934E4" w:rsidRDefault="000934E4" w:rsidP="000934E4">
      <w:pPr>
        <w:tabs>
          <w:tab w:val="left" w:pos="3099"/>
        </w:tabs>
        <w:jc w:val="both"/>
        <w:rPr>
          <w:rFonts w:ascii="Times New Roman" w:hAnsi="Times New Roman" w:cs="Times New Roman"/>
          <w:sz w:val="24"/>
          <w:szCs w:val="24"/>
        </w:rPr>
      </w:pPr>
    </w:p>
    <w:p w:rsidR="000934E4" w:rsidRDefault="000934E4" w:rsidP="000934E4">
      <w:pPr>
        <w:tabs>
          <w:tab w:val="left" w:pos="3099"/>
        </w:tabs>
        <w:jc w:val="both"/>
        <w:rPr>
          <w:rFonts w:ascii="Times New Roman" w:hAnsi="Times New Roman" w:cs="Times New Roman"/>
          <w:sz w:val="24"/>
          <w:szCs w:val="24"/>
        </w:rPr>
      </w:pPr>
    </w:p>
    <w:p w:rsidR="000934E4" w:rsidRPr="00762AD8" w:rsidRDefault="005F7CE6" w:rsidP="000934E4">
      <w:pPr>
        <w:tabs>
          <w:tab w:val="left" w:pos="3099"/>
        </w:tabs>
        <w:jc w:val="both"/>
        <w:rPr>
          <w:rFonts w:ascii="Times New Roman" w:hAnsi="Times New Roman" w:cs="Times New Roman"/>
          <w:b/>
          <w:sz w:val="24"/>
          <w:szCs w:val="24"/>
        </w:rPr>
      </w:pPr>
      <w:r w:rsidRPr="00762AD8">
        <w:rPr>
          <w:rFonts w:ascii="Times New Roman" w:hAnsi="Times New Roman" w:cs="Times New Roman"/>
          <w:b/>
          <w:sz w:val="24"/>
          <w:szCs w:val="24"/>
        </w:rPr>
        <w:t xml:space="preserve"> </w:t>
      </w:r>
      <w:r w:rsidR="000934E4" w:rsidRPr="00762AD8">
        <w:rPr>
          <w:rFonts w:ascii="Times New Roman" w:hAnsi="Times New Roman" w:cs="Times New Roman"/>
          <w:b/>
          <w:sz w:val="24"/>
          <w:szCs w:val="24"/>
        </w:rPr>
        <w:t xml:space="preserve">Effect Momordica charantia on </w:t>
      </w:r>
      <w:r w:rsidR="005537EA" w:rsidRPr="00762AD8">
        <w:rPr>
          <w:rFonts w:ascii="Times New Roman" w:hAnsi="Times New Roman" w:cs="Times New Roman"/>
          <w:b/>
          <w:sz w:val="24"/>
          <w:szCs w:val="24"/>
        </w:rPr>
        <w:t xml:space="preserve">liver tissue histo-morphometric </w:t>
      </w:r>
      <w:r w:rsidR="000934E4" w:rsidRPr="00762AD8">
        <w:rPr>
          <w:rFonts w:ascii="Times New Roman" w:hAnsi="Times New Roman" w:cs="Times New Roman"/>
          <w:b/>
          <w:sz w:val="24"/>
          <w:szCs w:val="24"/>
        </w:rPr>
        <w:t>of Monosodium glutamate diabetic induced guinea pigs</w:t>
      </w:r>
    </w:p>
    <w:p w:rsidR="005537EA" w:rsidRDefault="005537EA" w:rsidP="000934E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The result of hepatic tissue histo-morphometric of diabetic induced fed </w:t>
      </w:r>
      <w:r w:rsidR="00762AD8" w:rsidRPr="00B46576">
        <w:rPr>
          <w:rFonts w:ascii="Times New Roman" w:hAnsi="Times New Roman" w:cs="Times New Roman"/>
          <w:i/>
          <w:sz w:val="24"/>
          <w:szCs w:val="24"/>
        </w:rPr>
        <w:t xml:space="preserve">M. charantia </w:t>
      </w:r>
      <w:r>
        <w:rPr>
          <w:rFonts w:ascii="Times New Roman" w:hAnsi="Times New Roman" w:cs="Times New Roman"/>
          <w:sz w:val="24"/>
          <w:szCs w:val="24"/>
        </w:rPr>
        <w:t>showed significant (P&lt;0.05) difference in all hepatic tissue cells except for the bile cana</w:t>
      </w:r>
      <w:r w:rsidR="007562F4">
        <w:rPr>
          <w:rFonts w:ascii="Times New Roman" w:hAnsi="Times New Roman" w:cs="Times New Roman"/>
          <w:sz w:val="24"/>
          <w:szCs w:val="24"/>
        </w:rPr>
        <w:t>li</w:t>
      </w:r>
      <w:r>
        <w:rPr>
          <w:rFonts w:ascii="Times New Roman" w:hAnsi="Times New Roman" w:cs="Times New Roman"/>
          <w:sz w:val="24"/>
          <w:szCs w:val="24"/>
        </w:rPr>
        <w:t>culi</w:t>
      </w:r>
      <w:r w:rsidR="007562F4">
        <w:rPr>
          <w:rFonts w:ascii="Times New Roman" w:hAnsi="Times New Roman" w:cs="Times New Roman"/>
          <w:sz w:val="24"/>
          <w:szCs w:val="24"/>
        </w:rPr>
        <w:t xml:space="preserve"> which revealed no significant (P&gt;0.05) differences as presented in table 4 below. The hepatocytes had the highest numerical valus of 12.</w:t>
      </w:r>
      <w:r w:rsidR="007562F4" w:rsidRPr="007562F4">
        <w:rPr>
          <w:rFonts w:ascii="Times New Roman" w:hAnsi="Times New Roman" w:cs="Times New Roman"/>
          <w:sz w:val="24"/>
          <w:szCs w:val="24"/>
        </w:rPr>
        <w:t>00</w:t>
      </w:r>
      <w:r w:rsidR="007562F4">
        <w:rPr>
          <w:rFonts w:ascii="Times New Roman" w:hAnsi="Times New Roman" w:cs="Times New Roman"/>
          <w:sz w:val="24"/>
          <w:szCs w:val="24"/>
        </w:rPr>
        <w:t xml:space="preserve"> mm</w:t>
      </w:r>
      <w:r w:rsidR="007562F4">
        <w:rPr>
          <w:rFonts w:ascii="Times New Roman" w:hAnsi="Times New Roman" w:cs="Times New Roman"/>
          <w:sz w:val="24"/>
          <w:szCs w:val="24"/>
          <w:vertAlign w:val="superscript"/>
        </w:rPr>
        <w:t>2</w:t>
      </w:r>
      <w:r w:rsidR="007562F4">
        <w:rPr>
          <w:rFonts w:ascii="Times New Roman" w:hAnsi="Times New Roman" w:cs="Times New Roman"/>
          <w:sz w:val="24"/>
          <w:szCs w:val="24"/>
        </w:rPr>
        <w:t xml:space="preserve"> at T3 and AT4 while lowest value were obtained in T1 (6.00mm). </w:t>
      </w:r>
      <w:r w:rsidR="009D5C70">
        <w:rPr>
          <w:rFonts w:ascii="Times New Roman" w:hAnsi="Times New Roman" w:cs="Times New Roman"/>
          <w:sz w:val="24"/>
          <w:szCs w:val="24"/>
        </w:rPr>
        <w:t>The</w:t>
      </w:r>
      <w:r w:rsidR="007562F4">
        <w:rPr>
          <w:rFonts w:ascii="Times New Roman" w:hAnsi="Times New Roman" w:cs="Times New Roman"/>
          <w:sz w:val="24"/>
          <w:szCs w:val="24"/>
        </w:rPr>
        <w:t xml:space="preserve"> highest numerical hepatocytes height were obtained in T2 (123.0µm) and the lowest in T3 (103.0µm). the result further indicated that cholongiocytes, stellate cells and endothelial cells obtained the highest numerical value of 3.000, 1.000 and 3.000 respectively in T3 while the kupffer`s cell, bile canaliculi</w:t>
      </w:r>
      <w:r>
        <w:rPr>
          <w:rFonts w:ascii="Times New Roman" w:hAnsi="Times New Roman" w:cs="Times New Roman"/>
          <w:sz w:val="24"/>
          <w:szCs w:val="24"/>
        </w:rPr>
        <w:t xml:space="preserve"> </w:t>
      </w:r>
      <w:r w:rsidR="007562F4">
        <w:rPr>
          <w:rFonts w:ascii="Times New Roman" w:hAnsi="Times New Roman" w:cs="Times New Roman"/>
          <w:sz w:val="24"/>
          <w:szCs w:val="24"/>
        </w:rPr>
        <w:t xml:space="preserve"> and sinusoids </w:t>
      </w:r>
      <w:r w:rsidR="00781A15">
        <w:rPr>
          <w:rFonts w:ascii="Times New Roman" w:hAnsi="Times New Roman" w:cs="Times New Roman"/>
          <w:sz w:val="24"/>
          <w:szCs w:val="24"/>
        </w:rPr>
        <w:t xml:space="preserve">processed the </w:t>
      </w:r>
      <w:r w:rsidR="007562F4">
        <w:rPr>
          <w:rFonts w:ascii="Times New Roman" w:hAnsi="Times New Roman" w:cs="Times New Roman"/>
          <w:sz w:val="24"/>
          <w:szCs w:val="24"/>
        </w:rPr>
        <w:t>highest</w:t>
      </w:r>
      <w:r w:rsidR="00781A15">
        <w:rPr>
          <w:rFonts w:ascii="Times New Roman" w:hAnsi="Times New Roman" w:cs="Times New Roman"/>
          <w:sz w:val="24"/>
          <w:szCs w:val="24"/>
        </w:rPr>
        <w:t xml:space="preserve"> numerical values in T4.</w:t>
      </w:r>
    </w:p>
    <w:p w:rsidR="00C1283F" w:rsidRPr="0087355F" w:rsidRDefault="0087355F" w:rsidP="00845464">
      <w:pPr>
        <w:tabs>
          <w:tab w:val="left" w:pos="3099"/>
        </w:tabs>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Pr="00762AD8">
        <w:rPr>
          <w:rFonts w:ascii="Times New Roman" w:hAnsi="Times New Roman" w:cs="Times New Roman"/>
          <w:b/>
          <w:sz w:val="24"/>
          <w:szCs w:val="24"/>
        </w:rPr>
        <w:t>Effect Momordica charantia on liver tissue histo-morphometric of Monosodium glutamate diabetic induced guinea pigs</w:t>
      </w:r>
    </w:p>
    <w:tbl>
      <w:tblPr>
        <w:tblStyle w:val="TableGrid"/>
        <w:tblW w:w="4995" w:type="pct"/>
        <w:tblBorders>
          <w:left w:val="none" w:sz="0" w:space="0" w:color="auto"/>
          <w:right w:val="none" w:sz="0" w:space="0" w:color="auto"/>
          <w:insideV w:val="none" w:sz="0" w:space="0" w:color="auto"/>
        </w:tblBorders>
        <w:tblLook w:val="04A0" w:firstRow="1" w:lastRow="0" w:firstColumn="1" w:lastColumn="0" w:noHBand="0" w:noVBand="1"/>
      </w:tblPr>
      <w:tblGrid>
        <w:gridCol w:w="2967"/>
        <w:gridCol w:w="1261"/>
        <w:gridCol w:w="1173"/>
        <w:gridCol w:w="1171"/>
        <w:gridCol w:w="1081"/>
        <w:gridCol w:w="991"/>
        <w:gridCol w:w="707"/>
      </w:tblGrid>
      <w:tr w:rsidR="006E75E8" w:rsidTr="00965358">
        <w:tc>
          <w:tcPr>
            <w:tcW w:w="1587"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Parameters</w:t>
            </w:r>
          </w:p>
        </w:tc>
        <w:tc>
          <w:tcPr>
            <w:tcW w:w="674"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T1</w:t>
            </w:r>
          </w:p>
        </w:tc>
        <w:tc>
          <w:tcPr>
            <w:tcW w:w="627"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T2</w:t>
            </w:r>
          </w:p>
        </w:tc>
        <w:tc>
          <w:tcPr>
            <w:tcW w:w="626"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T3</w:t>
            </w:r>
          </w:p>
        </w:tc>
        <w:tc>
          <w:tcPr>
            <w:tcW w:w="578"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T4</w:t>
            </w:r>
          </w:p>
        </w:tc>
        <w:tc>
          <w:tcPr>
            <w:tcW w:w="530"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SEM</w:t>
            </w:r>
          </w:p>
        </w:tc>
        <w:tc>
          <w:tcPr>
            <w:tcW w:w="378" w:type="pct"/>
            <w:tcBorders>
              <w:bottom w:val="single" w:sz="4" w:space="0" w:color="auto"/>
            </w:tcBorders>
          </w:tcPr>
          <w:p w:rsidR="006E75E8" w:rsidRDefault="006E75E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LOS</w:t>
            </w:r>
          </w:p>
        </w:tc>
      </w:tr>
      <w:tr w:rsidR="006E75E8" w:rsidTr="00965358">
        <w:tc>
          <w:tcPr>
            <w:tcW w:w="1587" w:type="pct"/>
            <w:tcBorders>
              <w:bottom w:val="nil"/>
            </w:tcBorders>
          </w:tcPr>
          <w:p w:rsidR="006E75E8" w:rsidRPr="004C2771"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Hepatocytes (mm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674" w:type="pct"/>
            <w:tcBorders>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6.00</w:t>
            </w:r>
            <w:r>
              <w:rPr>
                <w:rFonts w:ascii="Times New Roman" w:hAnsi="Times New Roman" w:cs="Times New Roman"/>
                <w:sz w:val="24"/>
                <w:szCs w:val="24"/>
                <w:vertAlign w:val="superscript"/>
              </w:rPr>
              <w:t>a</w:t>
            </w:r>
          </w:p>
        </w:tc>
        <w:tc>
          <w:tcPr>
            <w:tcW w:w="627" w:type="pct"/>
            <w:tcBorders>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7.00</w:t>
            </w:r>
            <w:r>
              <w:rPr>
                <w:rFonts w:ascii="Times New Roman" w:hAnsi="Times New Roman" w:cs="Times New Roman"/>
                <w:sz w:val="24"/>
                <w:szCs w:val="24"/>
                <w:vertAlign w:val="superscript"/>
              </w:rPr>
              <w:t>b</w:t>
            </w:r>
          </w:p>
        </w:tc>
        <w:tc>
          <w:tcPr>
            <w:tcW w:w="626" w:type="pct"/>
            <w:tcBorders>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12.00</w:t>
            </w:r>
            <w:r>
              <w:rPr>
                <w:rFonts w:ascii="Times New Roman" w:hAnsi="Times New Roman" w:cs="Times New Roman"/>
                <w:sz w:val="24"/>
                <w:szCs w:val="24"/>
                <w:vertAlign w:val="superscript"/>
              </w:rPr>
              <w:t>a</w:t>
            </w:r>
          </w:p>
        </w:tc>
        <w:tc>
          <w:tcPr>
            <w:tcW w:w="578" w:type="pct"/>
            <w:tcBorders>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12.00</w:t>
            </w:r>
            <w:r>
              <w:rPr>
                <w:rFonts w:ascii="Times New Roman" w:hAnsi="Times New Roman" w:cs="Times New Roman"/>
                <w:sz w:val="24"/>
                <w:szCs w:val="24"/>
                <w:vertAlign w:val="superscript"/>
              </w:rPr>
              <w:t>a</w:t>
            </w:r>
          </w:p>
        </w:tc>
        <w:tc>
          <w:tcPr>
            <w:tcW w:w="530" w:type="pct"/>
            <w:tcBorders>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0.001</w:t>
            </w:r>
          </w:p>
        </w:tc>
        <w:tc>
          <w:tcPr>
            <w:tcW w:w="378" w:type="pct"/>
            <w:tcBorders>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6E75E8" w:rsidTr="00965358">
        <w:tc>
          <w:tcPr>
            <w:tcW w:w="1587"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Hepatocytes height (µm)</w:t>
            </w:r>
          </w:p>
        </w:tc>
        <w:tc>
          <w:tcPr>
            <w:tcW w:w="674"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120.0</w:t>
            </w:r>
            <w:r>
              <w:rPr>
                <w:rFonts w:ascii="Times New Roman" w:hAnsi="Times New Roman" w:cs="Times New Roman"/>
                <w:sz w:val="24"/>
                <w:szCs w:val="24"/>
                <w:vertAlign w:val="superscript"/>
              </w:rPr>
              <w:t>b</w:t>
            </w:r>
          </w:p>
        </w:tc>
        <w:tc>
          <w:tcPr>
            <w:tcW w:w="627"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123.0</w:t>
            </w:r>
            <w:r>
              <w:rPr>
                <w:rFonts w:ascii="Times New Roman" w:hAnsi="Times New Roman" w:cs="Times New Roman"/>
                <w:sz w:val="24"/>
                <w:szCs w:val="24"/>
                <w:vertAlign w:val="superscript"/>
              </w:rPr>
              <w:t>a</w:t>
            </w:r>
          </w:p>
        </w:tc>
        <w:tc>
          <w:tcPr>
            <w:tcW w:w="626"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103.0</w:t>
            </w:r>
            <w:r>
              <w:rPr>
                <w:rFonts w:ascii="Times New Roman" w:hAnsi="Times New Roman" w:cs="Times New Roman"/>
                <w:sz w:val="24"/>
                <w:szCs w:val="24"/>
                <w:vertAlign w:val="superscript"/>
              </w:rPr>
              <w:t>b</w:t>
            </w:r>
          </w:p>
        </w:tc>
        <w:tc>
          <w:tcPr>
            <w:tcW w:w="578"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104.0</w:t>
            </w:r>
            <w:r>
              <w:rPr>
                <w:rFonts w:ascii="Times New Roman" w:hAnsi="Times New Roman" w:cs="Times New Roman"/>
                <w:sz w:val="24"/>
                <w:szCs w:val="24"/>
                <w:vertAlign w:val="superscript"/>
              </w:rPr>
              <w:t>c</w:t>
            </w:r>
          </w:p>
        </w:tc>
        <w:tc>
          <w:tcPr>
            <w:tcW w:w="530"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0.325</w:t>
            </w:r>
          </w:p>
        </w:tc>
        <w:tc>
          <w:tcPr>
            <w:tcW w:w="378"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6E75E8" w:rsidTr="00965358">
        <w:tc>
          <w:tcPr>
            <w:tcW w:w="1587"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Cholongiocytes</w:t>
            </w:r>
          </w:p>
        </w:tc>
        <w:tc>
          <w:tcPr>
            <w:tcW w:w="674"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2.000</w:t>
            </w:r>
            <w:r>
              <w:rPr>
                <w:rFonts w:ascii="Times New Roman" w:hAnsi="Times New Roman" w:cs="Times New Roman"/>
                <w:sz w:val="24"/>
                <w:szCs w:val="24"/>
                <w:vertAlign w:val="superscript"/>
              </w:rPr>
              <w:t>b</w:t>
            </w:r>
          </w:p>
        </w:tc>
        <w:tc>
          <w:tcPr>
            <w:tcW w:w="627"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d</w:t>
            </w:r>
          </w:p>
        </w:tc>
        <w:tc>
          <w:tcPr>
            <w:tcW w:w="626"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3.000</w:t>
            </w:r>
            <w:r>
              <w:rPr>
                <w:rFonts w:ascii="Times New Roman" w:hAnsi="Times New Roman" w:cs="Times New Roman"/>
                <w:sz w:val="24"/>
                <w:szCs w:val="24"/>
                <w:vertAlign w:val="superscript"/>
              </w:rPr>
              <w:t>a</w:t>
            </w:r>
          </w:p>
        </w:tc>
        <w:tc>
          <w:tcPr>
            <w:tcW w:w="578" w:type="pct"/>
            <w:tcBorders>
              <w:top w:val="nil"/>
              <w:bottom w:val="nil"/>
            </w:tcBorders>
          </w:tcPr>
          <w:p w:rsidR="006E75E8" w:rsidRPr="004C2771" w:rsidRDefault="004C2771"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1.000</w:t>
            </w:r>
            <w:r>
              <w:rPr>
                <w:rFonts w:ascii="Times New Roman" w:hAnsi="Times New Roman" w:cs="Times New Roman"/>
                <w:sz w:val="24"/>
                <w:szCs w:val="24"/>
                <w:vertAlign w:val="superscript"/>
              </w:rPr>
              <w:t>c</w:t>
            </w:r>
          </w:p>
        </w:tc>
        <w:tc>
          <w:tcPr>
            <w:tcW w:w="530" w:type="pct"/>
            <w:tcBorders>
              <w:top w:val="nil"/>
              <w:bottom w:val="nil"/>
            </w:tcBorders>
          </w:tcPr>
          <w:p w:rsidR="006E75E8" w:rsidRDefault="006D3434"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0.231</w:t>
            </w:r>
          </w:p>
        </w:tc>
        <w:tc>
          <w:tcPr>
            <w:tcW w:w="378" w:type="pct"/>
            <w:tcBorders>
              <w:top w:val="nil"/>
              <w:bottom w:val="nil"/>
            </w:tcBorders>
          </w:tcPr>
          <w:p w:rsidR="006E75E8" w:rsidRDefault="006D3434"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6E75E8" w:rsidTr="00965358">
        <w:tc>
          <w:tcPr>
            <w:tcW w:w="1587"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Kupffers cells</w:t>
            </w:r>
          </w:p>
        </w:tc>
        <w:tc>
          <w:tcPr>
            <w:tcW w:w="674" w:type="pct"/>
            <w:tcBorders>
              <w:top w:val="nil"/>
              <w:bottom w:val="nil"/>
            </w:tcBorders>
          </w:tcPr>
          <w:p w:rsidR="006E75E8" w:rsidRPr="006D3434" w:rsidRDefault="006D3434"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4.00</w:t>
            </w:r>
            <w:r>
              <w:rPr>
                <w:rFonts w:ascii="Times New Roman" w:hAnsi="Times New Roman" w:cs="Times New Roman"/>
                <w:sz w:val="24"/>
                <w:szCs w:val="24"/>
                <w:vertAlign w:val="superscript"/>
              </w:rPr>
              <w:t>d</w:t>
            </w:r>
          </w:p>
        </w:tc>
        <w:tc>
          <w:tcPr>
            <w:tcW w:w="627" w:type="pct"/>
            <w:tcBorders>
              <w:top w:val="nil"/>
              <w:bottom w:val="nil"/>
            </w:tcBorders>
          </w:tcPr>
          <w:p w:rsidR="006E75E8" w:rsidRPr="006D3434" w:rsidRDefault="006D3434"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27.00</w:t>
            </w:r>
            <w:r>
              <w:rPr>
                <w:rFonts w:ascii="Times New Roman" w:hAnsi="Times New Roman" w:cs="Times New Roman"/>
                <w:sz w:val="24"/>
                <w:szCs w:val="24"/>
                <w:vertAlign w:val="superscript"/>
              </w:rPr>
              <w:t>c</w:t>
            </w:r>
          </w:p>
        </w:tc>
        <w:tc>
          <w:tcPr>
            <w:tcW w:w="626" w:type="pct"/>
            <w:tcBorders>
              <w:top w:val="nil"/>
              <w:bottom w:val="nil"/>
            </w:tcBorders>
          </w:tcPr>
          <w:p w:rsidR="006E75E8" w:rsidRPr="006D3434" w:rsidRDefault="006D3434"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31.00</w:t>
            </w:r>
            <w:r>
              <w:rPr>
                <w:rFonts w:ascii="Times New Roman" w:hAnsi="Times New Roman" w:cs="Times New Roman"/>
                <w:sz w:val="24"/>
                <w:szCs w:val="24"/>
                <w:vertAlign w:val="superscript"/>
              </w:rPr>
              <w:t>b</w:t>
            </w:r>
          </w:p>
        </w:tc>
        <w:tc>
          <w:tcPr>
            <w:tcW w:w="578" w:type="pct"/>
            <w:tcBorders>
              <w:top w:val="nil"/>
              <w:bottom w:val="nil"/>
            </w:tcBorders>
          </w:tcPr>
          <w:p w:rsidR="006E75E8" w:rsidRPr="006D3434" w:rsidRDefault="006D3434"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47.00</w:t>
            </w:r>
            <w:r>
              <w:rPr>
                <w:rFonts w:ascii="Times New Roman" w:hAnsi="Times New Roman" w:cs="Times New Roman"/>
                <w:sz w:val="24"/>
                <w:szCs w:val="24"/>
                <w:vertAlign w:val="superscript"/>
              </w:rPr>
              <w:t>a</w:t>
            </w:r>
          </w:p>
        </w:tc>
        <w:tc>
          <w:tcPr>
            <w:tcW w:w="530" w:type="pct"/>
            <w:tcBorders>
              <w:top w:val="nil"/>
              <w:bottom w:val="nil"/>
            </w:tcBorders>
          </w:tcPr>
          <w:p w:rsidR="006E75E8" w:rsidRDefault="006D3434"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0.005</w:t>
            </w:r>
          </w:p>
        </w:tc>
        <w:tc>
          <w:tcPr>
            <w:tcW w:w="378" w:type="pct"/>
            <w:tcBorders>
              <w:top w:val="nil"/>
              <w:bottom w:val="nil"/>
            </w:tcBorders>
          </w:tcPr>
          <w:p w:rsidR="006E75E8" w:rsidRDefault="006D3434"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6E75E8" w:rsidTr="00965358">
        <w:tc>
          <w:tcPr>
            <w:tcW w:w="1587"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Stellete cells</w:t>
            </w:r>
          </w:p>
        </w:tc>
        <w:tc>
          <w:tcPr>
            <w:tcW w:w="674" w:type="pct"/>
            <w:tcBorders>
              <w:top w:val="nil"/>
              <w:bottom w:val="nil"/>
            </w:tcBorders>
          </w:tcPr>
          <w:p w:rsidR="006E75E8" w:rsidRPr="00FE39B8" w:rsidRDefault="00FE39B8"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b</w:t>
            </w:r>
          </w:p>
        </w:tc>
        <w:tc>
          <w:tcPr>
            <w:tcW w:w="627" w:type="pct"/>
            <w:tcBorders>
              <w:top w:val="nil"/>
              <w:bottom w:val="nil"/>
            </w:tcBorders>
          </w:tcPr>
          <w:p w:rsidR="006E75E8" w:rsidRPr="00FE39B8" w:rsidRDefault="00FE39B8"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b</w:t>
            </w:r>
          </w:p>
        </w:tc>
        <w:tc>
          <w:tcPr>
            <w:tcW w:w="626" w:type="pct"/>
            <w:tcBorders>
              <w:top w:val="nil"/>
              <w:bottom w:val="nil"/>
            </w:tcBorders>
          </w:tcPr>
          <w:p w:rsidR="006E75E8" w:rsidRPr="00FE39B8" w:rsidRDefault="00FE39B8"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1.000</w:t>
            </w:r>
            <w:r>
              <w:rPr>
                <w:rFonts w:ascii="Times New Roman" w:hAnsi="Times New Roman" w:cs="Times New Roman"/>
                <w:sz w:val="24"/>
                <w:szCs w:val="24"/>
                <w:vertAlign w:val="superscript"/>
              </w:rPr>
              <w:t>a</w:t>
            </w:r>
          </w:p>
        </w:tc>
        <w:tc>
          <w:tcPr>
            <w:tcW w:w="578" w:type="pct"/>
            <w:tcBorders>
              <w:top w:val="nil"/>
              <w:bottom w:val="nil"/>
            </w:tcBorders>
          </w:tcPr>
          <w:p w:rsidR="006E75E8" w:rsidRPr="00FE39B8" w:rsidRDefault="00FE39B8"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b</w:t>
            </w:r>
          </w:p>
        </w:tc>
        <w:tc>
          <w:tcPr>
            <w:tcW w:w="530" w:type="pct"/>
            <w:tcBorders>
              <w:top w:val="nil"/>
              <w:bottom w:val="nil"/>
            </w:tcBorders>
          </w:tcPr>
          <w:p w:rsidR="006E75E8" w:rsidRDefault="00FE39B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bottom w:val="nil"/>
            </w:tcBorders>
          </w:tcPr>
          <w:p w:rsidR="006E75E8" w:rsidRDefault="00FE39B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6E75E8" w:rsidTr="00965358">
        <w:tc>
          <w:tcPr>
            <w:tcW w:w="1587"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Endothelial cells</w:t>
            </w:r>
          </w:p>
        </w:tc>
        <w:tc>
          <w:tcPr>
            <w:tcW w:w="674"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2.000</w:t>
            </w:r>
            <w:r>
              <w:rPr>
                <w:rFonts w:ascii="Times New Roman" w:hAnsi="Times New Roman" w:cs="Times New Roman"/>
                <w:sz w:val="24"/>
                <w:szCs w:val="24"/>
                <w:vertAlign w:val="superscript"/>
              </w:rPr>
              <w:t>b</w:t>
            </w:r>
          </w:p>
        </w:tc>
        <w:tc>
          <w:tcPr>
            <w:tcW w:w="627"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2.000</w:t>
            </w:r>
            <w:r>
              <w:rPr>
                <w:rFonts w:ascii="Times New Roman" w:hAnsi="Times New Roman" w:cs="Times New Roman"/>
                <w:sz w:val="24"/>
                <w:szCs w:val="24"/>
                <w:vertAlign w:val="superscript"/>
              </w:rPr>
              <w:t>b</w:t>
            </w:r>
          </w:p>
        </w:tc>
        <w:tc>
          <w:tcPr>
            <w:tcW w:w="626"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3.000</w:t>
            </w:r>
            <w:r>
              <w:rPr>
                <w:rFonts w:ascii="Times New Roman" w:hAnsi="Times New Roman" w:cs="Times New Roman"/>
                <w:sz w:val="24"/>
                <w:szCs w:val="24"/>
                <w:vertAlign w:val="superscript"/>
              </w:rPr>
              <w:t>a</w:t>
            </w:r>
          </w:p>
        </w:tc>
        <w:tc>
          <w:tcPr>
            <w:tcW w:w="578"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2.000</w:t>
            </w:r>
            <w:r>
              <w:rPr>
                <w:rFonts w:ascii="Times New Roman" w:hAnsi="Times New Roman" w:cs="Times New Roman"/>
                <w:sz w:val="24"/>
                <w:szCs w:val="24"/>
                <w:vertAlign w:val="superscript"/>
              </w:rPr>
              <w:t>b</w:t>
            </w:r>
          </w:p>
        </w:tc>
        <w:tc>
          <w:tcPr>
            <w:tcW w:w="530" w:type="pct"/>
            <w:tcBorders>
              <w:top w:val="nil"/>
              <w:bottom w:val="nil"/>
            </w:tcBorders>
          </w:tcPr>
          <w:p w:rsidR="006E75E8" w:rsidRDefault="00E3234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bottom w:val="nil"/>
            </w:tcBorders>
          </w:tcPr>
          <w:p w:rsidR="006E75E8" w:rsidRDefault="00E3234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r w:rsidR="006E75E8" w:rsidTr="00965358">
        <w:tc>
          <w:tcPr>
            <w:tcW w:w="1587" w:type="pct"/>
            <w:tcBorders>
              <w:top w:val="nil"/>
              <w:bottom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Bile Cana</w:t>
            </w:r>
            <w:r w:rsidR="007562F4">
              <w:rPr>
                <w:rFonts w:ascii="Times New Roman" w:hAnsi="Times New Roman" w:cs="Times New Roman"/>
                <w:sz w:val="24"/>
                <w:szCs w:val="24"/>
              </w:rPr>
              <w:t>li</w:t>
            </w:r>
            <w:r>
              <w:rPr>
                <w:rFonts w:ascii="Times New Roman" w:hAnsi="Times New Roman" w:cs="Times New Roman"/>
                <w:sz w:val="24"/>
                <w:szCs w:val="24"/>
              </w:rPr>
              <w:t>culi</w:t>
            </w:r>
          </w:p>
        </w:tc>
        <w:tc>
          <w:tcPr>
            <w:tcW w:w="674"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w:t>
            </w:r>
            <w:r>
              <w:rPr>
                <w:rFonts w:ascii="Times New Roman" w:hAnsi="Times New Roman" w:cs="Times New Roman"/>
                <w:sz w:val="24"/>
                <w:szCs w:val="24"/>
                <w:vertAlign w:val="superscript"/>
              </w:rPr>
              <w:t>a</w:t>
            </w:r>
          </w:p>
        </w:tc>
        <w:tc>
          <w:tcPr>
            <w:tcW w:w="627"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626"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578" w:type="pct"/>
            <w:tcBorders>
              <w:top w:val="nil"/>
              <w:bottom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a</w:t>
            </w:r>
          </w:p>
        </w:tc>
        <w:tc>
          <w:tcPr>
            <w:tcW w:w="530" w:type="pct"/>
            <w:tcBorders>
              <w:top w:val="nil"/>
              <w:bottom w:val="nil"/>
            </w:tcBorders>
          </w:tcPr>
          <w:p w:rsidR="006E75E8" w:rsidRDefault="00E3234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0.000</w:t>
            </w:r>
          </w:p>
        </w:tc>
        <w:tc>
          <w:tcPr>
            <w:tcW w:w="378" w:type="pct"/>
            <w:tcBorders>
              <w:top w:val="nil"/>
              <w:bottom w:val="nil"/>
            </w:tcBorders>
          </w:tcPr>
          <w:p w:rsidR="006E75E8" w:rsidRDefault="00E3234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NS</w:t>
            </w:r>
          </w:p>
        </w:tc>
      </w:tr>
      <w:tr w:rsidR="006E75E8" w:rsidTr="00965358">
        <w:tc>
          <w:tcPr>
            <w:tcW w:w="1587" w:type="pct"/>
            <w:tcBorders>
              <w:top w:val="nil"/>
            </w:tcBorders>
          </w:tcPr>
          <w:p w:rsidR="006E75E8" w:rsidRDefault="004C2771"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Sinusoids</w:t>
            </w:r>
          </w:p>
        </w:tc>
        <w:tc>
          <w:tcPr>
            <w:tcW w:w="674" w:type="pct"/>
            <w:tcBorders>
              <w:top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3.000</w:t>
            </w:r>
            <w:r>
              <w:rPr>
                <w:rFonts w:ascii="Times New Roman" w:hAnsi="Times New Roman" w:cs="Times New Roman"/>
                <w:sz w:val="24"/>
                <w:szCs w:val="24"/>
                <w:vertAlign w:val="superscript"/>
              </w:rPr>
              <w:t>d</w:t>
            </w:r>
          </w:p>
        </w:tc>
        <w:tc>
          <w:tcPr>
            <w:tcW w:w="627" w:type="pct"/>
            <w:tcBorders>
              <w:top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7.000</w:t>
            </w:r>
            <w:r>
              <w:rPr>
                <w:rFonts w:ascii="Times New Roman" w:hAnsi="Times New Roman" w:cs="Times New Roman"/>
                <w:sz w:val="24"/>
                <w:szCs w:val="24"/>
                <w:vertAlign w:val="superscript"/>
              </w:rPr>
              <w:t>b</w:t>
            </w:r>
          </w:p>
        </w:tc>
        <w:tc>
          <w:tcPr>
            <w:tcW w:w="626" w:type="pct"/>
            <w:tcBorders>
              <w:top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6.000</w:t>
            </w:r>
            <w:r>
              <w:rPr>
                <w:rFonts w:ascii="Times New Roman" w:hAnsi="Times New Roman" w:cs="Times New Roman"/>
                <w:sz w:val="24"/>
                <w:szCs w:val="24"/>
                <w:vertAlign w:val="superscript"/>
              </w:rPr>
              <w:t>c</w:t>
            </w:r>
          </w:p>
        </w:tc>
        <w:tc>
          <w:tcPr>
            <w:tcW w:w="578" w:type="pct"/>
            <w:tcBorders>
              <w:top w:val="nil"/>
            </w:tcBorders>
          </w:tcPr>
          <w:p w:rsidR="006E75E8" w:rsidRPr="00E3234D" w:rsidRDefault="00E3234D" w:rsidP="00845464">
            <w:pPr>
              <w:tabs>
                <w:tab w:val="left" w:pos="3099"/>
              </w:tabs>
              <w:jc w:val="both"/>
              <w:rPr>
                <w:rFonts w:ascii="Times New Roman" w:hAnsi="Times New Roman" w:cs="Times New Roman"/>
                <w:sz w:val="24"/>
                <w:szCs w:val="24"/>
                <w:vertAlign w:val="superscript"/>
              </w:rPr>
            </w:pPr>
            <w:r>
              <w:rPr>
                <w:rFonts w:ascii="Times New Roman" w:hAnsi="Times New Roman" w:cs="Times New Roman"/>
                <w:sz w:val="24"/>
                <w:szCs w:val="24"/>
              </w:rPr>
              <w:t>17.000</w:t>
            </w:r>
            <w:r>
              <w:rPr>
                <w:rFonts w:ascii="Times New Roman" w:hAnsi="Times New Roman" w:cs="Times New Roman"/>
                <w:sz w:val="24"/>
                <w:szCs w:val="24"/>
                <w:vertAlign w:val="superscript"/>
              </w:rPr>
              <w:t>a</w:t>
            </w:r>
          </w:p>
        </w:tc>
        <w:tc>
          <w:tcPr>
            <w:tcW w:w="530" w:type="pct"/>
            <w:tcBorders>
              <w:top w:val="nil"/>
            </w:tcBorders>
          </w:tcPr>
          <w:p w:rsidR="006E75E8" w:rsidRDefault="00E3234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1.432</w:t>
            </w:r>
          </w:p>
        </w:tc>
        <w:tc>
          <w:tcPr>
            <w:tcW w:w="378" w:type="pct"/>
            <w:tcBorders>
              <w:top w:val="nil"/>
            </w:tcBorders>
          </w:tcPr>
          <w:p w:rsidR="006E75E8" w:rsidRDefault="00E3234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w:t>
            </w:r>
          </w:p>
        </w:tc>
      </w:tr>
    </w:tbl>
    <w:p w:rsidR="00C1283F" w:rsidRDefault="00C1283F" w:rsidP="00845464">
      <w:pPr>
        <w:tabs>
          <w:tab w:val="left" w:pos="3099"/>
        </w:tabs>
        <w:jc w:val="both"/>
        <w:rPr>
          <w:rFonts w:ascii="Times New Roman" w:hAnsi="Times New Roman" w:cs="Times New Roman"/>
          <w:sz w:val="24"/>
          <w:szCs w:val="24"/>
        </w:rPr>
      </w:pPr>
    </w:p>
    <w:p w:rsidR="00937576" w:rsidRPr="0087355F" w:rsidRDefault="00937576" w:rsidP="00845464">
      <w:pPr>
        <w:tabs>
          <w:tab w:val="left" w:pos="3099"/>
        </w:tabs>
        <w:jc w:val="both"/>
        <w:rPr>
          <w:rFonts w:ascii="Times New Roman" w:hAnsi="Times New Roman" w:cs="Times New Roman"/>
          <w:b/>
          <w:sz w:val="24"/>
          <w:szCs w:val="24"/>
        </w:rPr>
      </w:pPr>
      <w:r w:rsidRPr="0087355F">
        <w:rPr>
          <w:rFonts w:ascii="Times New Roman" w:hAnsi="Times New Roman" w:cs="Times New Roman"/>
          <w:b/>
          <w:sz w:val="24"/>
          <w:szCs w:val="24"/>
        </w:rPr>
        <w:t>Conclusion</w:t>
      </w:r>
    </w:p>
    <w:p w:rsidR="004A09CD" w:rsidRDefault="00937576"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It could be concluded that </w:t>
      </w:r>
      <w:r w:rsidR="00762AD8" w:rsidRPr="00B46576">
        <w:rPr>
          <w:rFonts w:ascii="Times New Roman" w:hAnsi="Times New Roman" w:cs="Times New Roman"/>
          <w:i/>
          <w:sz w:val="24"/>
          <w:szCs w:val="24"/>
        </w:rPr>
        <w:t xml:space="preserve">M. charantia </w:t>
      </w:r>
      <w:r>
        <w:rPr>
          <w:rFonts w:ascii="Times New Roman" w:hAnsi="Times New Roman" w:cs="Times New Roman"/>
          <w:sz w:val="24"/>
          <w:szCs w:val="24"/>
        </w:rPr>
        <w:t>can be used to modulate and normalized some serum biochemical parameters in diabetic induced guinea pigs.</w:t>
      </w:r>
      <w:r w:rsidR="00250A18">
        <w:rPr>
          <w:rFonts w:ascii="Times New Roman" w:hAnsi="Times New Roman" w:cs="Times New Roman"/>
          <w:sz w:val="24"/>
          <w:szCs w:val="24"/>
        </w:rPr>
        <w:t xml:space="preserve"> </w:t>
      </w:r>
      <w:r w:rsidR="00BA7D93">
        <w:rPr>
          <w:rFonts w:ascii="Times New Roman" w:hAnsi="Times New Roman" w:cs="Times New Roman"/>
          <w:sz w:val="24"/>
          <w:szCs w:val="24"/>
        </w:rPr>
        <w:t xml:space="preserve">Supplementation of </w:t>
      </w:r>
      <w:r w:rsidR="009B06D2" w:rsidRPr="00B46576">
        <w:rPr>
          <w:rFonts w:ascii="Times New Roman" w:hAnsi="Times New Roman" w:cs="Times New Roman"/>
          <w:i/>
          <w:sz w:val="24"/>
          <w:szCs w:val="24"/>
        </w:rPr>
        <w:t>M. charantia</w:t>
      </w:r>
      <w:r w:rsidR="009B06D2">
        <w:rPr>
          <w:rFonts w:ascii="Times New Roman" w:hAnsi="Times New Roman" w:cs="Times New Roman"/>
          <w:sz w:val="24"/>
          <w:szCs w:val="24"/>
        </w:rPr>
        <w:t xml:space="preserve"> </w:t>
      </w:r>
      <w:r w:rsidR="00BA7D93">
        <w:rPr>
          <w:rFonts w:ascii="Times New Roman" w:hAnsi="Times New Roman" w:cs="Times New Roman"/>
          <w:sz w:val="24"/>
          <w:szCs w:val="24"/>
        </w:rPr>
        <w:t>have influ</w:t>
      </w:r>
      <w:r w:rsidR="009B06D2">
        <w:rPr>
          <w:rFonts w:ascii="Times New Roman" w:hAnsi="Times New Roman" w:cs="Times New Roman"/>
          <w:sz w:val="24"/>
          <w:szCs w:val="24"/>
        </w:rPr>
        <w:t>en</w:t>
      </w:r>
      <w:r w:rsidR="00BA7D93">
        <w:rPr>
          <w:rFonts w:ascii="Times New Roman" w:hAnsi="Times New Roman" w:cs="Times New Roman"/>
          <w:sz w:val="24"/>
          <w:szCs w:val="24"/>
        </w:rPr>
        <w:t xml:space="preserve">ced in reducing visceral organs damage and significant pathological lesion in diabetic induced guinea pigs. It also play significant role in the improvement of liver cells (hepatocytes) and other cells that play a </w:t>
      </w:r>
      <w:r w:rsidR="0043112D">
        <w:rPr>
          <w:rFonts w:ascii="Times New Roman" w:hAnsi="Times New Roman" w:cs="Times New Roman"/>
          <w:sz w:val="24"/>
          <w:szCs w:val="24"/>
        </w:rPr>
        <w:t>significant</w:t>
      </w:r>
      <w:r w:rsidR="00BA7D93">
        <w:rPr>
          <w:rFonts w:ascii="Times New Roman" w:hAnsi="Times New Roman" w:cs="Times New Roman"/>
          <w:sz w:val="24"/>
          <w:szCs w:val="24"/>
        </w:rPr>
        <w:t xml:space="preserve"> immunocompetent role such as cholangiocytes and kupfffer`s cells. It is therefore recommended that </w:t>
      </w:r>
      <w:r w:rsidR="009B06D2" w:rsidRPr="00B46576">
        <w:rPr>
          <w:rFonts w:ascii="Times New Roman" w:hAnsi="Times New Roman" w:cs="Times New Roman"/>
          <w:i/>
          <w:sz w:val="24"/>
          <w:szCs w:val="24"/>
        </w:rPr>
        <w:t>M. charantia</w:t>
      </w:r>
      <w:r w:rsidR="009B06D2">
        <w:rPr>
          <w:rFonts w:ascii="Times New Roman" w:hAnsi="Times New Roman" w:cs="Times New Roman"/>
          <w:sz w:val="24"/>
          <w:szCs w:val="24"/>
        </w:rPr>
        <w:t xml:space="preserve"> </w:t>
      </w:r>
      <w:r w:rsidR="00BA7D93">
        <w:rPr>
          <w:rFonts w:ascii="Times New Roman" w:hAnsi="Times New Roman" w:cs="Times New Roman"/>
          <w:sz w:val="24"/>
          <w:szCs w:val="24"/>
        </w:rPr>
        <w:t xml:space="preserve">can be used up to 1g/kg diet </w:t>
      </w:r>
      <w:r w:rsidR="00453D10">
        <w:rPr>
          <w:rFonts w:ascii="Times New Roman" w:hAnsi="Times New Roman" w:cs="Times New Roman"/>
          <w:sz w:val="24"/>
          <w:szCs w:val="24"/>
        </w:rPr>
        <w:t>in order</w:t>
      </w:r>
      <w:r w:rsidR="00BA7D93">
        <w:rPr>
          <w:rFonts w:ascii="Times New Roman" w:hAnsi="Times New Roman" w:cs="Times New Roman"/>
          <w:sz w:val="24"/>
          <w:szCs w:val="24"/>
        </w:rPr>
        <w:t xml:space="preserve"> to improve </w:t>
      </w:r>
      <w:r w:rsidR="00453D10">
        <w:rPr>
          <w:rFonts w:ascii="Times New Roman" w:hAnsi="Times New Roman" w:cs="Times New Roman"/>
          <w:sz w:val="24"/>
          <w:szCs w:val="24"/>
        </w:rPr>
        <w:t>visceral</w:t>
      </w:r>
      <w:r w:rsidR="00BA7D93">
        <w:rPr>
          <w:rFonts w:ascii="Times New Roman" w:hAnsi="Times New Roman" w:cs="Times New Roman"/>
          <w:sz w:val="24"/>
          <w:szCs w:val="24"/>
        </w:rPr>
        <w:t xml:space="preserve">, serum biochemistry and other lymphoid organs of hyperglycemic animals. </w:t>
      </w:r>
    </w:p>
    <w:p w:rsidR="0087355F" w:rsidRDefault="0087355F" w:rsidP="00845464">
      <w:pPr>
        <w:tabs>
          <w:tab w:val="left" w:pos="3099"/>
        </w:tabs>
        <w:jc w:val="both"/>
        <w:rPr>
          <w:rFonts w:ascii="Times New Roman" w:hAnsi="Times New Roman" w:cs="Times New Roman"/>
          <w:b/>
          <w:sz w:val="24"/>
          <w:szCs w:val="24"/>
        </w:rPr>
      </w:pPr>
      <w:bookmarkStart w:id="0" w:name="_GoBack"/>
      <w:bookmarkEnd w:id="0"/>
      <w:r w:rsidRPr="0087355F">
        <w:rPr>
          <w:rFonts w:ascii="Times New Roman" w:hAnsi="Times New Roman" w:cs="Times New Roman"/>
          <w:b/>
          <w:sz w:val="24"/>
          <w:szCs w:val="24"/>
        </w:rPr>
        <w:t>Acknowledgement</w:t>
      </w:r>
    </w:p>
    <w:p w:rsidR="00AD52E6" w:rsidRDefault="00351759" w:rsidP="00210B1C">
      <w:pPr>
        <w:jc w:val="both"/>
        <w:rPr>
          <w:rFonts w:ascii="Times New Roman" w:hAnsi="Times New Roman" w:cs="Times New Roman"/>
          <w:sz w:val="24"/>
          <w:szCs w:val="24"/>
        </w:rPr>
      </w:pPr>
      <w:r w:rsidRPr="00351759">
        <w:rPr>
          <w:rFonts w:ascii="Times New Roman" w:hAnsi="Times New Roman" w:cs="Times New Roman"/>
          <w:sz w:val="24"/>
          <w:szCs w:val="24"/>
        </w:rPr>
        <w:t xml:space="preserve">We sincerely acknowledged the sponsorship of TETFUND Institute Based Research (IBR) grant of Federal University Dustsin-Ma, Katsina State, Nigeria. </w:t>
      </w:r>
    </w:p>
    <w:p w:rsidR="00AD52E6" w:rsidRPr="000E2ABD" w:rsidRDefault="00AD52E6" w:rsidP="00845464">
      <w:pPr>
        <w:tabs>
          <w:tab w:val="left" w:pos="3099"/>
        </w:tabs>
        <w:jc w:val="both"/>
        <w:rPr>
          <w:rFonts w:ascii="Times New Roman" w:hAnsi="Times New Roman" w:cs="Times New Roman"/>
          <w:b/>
          <w:sz w:val="24"/>
          <w:szCs w:val="24"/>
        </w:rPr>
      </w:pPr>
      <w:r w:rsidRPr="000E2ABD">
        <w:rPr>
          <w:rFonts w:ascii="Times New Roman" w:hAnsi="Times New Roman" w:cs="Times New Roman"/>
          <w:b/>
          <w:sz w:val="24"/>
          <w:szCs w:val="24"/>
        </w:rPr>
        <w:lastRenderedPageBreak/>
        <w:t>References</w:t>
      </w:r>
    </w:p>
    <w:p w:rsidR="00E70179" w:rsidRDefault="00E70179"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Bashandy S.A. and Alwasel, S.H. (2011). Carbon tetrachloride-induced hepatoxocity and Nephrotoxicity in rats: protective role of vitamin C. </w:t>
      </w:r>
      <w:r w:rsidRPr="00BA54F7">
        <w:rPr>
          <w:rFonts w:ascii="Times New Roman" w:hAnsi="Times New Roman" w:cs="Times New Roman"/>
          <w:i/>
          <w:sz w:val="24"/>
          <w:szCs w:val="24"/>
        </w:rPr>
        <w:t>Journal of Pharmacology and Toxicology,</w:t>
      </w:r>
      <w:r>
        <w:rPr>
          <w:rFonts w:ascii="Times New Roman" w:hAnsi="Times New Roman" w:cs="Times New Roman"/>
          <w:sz w:val="24"/>
          <w:szCs w:val="24"/>
        </w:rPr>
        <w:t xml:space="preserve"> 6(3):283-292.</w:t>
      </w:r>
    </w:p>
    <w:p w:rsidR="009B353D" w:rsidRDefault="009F4803"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Behera, T.K., Staub, J.E., Behera, S. and Simon, P.W. (2008). Bitter gourd and human health. </w:t>
      </w:r>
      <w:r w:rsidRPr="00BA54F7">
        <w:rPr>
          <w:rFonts w:ascii="Times New Roman" w:hAnsi="Times New Roman" w:cs="Times New Roman"/>
          <w:i/>
          <w:sz w:val="24"/>
          <w:szCs w:val="24"/>
        </w:rPr>
        <w:t>Medicinal and Aromatic Plant Science and Biotechnology,</w:t>
      </w:r>
      <w:r>
        <w:rPr>
          <w:rFonts w:ascii="Times New Roman" w:hAnsi="Times New Roman" w:cs="Times New Roman"/>
          <w:sz w:val="24"/>
          <w:szCs w:val="24"/>
        </w:rPr>
        <w:t xml:space="preserve"> 1(2), 224-226.</w:t>
      </w:r>
    </w:p>
    <w:p w:rsidR="00A417F8" w:rsidRDefault="00A417F8" w:rsidP="00A417F8">
      <w:pPr>
        <w:spacing w:after="0" w:line="240" w:lineRule="auto"/>
        <w:jc w:val="both"/>
        <w:rPr>
          <w:rFonts w:asciiTheme="majorBidi" w:hAnsiTheme="majorBidi" w:cstheme="majorBidi"/>
          <w:color w:val="000000"/>
          <w:sz w:val="24"/>
          <w:szCs w:val="24"/>
        </w:rPr>
      </w:pPr>
      <w:r w:rsidRPr="005F2373">
        <w:rPr>
          <w:rFonts w:asciiTheme="majorBidi" w:hAnsiTheme="majorBidi" w:cstheme="majorBidi"/>
          <w:color w:val="000000"/>
          <w:sz w:val="24"/>
          <w:szCs w:val="24"/>
        </w:rPr>
        <w:t>Brosnan, J. (2003). Interorgan amino acid transport and its regulation.</w:t>
      </w:r>
      <w:r w:rsidRPr="005F2373">
        <w:rPr>
          <w:rFonts w:asciiTheme="majorBidi" w:hAnsiTheme="majorBidi" w:cstheme="majorBidi"/>
          <w:i/>
          <w:iCs/>
          <w:color w:val="000000"/>
          <w:sz w:val="24"/>
          <w:szCs w:val="24"/>
        </w:rPr>
        <w:t xml:space="preserve"> Journal of Nutrition,</w:t>
      </w:r>
      <w:r w:rsidRPr="005F2373">
        <w:rPr>
          <w:rFonts w:asciiTheme="majorBidi" w:hAnsiTheme="majorBidi" w:cstheme="majorBidi"/>
          <w:color w:val="000000"/>
          <w:sz w:val="24"/>
          <w:szCs w:val="24"/>
        </w:rPr>
        <w:t xml:space="preserve"> 133 (6 suppl 1):2068s-2072s.</w:t>
      </w:r>
    </w:p>
    <w:p w:rsidR="00A417F8" w:rsidRPr="005F2373" w:rsidRDefault="00A417F8" w:rsidP="00A417F8">
      <w:pPr>
        <w:spacing w:after="0" w:line="240" w:lineRule="auto"/>
        <w:jc w:val="both"/>
        <w:rPr>
          <w:rFonts w:asciiTheme="majorBidi" w:hAnsiTheme="majorBidi" w:cstheme="majorBidi"/>
          <w:color w:val="000000"/>
          <w:sz w:val="24"/>
          <w:szCs w:val="24"/>
        </w:rPr>
      </w:pPr>
    </w:p>
    <w:p w:rsidR="00AD52E6" w:rsidRDefault="00AD52E6"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Haruna, I.M. and Muhammad, A.S. (2018).</w:t>
      </w:r>
      <w:r w:rsidR="005D70CE">
        <w:rPr>
          <w:rFonts w:ascii="Times New Roman" w:hAnsi="Times New Roman" w:cs="Times New Roman"/>
          <w:sz w:val="24"/>
          <w:szCs w:val="24"/>
        </w:rPr>
        <w:t xml:space="preserve"> </w:t>
      </w:r>
      <w:r w:rsidR="000934E4">
        <w:rPr>
          <w:rFonts w:ascii="Times New Roman" w:hAnsi="Times New Roman" w:cs="Times New Roman"/>
          <w:sz w:val="24"/>
          <w:szCs w:val="24"/>
        </w:rPr>
        <w:t xml:space="preserve">Carcass characteristics of guinea pigs. </w:t>
      </w:r>
      <w:r w:rsidR="000934E4" w:rsidRPr="00BA54F7">
        <w:rPr>
          <w:rFonts w:ascii="Times New Roman" w:hAnsi="Times New Roman" w:cs="Times New Roman"/>
          <w:i/>
          <w:sz w:val="24"/>
          <w:szCs w:val="24"/>
        </w:rPr>
        <w:t>Nigerian journal o</w:t>
      </w:r>
      <w:r w:rsidR="00E348F0" w:rsidRPr="00BA54F7">
        <w:rPr>
          <w:rFonts w:ascii="Times New Roman" w:hAnsi="Times New Roman" w:cs="Times New Roman"/>
          <w:i/>
          <w:sz w:val="24"/>
          <w:szCs w:val="24"/>
        </w:rPr>
        <w:t>f Animal Science,</w:t>
      </w:r>
      <w:r w:rsidR="00E348F0">
        <w:rPr>
          <w:rFonts w:ascii="Times New Roman" w:hAnsi="Times New Roman" w:cs="Times New Roman"/>
          <w:sz w:val="24"/>
          <w:szCs w:val="24"/>
        </w:rPr>
        <w:t xml:space="preserve"> 20(4):561-566</w:t>
      </w:r>
    </w:p>
    <w:p w:rsidR="003A16DF" w:rsidRDefault="003A16DF"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Hill, K.E., Montine, T.J., Motley, A.K., Li, X., May, J.M. and Burk, R.F. (2003). Combined deficiency of vitamin E and C causes paralysis and death in guinea pigs. </w:t>
      </w:r>
      <w:r w:rsidRPr="00BA54F7">
        <w:rPr>
          <w:rFonts w:ascii="Times New Roman" w:hAnsi="Times New Roman" w:cs="Times New Roman"/>
          <w:i/>
          <w:sz w:val="24"/>
          <w:szCs w:val="24"/>
        </w:rPr>
        <w:t>The American Journal of Clinic Nutrition,</w:t>
      </w:r>
      <w:r>
        <w:rPr>
          <w:rFonts w:ascii="Times New Roman" w:hAnsi="Times New Roman" w:cs="Times New Roman"/>
          <w:sz w:val="24"/>
          <w:szCs w:val="24"/>
        </w:rPr>
        <w:t xml:space="preserve"> 77:1484-1488.</w:t>
      </w:r>
    </w:p>
    <w:p w:rsidR="009B353D" w:rsidRDefault="009B353D"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Janagal, B., Singh, C., Purvia, R.P., and Adlakha, M. (2018). A review of hypoglycemic effect of momordica charantia to Madhumeh. </w:t>
      </w:r>
      <w:r w:rsidRPr="00BA54F7">
        <w:rPr>
          <w:rFonts w:ascii="Times New Roman" w:hAnsi="Times New Roman" w:cs="Times New Roman"/>
          <w:i/>
          <w:sz w:val="24"/>
          <w:szCs w:val="24"/>
        </w:rPr>
        <w:t>International Journal of Ayurveda and Pharma Research,</w:t>
      </w:r>
      <w:r>
        <w:rPr>
          <w:rFonts w:ascii="Times New Roman" w:hAnsi="Times New Roman" w:cs="Times New Roman"/>
          <w:sz w:val="24"/>
          <w:szCs w:val="24"/>
        </w:rPr>
        <w:t xml:space="preserve"> 6(1):50-54.</w:t>
      </w:r>
    </w:p>
    <w:p w:rsidR="00E348F0" w:rsidRDefault="00E348F0"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Kamal, N., Elizabeta, Z., Jonathan, S. (2018). Extensive use of Monosodium glutamate: a threat to public health?. </w:t>
      </w:r>
      <w:r w:rsidRPr="00BA54F7">
        <w:rPr>
          <w:rFonts w:ascii="Times New Roman" w:hAnsi="Times New Roman" w:cs="Times New Roman"/>
          <w:i/>
          <w:sz w:val="24"/>
          <w:szCs w:val="24"/>
        </w:rPr>
        <w:t xml:space="preserve">EXCLI Journal, </w:t>
      </w:r>
      <w:r>
        <w:rPr>
          <w:rFonts w:ascii="Times New Roman" w:hAnsi="Times New Roman" w:cs="Times New Roman"/>
          <w:sz w:val="24"/>
          <w:szCs w:val="24"/>
        </w:rPr>
        <w:t>17:273-278.</w:t>
      </w:r>
    </w:p>
    <w:p w:rsidR="00BA54F7" w:rsidRDefault="00BA54F7"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Langford, S.E., Ananworanich, J. and Cooper, D.A. (2007). Predictors of disease progression in HIV infection: A review,</w:t>
      </w:r>
      <w:r w:rsidRPr="00BA54F7">
        <w:rPr>
          <w:rFonts w:ascii="Times New Roman" w:hAnsi="Times New Roman" w:cs="Times New Roman"/>
          <w:i/>
          <w:sz w:val="24"/>
          <w:szCs w:val="24"/>
        </w:rPr>
        <w:t xml:space="preserve"> AIDS Research and Therapy</w:t>
      </w:r>
      <w:r>
        <w:rPr>
          <w:rFonts w:ascii="Times New Roman" w:hAnsi="Times New Roman" w:cs="Times New Roman"/>
          <w:sz w:val="24"/>
          <w:szCs w:val="24"/>
        </w:rPr>
        <w:t>, 4:11</w:t>
      </w:r>
    </w:p>
    <w:p w:rsidR="009F4803" w:rsidRDefault="009F4803"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Okoruwa, M.I. and Ihimioya, I. (2014). Hematological indices and serum biochemical profile of Dwarf Goat fed elephant grass and varying levels of combined plantain with mango peels</w:t>
      </w:r>
      <w:r w:rsidR="00A60D70">
        <w:rPr>
          <w:rFonts w:ascii="Times New Roman" w:hAnsi="Times New Roman" w:cs="Times New Roman"/>
          <w:sz w:val="24"/>
          <w:szCs w:val="24"/>
        </w:rPr>
        <w:t xml:space="preserve">. </w:t>
      </w:r>
      <w:r w:rsidR="00A60D70" w:rsidRPr="00BA54F7">
        <w:rPr>
          <w:rFonts w:ascii="Times New Roman" w:hAnsi="Times New Roman" w:cs="Times New Roman"/>
          <w:i/>
          <w:sz w:val="24"/>
          <w:szCs w:val="24"/>
        </w:rPr>
        <w:t>American Journal of Experimental Agriculture,</w:t>
      </w:r>
      <w:r w:rsidR="00A60D70">
        <w:rPr>
          <w:rFonts w:ascii="Times New Roman" w:hAnsi="Times New Roman" w:cs="Times New Roman"/>
          <w:sz w:val="24"/>
          <w:szCs w:val="24"/>
        </w:rPr>
        <w:t xml:space="preserve"> 4, 6.</w:t>
      </w:r>
    </w:p>
    <w:p w:rsidR="000934E4" w:rsidRDefault="000934E4"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Okpaachi, U. (2008). Growth and heamatological response of growing rabbits to diets containing graded levels of sun dried bovine rumen content. Pp62.</w:t>
      </w:r>
    </w:p>
    <w:p w:rsidR="00AD6FB8" w:rsidRDefault="00AD6FB8"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Williamson, J. and Festing, M. (1971). A note on some haematological parameters in three strains of guinea pigs. </w:t>
      </w:r>
      <w:r w:rsidRPr="00AD6FB8">
        <w:rPr>
          <w:rFonts w:ascii="Times New Roman" w:hAnsi="Times New Roman" w:cs="Times New Roman"/>
          <w:i/>
          <w:sz w:val="24"/>
          <w:szCs w:val="24"/>
        </w:rPr>
        <w:t>Newsletter,</w:t>
      </w:r>
      <w:r>
        <w:rPr>
          <w:rFonts w:ascii="Times New Roman" w:hAnsi="Times New Roman" w:cs="Times New Roman"/>
          <w:sz w:val="24"/>
          <w:szCs w:val="24"/>
        </w:rPr>
        <w:t xml:space="preserve"> 2:7-11</w:t>
      </w:r>
    </w:p>
    <w:p w:rsidR="009F4803" w:rsidRDefault="001F0133" w:rsidP="00845464">
      <w:pPr>
        <w:tabs>
          <w:tab w:val="left" w:pos="3099"/>
        </w:tabs>
        <w:jc w:val="both"/>
        <w:rPr>
          <w:rFonts w:ascii="Times New Roman" w:hAnsi="Times New Roman" w:cs="Times New Roman"/>
          <w:sz w:val="24"/>
          <w:szCs w:val="24"/>
        </w:rPr>
      </w:pPr>
      <w:r>
        <w:rPr>
          <w:rFonts w:ascii="Times New Roman" w:hAnsi="Times New Roman" w:cs="Times New Roman"/>
          <w:sz w:val="24"/>
          <w:szCs w:val="24"/>
        </w:rPr>
        <w:t xml:space="preserve">Xiang, N., Zhao, R., Zheng, W. (2009). Sodium selenite induces apoptosis by generation of superoxide via the mitochondrial dependent pathway in human prostate cancer cells. </w:t>
      </w:r>
      <w:r w:rsidRPr="00BA54F7">
        <w:rPr>
          <w:rFonts w:ascii="Times New Roman" w:hAnsi="Times New Roman" w:cs="Times New Roman"/>
          <w:i/>
          <w:sz w:val="24"/>
          <w:szCs w:val="24"/>
        </w:rPr>
        <w:t>Cancer,</w:t>
      </w:r>
      <w:r>
        <w:rPr>
          <w:rFonts w:ascii="Times New Roman" w:hAnsi="Times New Roman" w:cs="Times New Roman"/>
          <w:sz w:val="24"/>
          <w:szCs w:val="24"/>
        </w:rPr>
        <w:t xml:space="preserve"> 78(3):123-130.</w:t>
      </w:r>
    </w:p>
    <w:p w:rsidR="00AD6FB8" w:rsidRDefault="00AD6FB8" w:rsidP="00845464">
      <w:pPr>
        <w:tabs>
          <w:tab w:val="left" w:pos="3099"/>
        </w:tabs>
        <w:jc w:val="both"/>
        <w:rPr>
          <w:rFonts w:ascii="Times New Roman" w:hAnsi="Times New Roman" w:cs="Times New Roman"/>
          <w:sz w:val="24"/>
          <w:szCs w:val="24"/>
        </w:rPr>
      </w:pPr>
    </w:p>
    <w:p w:rsidR="009F4803" w:rsidRPr="004A0564" w:rsidRDefault="009F4803" w:rsidP="00845464">
      <w:pPr>
        <w:tabs>
          <w:tab w:val="left" w:pos="3099"/>
        </w:tabs>
        <w:jc w:val="both"/>
        <w:rPr>
          <w:rFonts w:ascii="Times New Roman" w:hAnsi="Times New Roman" w:cs="Times New Roman"/>
          <w:sz w:val="24"/>
          <w:szCs w:val="24"/>
        </w:rPr>
      </w:pPr>
    </w:p>
    <w:sectPr w:rsidR="009F4803" w:rsidRPr="004A0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06" w:rsidRDefault="00AD5006" w:rsidP="00210B1C">
      <w:pPr>
        <w:spacing w:after="0" w:line="240" w:lineRule="auto"/>
      </w:pPr>
      <w:r>
        <w:separator/>
      </w:r>
    </w:p>
  </w:endnote>
  <w:endnote w:type="continuationSeparator" w:id="0">
    <w:p w:rsidR="00AD5006" w:rsidRDefault="00AD5006" w:rsidP="0021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06" w:rsidRDefault="00AD5006" w:rsidP="00210B1C">
      <w:pPr>
        <w:spacing w:after="0" w:line="240" w:lineRule="auto"/>
      </w:pPr>
      <w:r>
        <w:separator/>
      </w:r>
    </w:p>
  </w:footnote>
  <w:footnote w:type="continuationSeparator" w:id="0">
    <w:p w:rsidR="00AD5006" w:rsidRDefault="00AD5006" w:rsidP="00210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5"/>
    <w:rsid w:val="0008091B"/>
    <w:rsid w:val="000934E4"/>
    <w:rsid w:val="000E19BC"/>
    <w:rsid w:val="000E2ABD"/>
    <w:rsid w:val="000E5A15"/>
    <w:rsid w:val="00101E8D"/>
    <w:rsid w:val="001F0133"/>
    <w:rsid w:val="00210B1C"/>
    <w:rsid w:val="00212C45"/>
    <w:rsid w:val="002271AC"/>
    <w:rsid w:val="00246EE1"/>
    <w:rsid w:val="00250A18"/>
    <w:rsid w:val="00296BF8"/>
    <w:rsid w:val="00351759"/>
    <w:rsid w:val="00387764"/>
    <w:rsid w:val="003A16DF"/>
    <w:rsid w:val="003B5E6C"/>
    <w:rsid w:val="003D0830"/>
    <w:rsid w:val="003F4AA6"/>
    <w:rsid w:val="0043112D"/>
    <w:rsid w:val="00447B66"/>
    <w:rsid w:val="00453D10"/>
    <w:rsid w:val="00466914"/>
    <w:rsid w:val="004705E1"/>
    <w:rsid w:val="0047063E"/>
    <w:rsid w:val="004A0564"/>
    <w:rsid w:val="004A09CD"/>
    <w:rsid w:val="004B4390"/>
    <w:rsid w:val="004C2771"/>
    <w:rsid w:val="004D78A3"/>
    <w:rsid w:val="0052348F"/>
    <w:rsid w:val="00535170"/>
    <w:rsid w:val="005537EA"/>
    <w:rsid w:val="00557762"/>
    <w:rsid w:val="005D40BA"/>
    <w:rsid w:val="005D70CE"/>
    <w:rsid w:val="005F7CE6"/>
    <w:rsid w:val="00603CDF"/>
    <w:rsid w:val="00640940"/>
    <w:rsid w:val="00641B0C"/>
    <w:rsid w:val="006623A8"/>
    <w:rsid w:val="006A6D88"/>
    <w:rsid w:val="006C335F"/>
    <w:rsid w:val="006D17DA"/>
    <w:rsid w:val="006D3434"/>
    <w:rsid w:val="006E75E8"/>
    <w:rsid w:val="00711372"/>
    <w:rsid w:val="007562F4"/>
    <w:rsid w:val="00762AD8"/>
    <w:rsid w:val="00781A15"/>
    <w:rsid w:val="00807FB3"/>
    <w:rsid w:val="00845464"/>
    <w:rsid w:val="0087355F"/>
    <w:rsid w:val="00911BD3"/>
    <w:rsid w:val="00937576"/>
    <w:rsid w:val="00965358"/>
    <w:rsid w:val="0097650D"/>
    <w:rsid w:val="009928A7"/>
    <w:rsid w:val="009A0E30"/>
    <w:rsid w:val="009B06D2"/>
    <w:rsid w:val="009B353D"/>
    <w:rsid w:val="009C4268"/>
    <w:rsid w:val="009C7C23"/>
    <w:rsid w:val="009D5C70"/>
    <w:rsid w:val="009F4803"/>
    <w:rsid w:val="00A417F8"/>
    <w:rsid w:val="00A60D70"/>
    <w:rsid w:val="00A630F7"/>
    <w:rsid w:val="00A733AE"/>
    <w:rsid w:val="00AC13BC"/>
    <w:rsid w:val="00AD5006"/>
    <w:rsid w:val="00AD52E6"/>
    <w:rsid w:val="00AD6FB8"/>
    <w:rsid w:val="00B46576"/>
    <w:rsid w:val="00B47C4A"/>
    <w:rsid w:val="00B538EF"/>
    <w:rsid w:val="00B54703"/>
    <w:rsid w:val="00B558F4"/>
    <w:rsid w:val="00B60B33"/>
    <w:rsid w:val="00BA54F7"/>
    <w:rsid w:val="00BA7D93"/>
    <w:rsid w:val="00BB6FD7"/>
    <w:rsid w:val="00BC615D"/>
    <w:rsid w:val="00C1283F"/>
    <w:rsid w:val="00C42DEA"/>
    <w:rsid w:val="00C8446D"/>
    <w:rsid w:val="00CB236C"/>
    <w:rsid w:val="00CB6F2D"/>
    <w:rsid w:val="00D3362D"/>
    <w:rsid w:val="00D33C7B"/>
    <w:rsid w:val="00D54068"/>
    <w:rsid w:val="00D657B4"/>
    <w:rsid w:val="00DD1620"/>
    <w:rsid w:val="00DD41CD"/>
    <w:rsid w:val="00E07BED"/>
    <w:rsid w:val="00E26DEA"/>
    <w:rsid w:val="00E3234D"/>
    <w:rsid w:val="00E348F0"/>
    <w:rsid w:val="00E356DE"/>
    <w:rsid w:val="00E70179"/>
    <w:rsid w:val="00E749F9"/>
    <w:rsid w:val="00EB1800"/>
    <w:rsid w:val="00EC6BC0"/>
    <w:rsid w:val="00EF43BB"/>
    <w:rsid w:val="00FA692B"/>
    <w:rsid w:val="00FE39B8"/>
    <w:rsid w:val="00FF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FD5A6B-5DF7-4CA3-8801-641543DC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0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B1C"/>
  </w:style>
  <w:style w:type="paragraph" w:styleId="Footer">
    <w:name w:val="footer"/>
    <w:basedOn w:val="Normal"/>
    <w:link w:val="FooterChar"/>
    <w:uiPriority w:val="99"/>
    <w:unhideWhenUsed/>
    <w:rsid w:val="00210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0A22-C4BE-4220-AC21-97FEB0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6</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GADDAFI SANI</dc:creator>
  <cp:keywords/>
  <dc:description/>
  <cp:lastModifiedBy>DR. GADDAFI SANI</cp:lastModifiedBy>
  <cp:revision>89</cp:revision>
  <dcterms:created xsi:type="dcterms:W3CDTF">2015-08-10T11:27:00Z</dcterms:created>
  <dcterms:modified xsi:type="dcterms:W3CDTF">2015-06-24T13:02:00Z</dcterms:modified>
</cp:coreProperties>
</file>