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BA4" w:rsidRPr="0066109C" w:rsidRDefault="00C07BA4" w:rsidP="005F0560">
      <w:pPr>
        <w:spacing w:after="0" w:line="240" w:lineRule="auto"/>
        <w:jc w:val="center"/>
        <w:rPr>
          <w:rFonts w:ascii="Times New Roman" w:eastAsia="Times New Roman" w:hAnsi="Times New Roman" w:cs="Times New Roman"/>
          <w:b/>
          <w:sz w:val="24"/>
          <w:szCs w:val="24"/>
        </w:rPr>
      </w:pPr>
      <w:r w:rsidRPr="0066109C">
        <w:rPr>
          <w:rFonts w:ascii="Times New Roman" w:eastAsia="Times New Roman" w:hAnsi="Times New Roman" w:cs="Times New Roman"/>
          <w:b/>
          <w:sz w:val="24"/>
          <w:szCs w:val="24"/>
        </w:rPr>
        <w:t>OVERVIEW OF INDIA'S UNION BUDGET 2024-2025</w:t>
      </w:r>
    </w:p>
    <w:p w:rsidR="00414835" w:rsidRPr="0066109C" w:rsidRDefault="00414835" w:rsidP="00414835">
      <w:pPr>
        <w:spacing w:after="0" w:line="240" w:lineRule="auto"/>
        <w:jc w:val="center"/>
        <w:rPr>
          <w:rFonts w:ascii="Times New Roman" w:hAnsi="Times New Roman" w:cs="Times New Roman"/>
          <w:b/>
          <w:sz w:val="24"/>
          <w:szCs w:val="24"/>
        </w:rPr>
      </w:pPr>
      <w:r w:rsidRPr="0066109C">
        <w:rPr>
          <w:rFonts w:ascii="Times New Roman" w:hAnsi="Times New Roman" w:cs="Times New Roman"/>
          <w:b/>
          <w:sz w:val="24"/>
          <w:szCs w:val="24"/>
        </w:rPr>
        <w:t xml:space="preserve">Dr. M. </w:t>
      </w:r>
      <w:r w:rsidR="00EC24B3" w:rsidRPr="0066109C">
        <w:rPr>
          <w:rFonts w:ascii="Times New Roman" w:hAnsi="Times New Roman" w:cs="Times New Roman"/>
          <w:b/>
          <w:sz w:val="24"/>
          <w:szCs w:val="24"/>
        </w:rPr>
        <w:t>RAJENDHIRAN</w:t>
      </w:r>
      <w:proofErr w:type="gramStart"/>
      <w:r w:rsidR="00EC24B3">
        <w:rPr>
          <w:rFonts w:ascii="Times New Roman" w:hAnsi="Times New Roman" w:cs="Times New Roman"/>
          <w:b/>
          <w:sz w:val="24"/>
          <w:szCs w:val="24"/>
        </w:rPr>
        <w:t>.,</w:t>
      </w:r>
      <w:proofErr w:type="spellStart"/>
      <w:r w:rsidR="00EC24B3">
        <w:rPr>
          <w:rFonts w:ascii="Times New Roman" w:hAnsi="Times New Roman" w:cs="Times New Roman"/>
          <w:b/>
          <w:sz w:val="24"/>
          <w:szCs w:val="24"/>
        </w:rPr>
        <w:t>Ph.D</w:t>
      </w:r>
      <w:proofErr w:type="spellEnd"/>
      <w:r w:rsidR="00EC24B3">
        <w:rPr>
          <w:rFonts w:ascii="Times New Roman" w:hAnsi="Times New Roman" w:cs="Times New Roman"/>
          <w:b/>
          <w:sz w:val="24"/>
          <w:szCs w:val="24"/>
        </w:rPr>
        <w:t>.</w:t>
      </w:r>
      <w:proofErr w:type="gramEnd"/>
      <w:r w:rsidR="00EC24B3">
        <w:rPr>
          <w:rFonts w:ascii="Times New Roman" w:hAnsi="Times New Roman" w:cs="Times New Roman"/>
          <w:b/>
          <w:sz w:val="24"/>
          <w:szCs w:val="24"/>
        </w:rPr>
        <w:t>,</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 xml:space="preserve">Associate Professor, </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 xml:space="preserve">Department of Commerce, </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 xml:space="preserve">School of Liberal Arts and Applied Science, </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Hindustan Institute of Technology and Science,</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 xml:space="preserve">Padur, Chennai. </w:t>
      </w:r>
    </w:p>
    <w:p w:rsidR="00414835" w:rsidRPr="0066109C" w:rsidRDefault="00414835" w:rsidP="00414835">
      <w:pPr>
        <w:spacing w:after="0" w:line="240" w:lineRule="auto"/>
        <w:jc w:val="center"/>
        <w:rPr>
          <w:rFonts w:ascii="Times New Roman" w:hAnsi="Times New Roman" w:cs="Times New Roman"/>
          <w:bCs/>
          <w:sz w:val="24"/>
          <w:szCs w:val="24"/>
        </w:rPr>
      </w:pPr>
      <w:r w:rsidRPr="0066109C">
        <w:rPr>
          <w:rFonts w:ascii="Times New Roman" w:hAnsi="Times New Roman" w:cs="Times New Roman"/>
          <w:bCs/>
          <w:sz w:val="24"/>
          <w:szCs w:val="24"/>
        </w:rPr>
        <w:t>Email: commercerajendhiran@gmail.com</w:t>
      </w:r>
    </w:p>
    <w:p w:rsidR="00990095" w:rsidRPr="0066109C" w:rsidRDefault="00990095" w:rsidP="005F0560">
      <w:pPr>
        <w:spacing w:after="0" w:line="240" w:lineRule="auto"/>
        <w:jc w:val="center"/>
        <w:rPr>
          <w:rFonts w:ascii="Times New Roman" w:hAnsi="Times New Roman" w:cs="Times New Roman"/>
          <w:b/>
          <w:sz w:val="24"/>
        </w:rPr>
      </w:pPr>
      <w:r w:rsidRPr="0066109C">
        <w:rPr>
          <w:rFonts w:ascii="Times New Roman" w:hAnsi="Times New Roman" w:cs="Times New Roman"/>
          <w:b/>
          <w:sz w:val="24"/>
        </w:rPr>
        <w:t>&amp;</w:t>
      </w:r>
    </w:p>
    <w:p w:rsidR="005F0560" w:rsidRPr="0066109C" w:rsidRDefault="005F0560" w:rsidP="005F0560">
      <w:pPr>
        <w:spacing w:after="0" w:line="240" w:lineRule="auto"/>
        <w:jc w:val="center"/>
        <w:rPr>
          <w:rFonts w:ascii="Times New Roman" w:hAnsi="Times New Roman" w:cs="Times New Roman"/>
          <w:b/>
          <w:sz w:val="24"/>
        </w:rPr>
      </w:pPr>
      <w:r w:rsidRPr="0066109C">
        <w:rPr>
          <w:rFonts w:ascii="Times New Roman" w:hAnsi="Times New Roman" w:cs="Times New Roman"/>
          <w:b/>
          <w:sz w:val="24"/>
        </w:rPr>
        <w:t>Dr. R. KAMARAJ</w:t>
      </w:r>
      <w:proofErr w:type="gramStart"/>
      <w:r w:rsidR="00EC24B3">
        <w:rPr>
          <w:rFonts w:ascii="Times New Roman" w:hAnsi="Times New Roman" w:cs="Times New Roman"/>
          <w:b/>
          <w:sz w:val="24"/>
          <w:szCs w:val="24"/>
        </w:rPr>
        <w:t>.,</w:t>
      </w:r>
      <w:proofErr w:type="spellStart"/>
      <w:r w:rsidR="00EC24B3">
        <w:rPr>
          <w:rFonts w:ascii="Times New Roman" w:hAnsi="Times New Roman" w:cs="Times New Roman"/>
          <w:b/>
          <w:sz w:val="24"/>
          <w:szCs w:val="24"/>
        </w:rPr>
        <w:t>Ph.D</w:t>
      </w:r>
      <w:proofErr w:type="spellEnd"/>
      <w:r w:rsidR="00EC24B3">
        <w:rPr>
          <w:rFonts w:ascii="Times New Roman" w:hAnsi="Times New Roman" w:cs="Times New Roman"/>
          <w:b/>
          <w:sz w:val="24"/>
          <w:szCs w:val="24"/>
        </w:rPr>
        <w:t>.</w:t>
      </w:r>
      <w:proofErr w:type="gramEnd"/>
      <w:r w:rsidR="00EC24B3">
        <w:rPr>
          <w:rFonts w:ascii="Times New Roman" w:hAnsi="Times New Roman" w:cs="Times New Roman"/>
          <w:b/>
          <w:sz w:val="24"/>
          <w:szCs w:val="24"/>
        </w:rPr>
        <w:t>,</w:t>
      </w:r>
    </w:p>
    <w:p w:rsidR="005F0560" w:rsidRPr="0066109C" w:rsidRDefault="005F0560"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 xml:space="preserve">Assistant Professor </w:t>
      </w:r>
    </w:p>
    <w:p w:rsidR="005F0560" w:rsidRPr="0066109C" w:rsidRDefault="005F0560"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 xml:space="preserve">Department of Commerce </w:t>
      </w:r>
    </w:p>
    <w:p w:rsidR="001F01DE" w:rsidRPr="0066109C" w:rsidRDefault="001F01DE"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 xml:space="preserve">School of Arts &amp; Science </w:t>
      </w:r>
    </w:p>
    <w:p w:rsidR="005F0560" w:rsidRPr="0066109C" w:rsidRDefault="005F0560"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 xml:space="preserve">Vinayaka Mission’s Research Foundation </w:t>
      </w:r>
      <w:r w:rsidR="001F01DE" w:rsidRPr="0066109C">
        <w:rPr>
          <w:rFonts w:ascii="Times New Roman" w:hAnsi="Times New Roman" w:cs="Times New Roman"/>
          <w:sz w:val="24"/>
        </w:rPr>
        <w:t>(Deemed to be University)</w:t>
      </w:r>
    </w:p>
    <w:p w:rsidR="005F0560" w:rsidRPr="0066109C" w:rsidRDefault="001F01DE"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Vinayaka Mission’s</w:t>
      </w:r>
      <w:r w:rsidR="005F0560" w:rsidRPr="0066109C">
        <w:rPr>
          <w:rFonts w:ascii="Times New Roman" w:hAnsi="Times New Roman" w:cs="Times New Roman"/>
          <w:sz w:val="24"/>
        </w:rPr>
        <w:t xml:space="preserve"> </w:t>
      </w:r>
      <w:r w:rsidRPr="0066109C">
        <w:rPr>
          <w:rFonts w:ascii="Times New Roman" w:hAnsi="Times New Roman" w:cs="Times New Roman"/>
          <w:sz w:val="24"/>
        </w:rPr>
        <w:t>Chennai Campus</w:t>
      </w:r>
      <w:r w:rsidR="005F0560" w:rsidRPr="0066109C">
        <w:rPr>
          <w:rFonts w:ascii="Times New Roman" w:hAnsi="Times New Roman" w:cs="Times New Roman"/>
          <w:sz w:val="24"/>
        </w:rPr>
        <w:t>.</w:t>
      </w:r>
    </w:p>
    <w:p w:rsidR="005F0560" w:rsidRPr="0066109C" w:rsidRDefault="005F0560" w:rsidP="005F0560">
      <w:pPr>
        <w:spacing w:after="0" w:line="240" w:lineRule="auto"/>
        <w:jc w:val="center"/>
        <w:rPr>
          <w:rFonts w:ascii="Times New Roman" w:hAnsi="Times New Roman" w:cs="Times New Roman"/>
          <w:sz w:val="24"/>
        </w:rPr>
      </w:pPr>
      <w:r w:rsidRPr="0066109C">
        <w:rPr>
          <w:rFonts w:ascii="Times New Roman" w:hAnsi="Times New Roman" w:cs="Times New Roman"/>
          <w:sz w:val="24"/>
        </w:rPr>
        <w:t>Email: kamaraj019@gmail.com</w:t>
      </w:r>
    </w:p>
    <w:p w:rsidR="00E74AA4" w:rsidRPr="0066109C" w:rsidRDefault="005F0560" w:rsidP="00611E78">
      <w:pPr>
        <w:pStyle w:val="NormalWeb"/>
        <w:shd w:val="clear" w:color="auto" w:fill="FFFFFF"/>
        <w:spacing w:before="0" w:beforeAutospacing="0" w:after="0" w:afterAutospacing="0" w:line="360" w:lineRule="auto"/>
        <w:rPr>
          <w:b/>
        </w:rPr>
      </w:pPr>
      <w:r w:rsidRPr="0066109C">
        <w:rPr>
          <w:b/>
        </w:rPr>
        <w:t xml:space="preserve">Abstract </w:t>
      </w:r>
    </w:p>
    <w:p w:rsidR="00D42984" w:rsidRPr="0066109C" w:rsidRDefault="00D42984" w:rsidP="00CB2691">
      <w:pPr>
        <w:pStyle w:val="NormalWeb"/>
        <w:shd w:val="clear" w:color="auto" w:fill="FFFFFF"/>
        <w:spacing w:before="0" w:beforeAutospacing="0" w:after="0" w:afterAutospacing="0" w:line="360" w:lineRule="auto"/>
        <w:ind w:firstLine="720"/>
        <w:jc w:val="both"/>
      </w:pPr>
      <w:r w:rsidRPr="0066109C">
        <w:t>The Union Budget 2024 of India has implemented initiatives focused on education, employment, skill development, and the middle class. Nine priority sectors have been delineated, and significant modifications have been implemented in the capital gains tax framework. The Union Budget in India is a procedure through which the central government presents its financial condition to parliament, encompassing income, expenditure, and borrowing. A budget, issued at the conclusion of one financial year and the commencement of another, delineates the funds raised and expended in the preceding year, together with the borrowing required to address any deficits. Furthermore, it offers projections for the forthcoming financial year, outlining expected revenues, proposed expenditures, and projected borrowing to address any deficits. It is important to note that in a general election year, the ruling coalition at the centre prepares an interim budget. Subsequent to the conclusion of general elections and the establishment of a new administration, a comprehensive union budget is presented in parliament. Consequently, in February 2024, the finance minister presented an interim budget to Parliament.</w:t>
      </w:r>
    </w:p>
    <w:p w:rsidR="00611E78" w:rsidRPr="0066109C" w:rsidRDefault="00611E78" w:rsidP="00611E78">
      <w:pPr>
        <w:pStyle w:val="NormalWeb"/>
        <w:shd w:val="clear" w:color="auto" w:fill="FFFFFF"/>
        <w:spacing w:before="0" w:beforeAutospacing="0" w:after="0" w:afterAutospacing="0" w:line="360" w:lineRule="auto"/>
        <w:jc w:val="both"/>
      </w:pPr>
      <w:r w:rsidRPr="0066109C">
        <w:rPr>
          <w:b/>
        </w:rPr>
        <w:t xml:space="preserve">Keywords: </w:t>
      </w:r>
      <w:r w:rsidRPr="0066109C">
        <w:t>Union Budget, Priority Sectors, Tax Regime, Income and Expenditures</w:t>
      </w:r>
      <w:r w:rsidR="00A5330F" w:rsidRPr="0066109C">
        <w:t>.</w:t>
      </w:r>
    </w:p>
    <w:p w:rsidR="00431D25" w:rsidRPr="0066109C" w:rsidRDefault="00431D25" w:rsidP="00B66202">
      <w:pPr>
        <w:pStyle w:val="NormalWeb"/>
        <w:shd w:val="clear" w:color="auto" w:fill="FFFFFF"/>
        <w:spacing w:before="0" w:beforeAutospacing="0" w:after="0" w:afterAutospacing="0" w:line="360" w:lineRule="auto"/>
        <w:jc w:val="both"/>
        <w:rPr>
          <w:b/>
        </w:rPr>
      </w:pPr>
      <w:r w:rsidRPr="0066109C">
        <w:rPr>
          <w:b/>
        </w:rPr>
        <w:t xml:space="preserve">Introduction </w:t>
      </w:r>
    </w:p>
    <w:p w:rsidR="00864664" w:rsidRPr="0066109C" w:rsidRDefault="00431D25" w:rsidP="00864664">
      <w:pPr>
        <w:pStyle w:val="NormalWeb"/>
        <w:shd w:val="clear" w:color="auto" w:fill="FFFFFF"/>
        <w:spacing w:before="0" w:beforeAutospacing="0" w:after="0" w:afterAutospacing="0" w:line="360" w:lineRule="auto"/>
        <w:jc w:val="both"/>
      </w:pPr>
      <w:r w:rsidRPr="0066109C">
        <w:tab/>
      </w:r>
      <w:r w:rsidR="00864664" w:rsidRPr="0066109C">
        <w:t xml:space="preserve">The third consecutive Narendra Modi administration (‘Modi 3.0’) commenced its term after the conclusion of the general elections in June. On July 23, 2024, India’s finance minister Nirmala Sitharaman presented the inaugural union budget of the Modi 3.0 government, highlighting the themes of education, employment, skill development, Industry 4.0, and the </w:t>
      </w:r>
      <w:r w:rsidR="00864664" w:rsidRPr="0066109C">
        <w:lastRenderedPageBreak/>
        <w:t>middle class.</w:t>
      </w:r>
      <w:r w:rsidR="00E251F4" w:rsidRPr="0066109C">
        <w:t xml:space="preserve"> The entire expenditure in the Budget Estimates (BE) year 2024-25 is projected at ₹48,20,512 crore, with total capital expenditure amounting to ₹11,11,111 crore.</w:t>
      </w:r>
      <w:r w:rsidR="00EA680D" w:rsidRPr="0066109C">
        <w:t xml:space="preserve"> The government is projected to receive Rs 32,07,200 crore in 2024-25, reflecting a 15% increase compared to 2023-24. The government is projected to borrow Rs 16,13,312 crore in 2024-25, representing a 2.4% decrease from 2023-24.</w:t>
      </w:r>
    </w:p>
    <w:p w:rsidR="00004FB9" w:rsidRPr="0066109C" w:rsidRDefault="00004FB9" w:rsidP="00864664">
      <w:pPr>
        <w:pStyle w:val="NormalWeb"/>
        <w:shd w:val="clear" w:color="auto" w:fill="FFFFFF"/>
        <w:spacing w:before="0" w:beforeAutospacing="0" w:after="0" w:afterAutospacing="0" w:line="360" w:lineRule="auto"/>
        <w:jc w:val="both"/>
        <w:rPr>
          <w:b/>
        </w:rPr>
      </w:pPr>
      <w:r w:rsidRPr="0066109C">
        <w:rPr>
          <w:b/>
        </w:rPr>
        <w:t xml:space="preserve">REVIEW OF LITERATURE </w:t>
      </w:r>
    </w:p>
    <w:p w:rsidR="00EA680D" w:rsidRPr="0066109C" w:rsidRDefault="00004FB9" w:rsidP="00EA680D">
      <w:pPr>
        <w:spacing w:after="0" w:line="360" w:lineRule="auto"/>
        <w:jc w:val="both"/>
        <w:rPr>
          <w:rFonts w:ascii="Times New Roman" w:hAnsi="Times New Roman" w:cs="Times New Roman"/>
          <w:sz w:val="24"/>
          <w:szCs w:val="24"/>
        </w:rPr>
      </w:pPr>
      <w:r w:rsidRPr="0066109C">
        <w:rPr>
          <w:rFonts w:ascii="Times New Roman" w:hAnsi="Times New Roman" w:cs="Times New Roman"/>
          <w:b/>
          <w:sz w:val="24"/>
          <w:szCs w:val="24"/>
        </w:rPr>
        <w:tab/>
      </w:r>
      <w:r w:rsidR="00EA680D" w:rsidRPr="0066109C">
        <w:rPr>
          <w:rFonts w:ascii="Times New Roman" w:hAnsi="Times New Roman" w:cs="Times New Roman"/>
          <w:sz w:val="24"/>
          <w:szCs w:val="24"/>
        </w:rPr>
        <w:t xml:space="preserve">A literature review is a scholarly document that encapsulates the current understanding of a specific topic, highlighting significant findings along with theoretical and methodological advancements. A literature review constitutes the cornerstone of nearly every academic discipline's research. Consequently, the literature review section has been constructed to examine a range of works pertinent to the current review, encompassing four primary aspects closely related to the research </w:t>
      </w:r>
      <w:proofErr w:type="spellStart"/>
      <w:r w:rsidR="00EA680D" w:rsidRPr="0066109C">
        <w:rPr>
          <w:rFonts w:ascii="Times New Roman" w:hAnsi="Times New Roman" w:cs="Times New Roman"/>
          <w:sz w:val="24"/>
          <w:szCs w:val="24"/>
        </w:rPr>
        <w:t>endeavour</w:t>
      </w:r>
      <w:proofErr w:type="spellEnd"/>
      <w:r w:rsidR="00EA680D" w:rsidRPr="0066109C">
        <w:rPr>
          <w:rFonts w:ascii="Times New Roman" w:hAnsi="Times New Roman" w:cs="Times New Roman"/>
          <w:sz w:val="24"/>
          <w:szCs w:val="24"/>
        </w:rPr>
        <w:t>.</w:t>
      </w:r>
    </w:p>
    <w:p w:rsidR="00004FB9" w:rsidRPr="0066109C" w:rsidRDefault="00004FB9" w:rsidP="00004FB9">
      <w:pPr>
        <w:pStyle w:val="ListParagraph"/>
        <w:numPr>
          <w:ilvl w:val="0"/>
          <w:numId w:val="4"/>
        </w:numPr>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t>Tax Benefits</w:t>
      </w:r>
    </w:p>
    <w:p w:rsidR="00004FB9" w:rsidRPr="0066109C" w:rsidRDefault="00004FB9" w:rsidP="00004FB9">
      <w:pPr>
        <w:pStyle w:val="ListParagraph"/>
        <w:numPr>
          <w:ilvl w:val="0"/>
          <w:numId w:val="4"/>
        </w:numPr>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t>Tax Rebate</w:t>
      </w:r>
    </w:p>
    <w:p w:rsidR="00004FB9" w:rsidRPr="0066109C" w:rsidRDefault="00004FB9" w:rsidP="00004FB9">
      <w:pPr>
        <w:pStyle w:val="ListParagraph"/>
        <w:numPr>
          <w:ilvl w:val="0"/>
          <w:numId w:val="4"/>
        </w:numPr>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t>Budget Benefits</w:t>
      </w:r>
    </w:p>
    <w:p w:rsidR="00EA680D" w:rsidRPr="0066109C" w:rsidRDefault="00EA680D" w:rsidP="00EA680D">
      <w:pPr>
        <w:pStyle w:val="ListParagraph"/>
        <w:numPr>
          <w:ilvl w:val="0"/>
          <w:numId w:val="4"/>
        </w:numPr>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t xml:space="preserve">Economic Growth </w:t>
      </w:r>
    </w:p>
    <w:p w:rsidR="00DD2A18" w:rsidRPr="0066109C" w:rsidRDefault="00DD2A18" w:rsidP="00DD2A18">
      <w:pPr>
        <w:spacing w:after="0" w:line="360" w:lineRule="auto"/>
        <w:ind w:firstLine="360"/>
        <w:jc w:val="both"/>
        <w:rPr>
          <w:rFonts w:ascii="Times New Roman" w:hAnsi="Times New Roman" w:cs="Times New Roman"/>
          <w:sz w:val="24"/>
          <w:szCs w:val="24"/>
        </w:rPr>
      </w:pPr>
      <w:r w:rsidRPr="0066109C">
        <w:rPr>
          <w:rFonts w:ascii="Times New Roman" w:hAnsi="Times New Roman" w:cs="Times New Roman"/>
          <w:b/>
          <w:sz w:val="24"/>
          <w:szCs w:val="24"/>
        </w:rPr>
        <w:t>Kirti Makwana (2024)</w:t>
      </w:r>
      <w:r w:rsidRPr="0066109C">
        <w:rPr>
          <w:rFonts w:ascii="Times New Roman" w:hAnsi="Times New Roman" w:cs="Times New Roman"/>
          <w:sz w:val="24"/>
          <w:szCs w:val="24"/>
        </w:rPr>
        <w:t xml:space="preserve"> observed that the budget </w:t>
      </w:r>
      <w:proofErr w:type="spellStart"/>
      <w:r w:rsidRPr="0066109C">
        <w:rPr>
          <w:rFonts w:ascii="Times New Roman" w:hAnsi="Times New Roman" w:cs="Times New Roman"/>
          <w:sz w:val="24"/>
          <w:szCs w:val="24"/>
        </w:rPr>
        <w:t>prioritises</w:t>
      </w:r>
      <w:proofErr w:type="spellEnd"/>
      <w:r w:rsidRPr="0066109C">
        <w:rPr>
          <w:rFonts w:ascii="Times New Roman" w:hAnsi="Times New Roman" w:cs="Times New Roman"/>
          <w:sz w:val="24"/>
          <w:szCs w:val="24"/>
        </w:rPr>
        <w:t xml:space="preserve"> fostering business expansion, enhancing living standards, and offering relief to many sectors impacted by the COVID-19 epidemic. Terms such as "India," "Government," "Infrastructure," and "Sector" are frequently reiterated in each budget presentation.</w:t>
      </w:r>
    </w:p>
    <w:p w:rsidR="00DD2A18" w:rsidRPr="0066109C" w:rsidRDefault="00DD2A18" w:rsidP="00DD2A18">
      <w:pPr>
        <w:spacing w:after="0" w:line="360" w:lineRule="auto"/>
        <w:ind w:firstLine="720"/>
        <w:jc w:val="both"/>
        <w:rPr>
          <w:rFonts w:ascii="Times New Roman" w:hAnsi="Times New Roman" w:cs="Times New Roman"/>
          <w:sz w:val="24"/>
          <w:szCs w:val="24"/>
        </w:rPr>
      </w:pPr>
      <w:r w:rsidRPr="0066109C">
        <w:rPr>
          <w:rFonts w:ascii="Times New Roman" w:hAnsi="Times New Roman" w:cs="Times New Roman"/>
          <w:b/>
          <w:sz w:val="24"/>
          <w:szCs w:val="24"/>
        </w:rPr>
        <w:t>Ramalingam and Kamaraj (2023)</w:t>
      </w:r>
      <w:r w:rsidRPr="0066109C">
        <w:rPr>
          <w:rFonts w:ascii="Times New Roman" w:hAnsi="Times New Roman" w:cs="Times New Roman"/>
          <w:sz w:val="24"/>
          <w:szCs w:val="24"/>
        </w:rPr>
        <w:t xml:space="preserve"> noted that India has emerged as one of the fastest emerging nations globally. The Indian economy is described as a "bright star" in this context. The anticipated economic growth for the current year is projected to be 7%. This is noteworthy as it represents the apex among the key economies. We are executing multiple initiatives for sustainable fuel, renewable energy, eco-friendly agriculture, sustainable transportation, green architecture, and environmentally conscious equipment, with regulations for energy efficiency throughout diverse economic sectors. These green growth efforts mitigate the carbon intensity of the economy and generate substantial green employment opportunities. </w:t>
      </w:r>
    </w:p>
    <w:p w:rsidR="00DD2A18" w:rsidRPr="0066109C" w:rsidRDefault="00DD2A18" w:rsidP="00DD2A18">
      <w:pPr>
        <w:spacing w:after="0" w:line="360" w:lineRule="auto"/>
        <w:jc w:val="both"/>
        <w:rPr>
          <w:rFonts w:ascii="Times New Roman" w:hAnsi="Times New Roman" w:cs="Times New Roman"/>
          <w:sz w:val="24"/>
          <w:szCs w:val="24"/>
        </w:rPr>
      </w:pPr>
      <w:r w:rsidRPr="0066109C">
        <w:rPr>
          <w:rFonts w:ascii="Times New Roman" w:hAnsi="Times New Roman" w:cs="Times New Roman"/>
          <w:sz w:val="28"/>
        </w:rPr>
        <w:tab/>
      </w:r>
      <w:r w:rsidRPr="0066109C">
        <w:rPr>
          <w:rFonts w:ascii="Times New Roman" w:hAnsi="Times New Roman" w:cs="Times New Roman"/>
          <w:b/>
          <w:sz w:val="24"/>
          <w:szCs w:val="24"/>
        </w:rPr>
        <w:t xml:space="preserve">Hitesh I. Bhatia (2016) </w:t>
      </w:r>
      <w:r w:rsidRPr="0066109C">
        <w:rPr>
          <w:rFonts w:ascii="Times New Roman" w:hAnsi="Times New Roman" w:cs="Times New Roman"/>
          <w:sz w:val="24"/>
          <w:szCs w:val="24"/>
        </w:rPr>
        <w:t xml:space="preserve">observed that increasing debt-to-GDP ratios are sustainable if they foster economic growth. Thus, the nature of government expenditure financed through borrowed resources, rather than the overall amount borrowed, delineates fiscal sustainability. </w:t>
      </w:r>
      <w:r w:rsidRPr="0066109C">
        <w:rPr>
          <w:rFonts w:ascii="Times New Roman" w:hAnsi="Times New Roman" w:cs="Times New Roman"/>
          <w:sz w:val="24"/>
          <w:szCs w:val="24"/>
        </w:rPr>
        <w:lastRenderedPageBreak/>
        <w:t xml:space="preserve">Consequently, forthcoming deficit values will be influenced by expenditure as well as anticipated inflation, interest rates, investment rates, reserves, and growth rates. </w:t>
      </w:r>
    </w:p>
    <w:p w:rsidR="00DD2A18" w:rsidRPr="0066109C" w:rsidRDefault="00DD2A18" w:rsidP="00DD2A18">
      <w:pPr>
        <w:spacing w:after="0" w:line="360" w:lineRule="auto"/>
        <w:ind w:firstLine="720"/>
        <w:jc w:val="both"/>
        <w:rPr>
          <w:rFonts w:ascii="Times New Roman" w:hAnsi="Times New Roman" w:cs="Times New Roman"/>
          <w:sz w:val="24"/>
          <w:szCs w:val="24"/>
        </w:rPr>
      </w:pPr>
      <w:r w:rsidRPr="0066109C">
        <w:rPr>
          <w:rFonts w:ascii="Times New Roman" w:hAnsi="Times New Roman" w:cs="Times New Roman"/>
          <w:b/>
          <w:sz w:val="24"/>
          <w:szCs w:val="24"/>
        </w:rPr>
        <w:t>Neelam Kaushal (2021)</w:t>
      </w:r>
      <w:r w:rsidRPr="0066109C">
        <w:rPr>
          <w:rFonts w:ascii="Times New Roman" w:hAnsi="Times New Roman" w:cs="Times New Roman"/>
          <w:sz w:val="24"/>
          <w:szCs w:val="24"/>
        </w:rPr>
        <w:t xml:space="preserve"> noted that the Union Budget 2017 reflects the government's dedication to addressing black money, corruption, and related concerns. Instead of increasing tax rates, the finance minister has sought to augment excess funds through enhanced tax compliance. The 2018 budget concurrently addressed various segments of the economy. The finance minister's Budget statement on February 1, 2017, highlighted ten principal topics: farmers, rural demographics, youth, digital economy, public service, financial sector, impoverished and disadvantaged groups, prudent fiscal management, infrastructure, and tax administration.</w:t>
      </w:r>
    </w:p>
    <w:p w:rsidR="00004FB9" w:rsidRPr="0066109C" w:rsidRDefault="00004FB9" w:rsidP="00004FB9">
      <w:pPr>
        <w:spacing w:after="0" w:line="360" w:lineRule="auto"/>
        <w:jc w:val="both"/>
        <w:rPr>
          <w:rFonts w:ascii="Times New Roman" w:hAnsi="Times New Roman" w:cs="Times New Roman"/>
          <w:b/>
          <w:sz w:val="24"/>
        </w:rPr>
      </w:pPr>
      <w:r w:rsidRPr="0066109C">
        <w:rPr>
          <w:rFonts w:ascii="Times New Roman" w:hAnsi="Times New Roman" w:cs="Times New Roman"/>
          <w:b/>
          <w:sz w:val="24"/>
        </w:rPr>
        <w:t xml:space="preserve">OBJECTIVES OF THE STUDY </w:t>
      </w:r>
    </w:p>
    <w:p w:rsidR="005A53E0" w:rsidRPr="0066109C" w:rsidRDefault="005A53E0" w:rsidP="005A53E0">
      <w:pPr>
        <w:spacing w:after="0" w:line="360" w:lineRule="auto"/>
        <w:jc w:val="both"/>
        <w:rPr>
          <w:rFonts w:ascii="Times New Roman" w:hAnsi="Times New Roman" w:cs="Times New Roman"/>
          <w:sz w:val="24"/>
        </w:rPr>
      </w:pPr>
      <w:r w:rsidRPr="0066109C">
        <w:rPr>
          <w:rFonts w:ascii="Times New Roman" w:hAnsi="Times New Roman" w:cs="Times New Roman"/>
          <w:sz w:val="24"/>
        </w:rPr>
        <w:t xml:space="preserve">1. To ascertain the significance of the Union Budget 2024-2025. </w:t>
      </w:r>
    </w:p>
    <w:p w:rsidR="005A53E0" w:rsidRPr="0066109C" w:rsidRDefault="005A53E0" w:rsidP="005A53E0">
      <w:pPr>
        <w:spacing w:after="0" w:line="360" w:lineRule="auto"/>
        <w:jc w:val="both"/>
        <w:rPr>
          <w:rFonts w:ascii="Times New Roman" w:hAnsi="Times New Roman" w:cs="Times New Roman"/>
          <w:sz w:val="24"/>
        </w:rPr>
      </w:pPr>
      <w:r w:rsidRPr="0066109C">
        <w:rPr>
          <w:rFonts w:ascii="Times New Roman" w:hAnsi="Times New Roman" w:cs="Times New Roman"/>
          <w:sz w:val="24"/>
        </w:rPr>
        <w:t xml:space="preserve">2. To </w:t>
      </w:r>
      <w:proofErr w:type="spellStart"/>
      <w:r w:rsidRPr="0066109C">
        <w:rPr>
          <w:rFonts w:ascii="Times New Roman" w:hAnsi="Times New Roman" w:cs="Times New Roman"/>
          <w:sz w:val="24"/>
        </w:rPr>
        <w:t>analyse</w:t>
      </w:r>
      <w:proofErr w:type="spellEnd"/>
      <w:r w:rsidRPr="0066109C">
        <w:rPr>
          <w:rFonts w:ascii="Times New Roman" w:hAnsi="Times New Roman" w:cs="Times New Roman"/>
          <w:sz w:val="24"/>
        </w:rPr>
        <w:t xml:space="preserve"> the revenue and expenditure of the Union Budget for 2024-2025.</w:t>
      </w:r>
    </w:p>
    <w:p w:rsidR="00004FB9" w:rsidRPr="0066109C" w:rsidRDefault="00004FB9" w:rsidP="00004FB9">
      <w:pPr>
        <w:spacing w:after="0" w:line="360" w:lineRule="auto"/>
        <w:jc w:val="both"/>
        <w:rPr>
          <w:rFonts w:ascii="Times New Roman" w:hAnsi="Times New Roman" w:cs="Times New Roman"/>
          <w:b/>
          <w:sz w:val="24"/>
        </w:rPr>
      </w:pPr>
      <w:r w:rsidRPr="0066109C">
        <w:rPr>
          <w:rFonts w:ascii="Times New Roman" w:hAnsi="Times New Roman" w:cs="Times New Roman"/>
          <w:b/>
          <w:sz w:val="24"/>
        </w:rPr>
        <w:t>RESEARCH METHODOLOGY</w:t>
      </w:r>
    </w:p>
    <w:p w:rsidR="00DB34C6" w:rsidRPr="0066109C" w:rsidRDefault="00004FB9" w:rsidP="005A53E0">
      <w:pPr>
        <w:spacing w:after="0" w:line="360" w:lineRule="auto"/>
        <w:jc w:val="both"/>
        <w:rPr>
          <w:rFonts w:ascii="Times New Roman" w:hAnsi="Times New Roman" w:cs="Times New Roman"/>
          <w:sz w:val="24"/>
        </w:rPr>
      </w:pPr>
      <w:r w:rsidRPr="0066109C">
        <w:rPr>
          <w:rFonts w:ascii="Times New Roman" w:hAnsi="Times New Roman" w:cs="Times New Roman"/>
          <w:sz w:val="24"/>
        </w:rPr>
        <w:tab/>
        <w:t xml:space="preserve">The </w:t>
      </w:r>
      <w:proofErr w:type="spellStart"/>
      <w:r w:rsidR="005A53E0" w:rsidRPr="0066109C">
        <w:rPr>
          <w:rFonts w:ascii="Times New Roman" w:hAnsi="Times New Roman" w:cs="Times New Roman"/>
          <w:sz w:val="24"/>
        </w:rPr>
        <w:t>The</w:t>
      </w:r>
      <w:proofErr w:type="spellEnd"/>
      <w:r w:rsidR="005A53E0" w:rsidRPr="0066109C">
        <w:rPr>
          <w:rFonts w:ascii="Times New Roman" w:hAnsi="Times New Roman" w:cs="Times New Roman"/>
          <w:sz w:val="24"/>
        </w:rPr>
        <w:t xml:space="preserve"> present research study is descriptive and relies on secondary data. Secondary data was obtained from the Ministry of Finance and the Union Budget 2024-25; PRS.</w:t>
      </w:r>
    </w:p>
    <w:p w:rsidR="007B33A7" w:rsidRPr="0066109C" w:rsidRDefault="007B33A7" w:rsidP="007B33A7">
      <w:pPr>
        <w:spacing w:after="0" w:line="360" w:lineRule="auto"/>
        <w:rPr>
          <w:rFonts w:ascii="Times New Roman" w:eastAsia="Times New Roman" w:hAnsi="Times New Roman" w:cs="Times New Roman"/>
          <w:sz w:val="24"/>
          <w:szCs w:val="24"/>
        </w:rPr>
      </w:pPr>
      <w:r w:rsidRPr="0066109C">
        <w:rPr>
          <w:rFonts w:ascii="Times New Roman" w:eastAsia="Times New Roman" w:hAnsi="Times New Roman" w:cs="Times New Roman"/>
          <w:b/>
          <w:sz w:val="24"/>
          <w:szCs w:val="24"/>
        </w:rPr>
        <w:t xml:space="preserve">Nine key segments have been identified in the Union Budget 2024-25: </w:t>
      </w:r>
      <w:r w:rsidRPr="0066109C">
        <w:rPr>
          <w:rFonts w:ascii="Times New Roman" w:eastAsia="Times New Roman" w:hAnsi="Times New Roman" w:cs="Times New Roman"/>
          <w:b/>
          <w:sz w:val="24"/>
          <w:szCs w:val="24"/>
        </w:rPr>
        <w:br/>
      </w:r>
      <w:r w:rsidRPr="0066109C">
        <w:rPr>
          <w:rFonts w:ascii="Times New Roman" w:eastAsia="Times New Roman" w:hAnsi="Times New Roman" w:cs="Times New Roman"/>
          <w:sz w:val="24"/>
          <w:szCs w:val="24"/>
        </w:rPr>
        <w:t xml:space="preserve">            1. Efficiency and adaptability in farming.</w:t>
      </w:r>
    </w:p>
    <w:p w:rsidR="007B33A7" w:rsidRPr="0066109C" w:rsidRDefault="007B33A7" w:rsidP="007B33A7">
      <w:pPr>
        <w:spacing w:after="0" w:line="360" w:lineRule="auto"/>
        <w:ind w:left="720"/>
        <w:rPr>
          <w:rFonts w:ascii="Times New Roman" w:eastAsia="Times New Roman" w:hAnsi="Times New Roman" w:cs="Times New Roman"/>
          <w:sz w:val="24"/>
          <w:szCs w:val="24"/>
        </w:rPr>
      </w:pPr>
      <w:r w:rsidRPr="0066109C">
        <w:rPr>
          <w:rFonts w:ascii="Times New Roman" w:eastAsia="Times New Roman" w:hAnsi="Times New Roman" w:cs="Times New Roman"/>
          <w:sz w:val="24"/>
          <w:szCs w:val="24"/>
        </w:rPr>
        <w:t>2. Workforce development and training.</w:t>
      </w:r>
      <w:r w:rsidRPr="0066109C">
        <w:rPr>
          <w:rFonts w:ascii="Times New Roman" w:eastAsia="Times New Roman" w:hAnsi="Times New Roman" w:cs="Times New Roman"/>
          <w:sz w:val="24"/>
          <w:szCs w:val="24"/>
        </w:rPr>
        <w:br/>
        <w:t xml:space="preserve">3. Comprehensive human resource development and social equity. </w:t>
      </w:r>
      <w:r w:rsidRPr="0066109C">
        <w:rPr>
          <w:rFonts w:ascii="Times New Roman" w:eastAsia="Times New Roman" w:hAnsi="Times New Roman" w:cs="Times New Roman"/>
          <w:sz w:val="24"/>
          <w:szCs w:val="24"/>
        </w:rPr>
        <w:br/>
        <w:t>4. Production and service sectors.</w:t>
      </w:r>
      <w:r w:rsidRPr="0066109C">
        <w:rPr>
          <w:rFonts w:ascii="Times New Roman" w:eastAsia="Times New Roman" w:hAnsi="Times New Roman" w:cs="Times New Roman"/>
          <w:sz w:val="24"/>
          <w:szCs w:val="24"/>
        </w:rPr>
        <w:br/>
        <w:t>5. Urban development.</w:t>
      </w:r>
      <w:r w:rsidRPr="0066109C">
        <w:rPr>
          <w:rFonts w:ascii="Times New Roman" w:eastAsia="Times New Roman" w:hAnsi="Times New Roman" w:cs="Times New Roman"/>
          <w:sz w:val="24"/>
          <w:szCs w:val="24"/>
        </w:rPr>
        <w:br/>
        <w:t>6. Energy securities.</w:t>
      </w:r>
      <w:r w:rsidRPr="0066109C">
        <w:rPr>
          <w:rFonts w:ascii="Times New Roman" w:eastAsia="Times New Roman" w:hAnsi="Times New Roman" w:cs="Times New Roman"/>
          <w:sz w:val="24"/>
          <w:szCs w:val="24"/>
        </w:rPr>
        <w:br/>
        <w:t xml:space="preserve">7. Infrastructure. </w:t>
      </w:r>
      <w:r w:rsidRPr="0066109C">
        <w:rPr>
          <w:rFonts w:ascii="Times New Roman" w:eastAsia="Times New Roman" w:hAnsi="Times New Roman" w:cs="Times New Roman"/>
          <w:sz w:val="24"/>
          <w:szCs w:val="24"/>
        </w:rPr>
        <w:br/>
        <w:t>8. Advancement and Exploration in Development.</w:t>
      </w:r>
    </w:p>
    <w:p w:rsidR="001261F8" w:rsidRPr="0066109C" w:rsidRDefault="007B33A7" w:rsidP="007B33A7">
      <w:pPr>
        <w:spacing w:after="0" w:line="360" w:lineRule="auto"/>
        <w:ind w:left="720"/>
        <w:rPr>
          <w:rFonts w:ascii="Times New Roman" w:eastAsia="Times New Roman" w:hAnsi="Times New Roman" w:cs="Times New Roman"/>
          <w:sz w:val="24"/>
          <w:szCs w:val="24"/>
        </w:rPr>
      </w:pPr>
      <w:r w:rsidRPr="0066109C">
        <w:rPr>
          <w:rFonts w:ascii="Times New Roman" w:eastAsia="Times New Roman" w:hAnsi="Times New Roman" w:cs="Times New Roman"/>
          <w:sz w:val="24"/>
          <w:szCs w:val="24"/>
        </w:rPr>
        <w:t xml:space="preserve">9. </w:t>
      </w:r>
      <w:r w:rsidR="001261F8" w:rsidRPr="0066109C">
        <w:rPr>
          <w:rFonts w:ascii="Times New Roman" w:hAnsi="Times New Roman" w:cs="Times New Roman"/>
          <w:sz w:val="24"/>
          <w:szCs w:val="24"/>
        </w:rPr>
        <w:t>Next-generation reforms</w:t>
      </w:r>
      <w:r w:rsidRPr="0066109C">
        <w:rPr>
          <w:rFonts w:ascii="Times New Roman" w:hAnsi="Times New Roman" w:cs="Times New Roman"/>
          <w:sz w:val="24"/>
          <w:szCs w:val="24"/>
        </w:rPr>
        <w:t>.</w:t>
      </w:r>
    </w:p>
    <w:p w:rsidR="006E1466" w:rsidRPr="0066109C" w:rsidRDefault="006E1466" w:rsidP="006E1466">
      <w:pPr>
        <w:spacing w:after="0" w:line="360" w:lineRule="auto"/>
        <w:jc w:val="both"/>
        <w:rPr>
          <w:rFonts w:ascii="Times New Roman" w:hAnsi="Times New Roman" w:cs="Times New Roman"/>
          <w:b/>
          <w:sz w:val="24"/>
          <w:szCs w:val="24"/>
        </w:rPr>
      </w:pPr>
      <w:r w:rsidRPr="0066109C">
        <w:rPr>
          <w:rFonts w:ascii="Times New Roman" w:hAnsi="Times New Roman" w:cs="Times New Roman"/>
          <w:b/>
          <w:sz w:val="24"/>
          <w:szCs w:val="24"/>
        </w:rPr>
        <w:t>Taxation</w:t>
      </w:r>
    </w:p>
    <w:p w:rsidR="006E1466" w:rsidRPr="0066109C" w:rsidRDefault="006E1466" w:rsidP="006E1466">
      <w:pPr>
        <w:spacing w:after="0" w:line="360" w:lineRule="auto"/>
        <w:ind w:firstLine="720"/>
        <w:jc w:val="both"/>
        <w:rPr>
          <w:rFonts w:ascii="Times New Roman" w:hAnsi="Times New Roman" w:cs="Times New Roman"/>
          <w:sz w:val="24"/>
          <w:szCs w:val="24"/>
        </w:rPr>
      </w:pPr>
      <w:r w:rsidRPr="0066109C">
        <w:rPr>
          <w:rFonts w:ascii="Times New Roman" w:hAnsi="Times New Roman" w:cs="Times New Roman"/>
          <w:sz w:val="24"/>
          <w:szCs w:val="24"/>
        </w:rPr>
        <w:t xml:space="preserve">The Union Budget 2024 has introduced some modifications to India's taxation systems. These include offering income tax relief, boosting expenditure, and </w:t>
      </w:r>
      <w:proofErr w:type="spellStart"/>
      <w:r w:rsidRPr="0066109C">
        <w:rPr>
          <w:rFonts w:ascii="Times New Roman" w:hAnsi="Times New Roman" w:cs="Times New Roman"/>
          <w:sz w:val="24"/>
          <w:szCs w:val="24"/>
        </w:rPr>
        <w:t>standardising</w:t>
      </w:r>
      <w:proofErr w:type="spellEnd"/>
      <w:r w:rsidRPr="0066109C">
        <w:rPr>
          <w:rFonts w:ascii="Times New Roman" w:hAnsi="Times New Roman" w:cs="Times New Roman"/>
          <w:sz w:val="24"/>
          <w:szCs w:val="24"/>
        </w:rPr>
        <w:t xml:space="preserve"> capital gains tax rates and holding durations for different asset categories.</w:t>
      </w:r>
    </w:p>
    <w:p w:rsidR="0066109C" w:rsidRPr="0066109C" w:rsidRDefault="0066109C" w:rsidP="006E1466">
      <w:pPr>
        <w:spacing w:after="0" w:line="360" w:lineRule="auto"/>
        <w:ind w:firstLine="720"/>
        <w:jc w:val="both"/>
        <w:rPr>
          <w:rFonts w:ascii="Times New Roman" w:hAnsi="Times New Roman" w:cs="Times New Roman"/>
          <w:sz w:val="24"/>
          <w:szCs w:val="24"/>
        </w:rPr>
      </w:pPr>
    </w:p>
    <w:p w:rsidR="0066109C" w:rsidRPr="0066109C" w:rsidRDefault="0066109C" w:rsidP="006E1466">
      <w:pPr>
        <w:spacing w:after="0" w:line="360" w:lineRule="auto"/>
        <w:ind w:firstLine="720"/>
        <w:jc w:val="both"/>
        <w:rPr>
          <w:rFonts w:ascii="Times New Roman" w:hAnsi="Times New Roman" w:cs="Times New Roman"/>
          <w:sz w:val="24"/>
          <w:szCs w:val="24"/>
        </w:rPr>
      </w:pPr>
    </w:p>
    <w:p w:rsidR="006E1466" w:rsidRPr="0066109C" w:rsidRDefault="006E1466" w:rsidP="006E1466">
      <w:pPr>
        <w:spacing w:after="0" w:line="360" w:lineRule="auto"/>
        <w:jc w:val="both"/>
        <w:rPr>
          <w:rFonts w:ascii="Times New Roman" w:hAnsi="Times New Roman" w:cs="Times New Roman"/>
          <w:b/>
          <w:sz w:val="24"/>
          <w:szCs w:val="24"/>
        </w:rPr>
      </w:pPr>
      <w:r w:rsidRPr="0066109C">
        <w:rPr>
          <w:rFonts w:ascii="Times New Roman" w:hAnsi="Times New Roman" w:cs="Times New Roman"/>
          <w:b/>
          <w:sz w:val="24"/>
          <w:szCs w:val="24"/>
        </w:rPr>
        <w:lastRenderedPageBreak/>
        <w:t>Individual income taxation</w:t>
      </w:r>
    </w:p>
    <w:p w:rsidR="006E1466" w:rsidRPr="0066109C" w:rsidRDefault="006E1466" w:rsidP="006E1466">
      <w:pPr>
        <w:spacing w:after="0" w:line="360" w:lineRule="auto"/>
        <w:ind w:firstLine="720"/>
        <w:jc w:val="both"/>
        <w:rPr>
          <w:rFonts w:ascii="Times New Roman" w:hAnsi="Times New Roman" w:cs="Times New Roman"/>
          <w:sz w:val="24"/>
          <w:szCs w:val="24"/>
        </w:rPr>
      </w:pPr>
      <w:r w:rsidRPr="0066109C">
        <w:rPr>
          <w:rFonts w:ascii="Times New Roman" w:hAnsi="Times New Roman" w:cs="Times New Roman"/>
          <w:sz w:val="24"/>
          <w:szCs w:val="24"/>
        </w:rPr>
        <w:t>The government has lowered income tax rates for specific income brackets to stimulate consumption. Annual incomes ranging from INR 300,000 to INR 700,000 will henceforth be subject to a 5 percent tax, modifying the prior maximum threshold of INR 600,000.</w:t>
      </w:r>
    </w:p>
    <w:p w:rsidR="00902518" w:rsidRPr="0066109C" w:rsidRDefault="00F93973" w:rsidP="006E1466">
      <w:pPr>
        <w:spacing w:after="0" w:line="240" w:lineRule="auto"/>
        <w:ind w:firstLine="720"/>
        <w:jc w:val="center"/>
        <w:rPr>
          <w:rFonts w:ascii="Times New Roman" w:hAnsi="Times New Roman" w:cs="Times New Roman"/>
          <w:b/>
        </w:rPr>
      </w:pPr>
      <w:r w:rsidRPr="0066109C">
        <w:rPr>
          <w:rFonts w:ascii="Times New Roman" w:hAnsi="Times New Roman" w:cs="Times New Roman"/>
          <w:b/>
        </w:rPr>
        <w:t xml:space="preserve">Table Number - </w:t>
      </w:r>
      <w:r w:rsidR="00902518" w:rsidRPr="0066109C">
        <w:rPr>
          <w:rFonts w:ascii="Times New Roman" w:hAnsi="Times New Roman" w:cs="Times New Roman"/>
          <w:b/>
        </w:rPr>
        <w:t>01</w:t>
      </w:r>
    </w:p>
    <w:p w:rsidR="00902518" w:rsidRPr="0066109C" w:rsidRDefault="00902518" w:rsidP="00F93973">
      <w:pPr>
        <w:spacing w:after="0" w:line="240" w:lineRule="auto"/>
        <w:ind w:firstLine="720"/>
        <w:jc w:val="center"/>
        <w:rPr>
          <w:rFonts w:ascii="Times New Roman" w:eastAsia="Times New Roman" w:hAnsi="Times New Roman" w:cs="Times New Roman"/>
          <w:b/>
          <w:sz w:val="24"/>
        </w:rPr>
      </w:pPr>
      <w:r w:rsidRPr="0066109C">
        <w:rPr>
          <w:rFonts w:ascii="Times New Roman" w:eastAsia="Times New Roman" w:hAnsi="Times New Roman" w:cs="Times New Roman"/>
          <w:b/>
          <w:sz w:val="24"/>
        </w:rPr>
        <w:t>Changes to New Tax Regime – Union Budget 2024-25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56"/>
        <w:gridCol w:w="1087"/>
        <w:gridCol w:w="4588"/>
      </w:tblGrid>
      <w:tr w:rsidR="0066109C" w:rsidRPr="0066109C" w:rsidTr="00902518">
        <w:trPr>
          <w:trHeight w:val="342"/>
          <w:tblCellSpacing w:w="15" w:type="dxa"/>
          <w:jc w:val="center"/>
        </w:trPr>
        <w:tc>
          <w:tcPr>
            <w:tcW w:w="0" w:type="auto"/>
            <w:shd w:val="clear" w:color="auto" w:fill="FFFFFF"/>
            <w:hideMark/>
          </w:tcPr>
          <w:p w:rsidR="00902518" w:rsidRPr="0066109C" w:rsidRDefault="00902518" w:rsidP="00902518">
            <w:pPr>
              <w:spacing w:after="0" w:line="240" w:lineRule="auto"/>
              <w:jc w:val="center"/>
              <w:rPr>
                <w:rFonts w:ascii="Times New Roman" w:eastAsia="Times New Roman" w:hAnsi="Times New Roman" w:cs="Times New Roman"/>
                <w:b/>
                <w:sz w:val="24"/>
              </w:rPr>
            </w:pPr>
            <w:r w:rsidRPr="0066109C">
              <w:rPr>
                <w:rFonts w:ascii="Times New Roman" w:eastAsia="Times New Roman" w:hAnsi="Times New Roman" w:cs="Times New Roman"/>
                <w:b/>
                <w:sz w:val="24"/>
              </w:rPr>
              <w:t>Revised Structure</w:t>
            </w:r>
          </w:p>
        </w:tc>
        <w:tc>
          <w:tcPr>
            <w:tcW w:w="0" w:type="auto"/>
            <w:shd w:val="clear" w:color="auto" w:fill="FFFFFF"/>
            <w:hideMark/>
          </w:tcPr>
          <w:p w:rsidR="00902518" w:rsidRPr="0066109C" w:rsidRDefault="00902518" w:rsidP="00902518">
            <w:pPr>
              <w:spacing w:after="0" w:line="240" w:lineRule="auto"/>
              <w:jc w:val="center"/>
              <w:rPr>
                <w:rFonts w:ascii="Times New Roman" w:eastAsia="Times New Roman" w:hAnsi="Times New Roman" w:cs="Times New Roman"/>
                <w:b/>
                <w:sz w:val="24"/>
              </w:rPr>
            </w:pPr>
            <w:r w:rsidRPr="0066109C">
              <w:rPr>
                <w:rFonts w:ascii="Times New Roman" w:eastAsia="Times New Roman" w:hAnsi="Times New Roman" w:cs="Times New Roman"/>
                <w:b/>
                <w:sz w:val="24"/>
              </w:rPr>
              <w:t>Rate</w:t>
            </w:r>
          </w:p>
        </w:tc>
        <w:tc>
          <w:tcPr>
            <w:tcW w:w="0" w:type="auto"/>
            <w:shd w:val="clear" w:color="auto" w:fill="FFFFFF"/>
            <w:hideMark/>
          </w:tcPr>
          <w:p w:rsidR="00902518" w:rsidRPr="0066109C" w:rsidRDefault="00902518" w:rsidP="00902518">
            <w:pPr>
              <w:spacing w:after="0" w:line="240" w:lineRule="auto"/>
              <w:jc w:val="center"/>
              <w:rPr>
                <w:rFonts w:ascii="Times New Roman" w:eastAsia="Times New Roman" w:hAnsi="Times New Roman" w:cs="Times New Roman"/>
                <w:b/>
                <w:sz w:val="24"/>
              </w:rPr>
            </w:pPr>
            <w:r w:rsidRPr="0066109C">
              <w:rPr>
                <w:rFonts w:ascii="Times New Roman" w:eastAsia="Times New Roman" w:hAnsi="Times New Roman" w:cs="Times New Roman"/>
                <w:b/>
                <w:sz w:val="24"/>
              </w:rPr>
              <w:t>Compared to Earlier</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INR 0-300,000</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Nil</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Unchanged</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INR 300,000 to INR 700,000</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5 percent</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5 percent for INR 300,000 to INR 600,000</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INR 700,000 to INR 1 million</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10 percent</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10 percent for INR 600,000 to INR 900,000</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INR 1 million to INR 1.2 million</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15 percent</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15 percent for INR 900,000 to INR 1.2 million</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INR 1.2 million to INR 1.5 million</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20 percent</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Unchanged</w:t>
            </w:r>
          </w:p>
        </w:tc>
      </w:tr>
      <w:tr w:rsidR="0066109C" w:rsidRPr="0066109C" w:rsidTr="009E77BA">
        <w:trPr>
          <w:tblCellSpacing w:w="15" w:type="dxa"/>
          <w:jc w:val="center"/>
        </w:trPr>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Above INR 1.5 million</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30 percent</w:t>
            </w:r>
          </w:p>
        </w:tc>
        <w:tc>
          <w:tcPr>
            <w:tcW w:w="0" w:type="auto"/>
            <w:shd w:val="clear" w:color="auto" w:fill="FFFFFF"/>
            <w:hideMark/>
          </w:tcPr>
          <w:p w:rsidR="009E77BA" w:rsidRPr="0066109C" w:rsidRDefault="009E77BA" w:rsidP="00B83A39">
            <w:pPr>
              <w:spacing w:after="0" w:line="240" w:lineRule="auto"/>
              <w:jc w:val="both"/>
              <w:rPr>
                <w:rFonts w:ascii="Times New Roman" w:eastAsia="Times New Roman" w:hAnsi="Times New Roman" w:cs="Times New Roman"/>
                <w:sz w:val="24"/>
              </w:rPr>
            </w:pPr>
            <w:r w:rsidRPr="0066109C">
              <w:rPr>
                <w:rFonts w:ascii="Times New Roman" w:eastAsia="Times New Roman" w:hAnsi="Times New Roman" w:cs="Times New Roman"/>
                <w:sz w:val="24"/>
              </w:rPr>
              <w:t>Unchanged</w:t>
            </w:r>
          </w:p>
        </w:tc>
      </w:tr>
    </w:tbl>
    <w:p w:rsidR="009E77BA" w:rsidRPr="0066109C" w:rsidRDefault="009E77BA" w:rsidP="00B83A39">
      <w:pPr>
        <w:shd w:val="clear" w:color="auto" w:fill="FFFFFF"/>
        <w:spacing w:after="0" w:line="360" w:lineRule="auto"/>
        <w:jc w:val="both"/>
        <w:rPr>
          <w:rFonts w:ascii="Times New Roman" w:eastAsia="Times New Roman" w:hAnsi="Times New Roman" w:cs="Times New Roman"/>
          <w:iCs/>
          <w:sz w:val="24"/>
          <w:szCs w:val="24"/>
        </w:rPr>
      </w:pPr>
      <w:r w:rsidRPr="0066109C">
        <w:rPr>
          <w:rFonts w:ascii="Times New Roman" w:eastAsia="Times New Roman" w:hAnsi="Times New Roman" w:cs="Times New Roman"/>
          <w:b/>
          <w:i/>
          <w:iCs/>
          <w:sz w:val="24"/>
          <w:szCs w:val="24"/>
        </w:rPr>
        <w:t xml:space="preserve"> </w:t>
      </w:r>
      <w:r w:rsidR="00CD24B1" w:rsidRPr="0066109C">
        <w:rPr>
          <w:rFonts w:ascii="Times New Roman" w:eastAsia="Times New Roman" w:hAnsi="Times New Roman" w:cs="Times New Roman"/>
          <w:b/>
          <w:iCs/>
          <w:sz w:val="24"/>
          <w:szCs w:val="24"/>
        </w:rPr>
        <w:t>Source</w:t>
      </w:r>
      <w:r w:rsidR="00CD24B1" w:rsidRPr="0066109C">
        <w:rPr>
          <w:rFonts w:ascii="Times New Roman" w:eastAsia="Times New Roman" w:hAnsi="Times New Roman" w:cs="Times New Roman"/>
          <w:iCs/>
          <w:sz w:val="24"/>
          <w:szCs w:val="24"/>
        </w:rPr>
        <w:t xml:space="preserve">: </w:t>
      </w:r>
      <w:r w:rsidRPr="0066109C">
        <w:rPr>
          <w:rFonts w:ascii="Times New Roman" w:eastAsia="Times New Roman" w:hAnsi="Times New Roman" w:cs="Times New Roman"/>
          <w:iCs/>
          <w:sz w:val="24"/>
          <w:szCs w:val="24"/>
        </w:rPr>
        <w:t>https://www.india-briefing.com/news/indias-union-budget-2024-25</w:t>
      </w:r>
    </w:p>
    <w:p w:rsidR="00B1522C" w:rsidRPr="0066109C" w:rsidRDefault="00654688" w:rsidP="00242871">
      <w:pPr>
        <w:shd w:val="clear" w:color="auto" w:fill="FFFFFF"/>
        <w:spacing w:after="0" w:line="360" w:lineRule="auto"/>
        <w:ind w:firstLine="720"/>
        <w:jc w:val="both"/>
        <w:rPr>
          <w:rFonts w:ascii="Times New Roman" w:eastAsia="Times New Roman" w:hAnsi="Times New Roman" w:cs="Times New Roman"/>
          <w:iCs/>
          <w:sz w:val="24"/>
          <w:szCs w:val="24"/>
        </w:rPr>
      </w:pPr>
      <w:r w:rsidRPr="0066109C">
        <w:rPr>
          <w:rFonts w:ascii="Times New Roman" w:eastAsia="Times New Roman" w:hAnsi="Times New Roman" w:cs="Times New Roman"/>
          <w:iCs/>
          <w:sz w:val="24"/>
          <w:szCs w:val="24"/>
        </w:rPr>
        <w:t>Modifications to the new income tax system: The tax brackets within the revised tax regime have been altered. The suggested tax framework is illustrated in Table 1. The standard deduction for salaried individuals and seniors is proposed to rise from Rs 50,000 to Rs 75,000 under the new tax regime. The proposed increase in the deduction from family pension is from Rs 15,000 to Rs 25,000. Pension contributions will be tax-deductible for both the employer and the employee up to 14% of the salary, an increase from the previous limit of 10%.</w:t>
      </w:r>
    </w:p>
    <w:p w:rsidR="00C33F8C" w:rsidRPr="0066109C" w:rsidRDefault="00F93973" w:rsidP="00382B23">
      <w:pPr>
        <w:shd w:val="clear" w:color="auto" w:fill="FFFFFF"/>
        <w:spacing w:after="0" w:line="240" w:lineRule="auto"/>
        <w:ind w:firstLine="720"/>
        <w:jc w:val="center"/>
        <w:rPr>
          <w:rFonts w:ascii="Times New Roman" w:eastAsia="Times New Roman" w:hAnsi="Times New Roman" w:cs="Times New Roman"/>
          <w:b/>
          <w:iCs/>
          <w:sz w:val="24"/>
          <w:szCs w:val="24"/>
        </w:rPr>
      </w:pPr>
      <w:r w:rsidRPr="0066109C">
        <w:rPr>
          <w:rFonts w:ascii="Times New Roman" w:eastAsia="Times New Roman" w:hAnsi="Times New Roman" w:cs="Times New Roman"/>
          <w:b/>
          <w:iCs/>
          <w:sz w:val="24"/>
          <w:szCs w:val="24"/>
        </w:rPr>
        <w:t>Table Number-</w:t>
      </w:r>
      <w:r w:rsidR="00C33F8C" w:rsidRPr="0066109C">
        <w:rPr>
          <w:rFonts w:ascii="Times New Roman" w:eastAsia="Times New Roman" w:hAnsi="Times New Roman" w:cs="Times New Roman"/>
          <w:b/>
          <w:iCs/>
          <w:sz w:val="24"/>
          <w:szCs w:val="24"/>
        </w:rPr>
        <w:t>2</w:t>
      </w:r>
    </w:p>
    <w:p w:rsidR="007E3EF8" w:rsidRPr="0066109C" w:rsidRDefault="00C33F8C" w:rsidP="00382B23">
      <w:pPr>
        <w:shd w:val="clear" w:color="auto" w:fill="FFFFFF"/>
        <w:spacing w:after="0" w:line="240" w:lineRule="auto"/>
        <w:ind w:firstLine="720"/>
        <w:jc w:val="center"/>
        <w:rPr>
          <w:rFonts w:ascii="Times New Roman" w:eastAsia="Times New Roman" w:hAnsi="Times New Roman" w:cs="Times New Roman"/>
          <w:b/>
          <w:iCs/>
          <w:sz w:val="24"/>
          <w:szCs w:val="24"/>
        </w:rPr>
      </w:pPr>
      <w:r w:rsidRPr="0066109C">
        <w:rPr>
          <w:rFonts w:ascii="Times New Roman" w:eastAsia="Times New Roman" w:hAnsi="Times New Roman" w:cs="Times New Roman"/>
          <w:b/>
          <w:iCs/>
          <w:sz w:val="24"/>
          <w:szCs w:val="24"/>
        </w:rPr>
        <w:t>Budget at a glance 2024-2025 (Rs. Crore)</w:t>
      </w:r>
    </w:p>
    <w:tbl>
      <w:tblPr>
        <w:tblStyle w:val="TableGrid"/>
        <w:tblW w:w="0" w:type="auto"/>
        <w:tblLook w:val="04A0" w:firstRow="1" w:lastRow="0" w:firstColumn="1" w:lastColumn="0" w:noHBand="0" w:noVBand="1"/>
      </w:tblPr>
      <w:tblGrid>
        <w:gridCol w:w="1578"/>
        <w:gridCol w:w="1332"/>
        <w:gridCol w:w="1268"/>
        <w:gridCol w:w="1267"/>
        <w:gridCol w:w="1268"/>
        <w:gridCol w:w="2637"/>
      </w:tblGrid>
      <w:tr w:rsidR="0066109C" w:rsidRPr="0066109C" w:rsidTr="00382B23">
        <w:tc>
          <w:tcPr>
            <w:tcW w:w="1596" w:type="dxa"/>
          </w:tcPr>
          <w:p w:rsidR="00C33F8C" w:rsidRPr="0066109C" w:rsidRDefault="00C33F8C" w:rsidP="00382B23">
            <w:pPr>
              <w:pStyle w:val="NormalWeb"/>
              <w:spacing w:before="0" w:beforeAutospacing="0" w:after="0" w:afterAutospacing="0"/>
              <w:rPr>
                <w:b/>
              </w:rPr>
            </w:pPr>
            <w:r w:rsidRPr="0066109C">
              <w:rPr>
                <w:b/>
              </w:rPr>
              <w:t xml:space="preserve">Particulars </w:t>
            </w:r>
          </w:p>
        </w:tc>
        <w:tc>
          <w:tcPr>
            <w:tcW w:w="1347" w:type="dxa"/>
          </w:tcPr>
          <w:p w:rsidR="00C33F8C" w:rsidRPr="0066109C" w:rsidRDefault="00C33F8C" w:rsidP="00382B23">
            <w:pPr>
              <w:pStyle w:val="NormalWeb"/>
              <w:spacing w:before="0" w:beforeAutospacing="0" w:after="0" w:afterAutospacing="0"/>
              <w:rPr>
                <w:b/>
              </w:rPr>
            </w:pPr>
            <w:r w:rsidRPr="0066109C">
              <w:rPr>
                <w:b/>
              </w:rPr>
              <w:t>Actual 2022-2023</w:t>
            </w:r>
          </w:p>
        </w:tc>
        <w:tc>
          <w:tcPr>
            <w:tcW w:w="1276" w:type="dxa"/>
          </w:tcPr>
          <w:p w:rsidR="00C33F8C" w:rsidRPr="0066109C" w:rsidRDefault="00C33F8C" w:rsidP="00382B23">
            <w:pPr>
              <w:pStyle w:val="NormalWeb"/>
              <w:spacing w:before="0" w:beforeAutospacing="0" w:after="0" w:afterAutospacing="0"/>
              <w:rPr>
                <w:b/>
              </w:rPr>
            </w:pPr>
            <w:r w:rsidRPr="0066109C">
              <w:rPr>
                <w:b/>
              </w:rPr>
              <w:t>Budgeted 2023-2024</w:t>
            </w:r>
          </w:p>
        </w:tc>
        <w:tc>
          <w:tcPr>
            <w:tcW w:w="1276" w:type="dxa"/>
          </w:tcPr>
          <w:p w:rsidR="00C33F8C" w:rsidRPr="0066109C" w:rsidRDefault="00C33F8C" w:rsidP="00382B23">
            <w:pPr>
              <w:pStyle w:val="NormalWeb"/>
              <w:spacing w:before="0" w:beforeAutospacing="0" w:after="0" w:afterAutospacing="0"/>
              <w:rPr>
                <w:b/>
              </w:rPr>
            </w:pPr>
            <w:r w:rsidRPr="0066109C">
              <w:rPr>
                <w:b/>
              </w:rPr>
              <w:t>Actual 2023-2024</w:t>
            </w:r>
          </w:p>
        </w:tc>
        <w:tc>
          <w:tcPr>
            <w:tcW w:w="1276" w:type="dxa"/>
          </w:tcPr>
          <w:p w:rsidR="00C33F8C" w:rsidRPr="0066109C" w:rsidRDefault="00C33F8C" w:rsidP="00382B23">
            <w:pPr>
              <w:pStyle w:val="NormalWeb"/>
              <w:spacing w:before="0" w:beforeAutospacing="0" w:after="0" w:afterAutospacing="0"/>
              <w:rPr>
                <w:b/>
              </w:rPr>
            </w:pPr>
            <w:r w:rsidRPr="0066109C">
              <w:rPr>
                <w:b/>
              </w:rPr>
              <w:t>Budgeted 2024-2025</w:t>
            </w:r>
          </w:p>
        </w:tc>
        <w:tc>
          <w:tcPr>
            <w:tcW w:w="2805" w:type="dxa"/>
          </w:tcPr>
          <w:p w:rsidR="00C33F8C" w:rsidRPr="0066109C" w:rsidRDefault="00C33F8C" w:rsidP="00382B23">
            <w:pPr>
              <w:pStyle w:val="NormalWeb"/>
              <w:spacing w:before="0" w:beforeAutospacing="0" w:after="0" w:afterAutospacing="0"/>
              <w:rPr>
                <w:b/>
              </w:rPr>
            </w:pPr>
            <w:r w:rsidRPr="0066109C">
              <w:rPr>
                <w:b/>
              </w:rPr>
              <w:t>% change (2023-24 Actual to 2024-25 BE)</w:t>
            </w:r>
          </w:p>
        </w:tc>
      </w:tr>
      <w:tr w:rsidR="0066109C" w:rsidRPr="0066109C" w:rsidTr="00382B23">
        <w:tc>
          <w:tcPr>
            <w:tcW w:w="1596" w:type="dxa"/>
          </w:tcPr>
          <w:p w:rsidR="00C33F8C" w:rsidRPr="0066109C" w:rsidRDefault="00C66F69" w:rsidP="00382B23">
            <w:pPr>
              <w:pStyle w:val="NormalWeb"/>
              <w:spacing w:before="0" w:beforeAutospacing="0" w:after="0" w:afterAutospacing="0"/>
            </w:pPr>
            <w:r w:rsidRPr="0066109C">
              <w:t xml:space="preserve">Revenue Expenditure </w:t>
            </w:r>
          </w:p>
        </w:tc>
        <w:tc>
          <w:tcPr>
            <w:tcW w:w="1347" w:type="dxa"/>
          </w:tcPr>
          <w:p w:rsidR="00C33F8C" w:rsidRPr="0066109C" w:rsidRDefault="00C66F69" w:rsidP="00382B23">
            <w:pPr>
              <w:pStyle w:val="NormalWeb"/>
              <w:spacing w:before="0" w:beforeAutospacing="0" w:after="0" w:afterAutospacing="0"/>
            </w:pPr>
            <w:r w:rsidRPr="0066109C">
              <w:t xml:space="preserve">34,53,132 </w:t>
            </w:r>
          </w:p>
        </w:tc>
        <w:tc>
          <w:tcPr>
            <w:tcW w:w="1276" w:type="dxa"/>
          </w:tcPr>
          <w:p w:rsidR="00C33F8C" w:rsidRPr="0066109C" w:rsidRDefault="00C66F69" w:rsidP="00382B23">
            <w:pPr>
              <w:pStyle w:val="NormalWeb"/>
              <w:spacing w:before="0" w:beforeAutospacing="0" w:after="0" w:afterAutospacing="0"/>
            </w:pPr>
            <w:r w:rsidRPr="0066109C">
              <w:t xml:space="preserve">35,02,136 </w:t>
            </w:r>
          </w:p>
        </w:tc>
        <w:tc>
          <w:tcPr>
            <w:tcW w:w="1276" w:type="dxa"/>
          </w:tcPr>
          <w:p w:rsidR="00C33F8C" w:rsidRPr="0066109C" w:rsidRDefault="00C66F69" w:rsidP="00382B23">
            <w:pPr>
              <w:pStyle w:val="NormalWeb"/>
              <w:spacing w:before="0" w:beforeAutospacing="0" w:after="0" w:afterAutospacing="0"/>
            </w:pPr>
            <w:r w:rsidRPr="0066109C">
              <w:t xml:space="preserve">34,94,036 </w:t>
            </w:r>
          </w:p>
        </w:tc>
        <w:tc>
          <w:tcPr>
            <w:tcW w:w="1276" w:type="dxa"/>
          </w:tcPr>
          <w:p w:rsidR="00C33F8C" w:rsidRPr="0066109C" w:rsidRDefault="00C66F69" w:rsidP="00382B23">
            <w:pPr>
              <w:pStyle w:val="NormalWeb"/>
              <w:spacing w:before="0" w:beforeAutospacing="0" w:after="0" w:afterAutospacing="0"/>
            </w:pPr>
            <w:r w:rsidRPr="0066109C">
              <w:t>37,09,401</w:t>
            </w:r>
          </w:p>
        </w:tc>
        <w:tc>
          <w:tcPr>
            <w:tcW w:w="2805" w:type="dxa"/>
          </w:tcPr>
          <w:p w:rsidR="00C33F8C" w:rsidRPr="0066109C" w:rsidRDefault="00C5124C" w:rsidP="00382B23">
            <w:pPr>
              <w:pStyle w:val="NormalWeb"/>
              <w:spacing w:before="0" w:beforeAutospacing="0" w:after="0" w:afterAutospacing="0"/>
            </w:pPr>
            <w:r w:rsidRPr="0066109C">
              <w:t>6.2</w:t>
            </w:r>
          </w:p>
        </w:tc>
      </w:tr>
      <w:tr w:rsidR="0066109C" w:rsidRPr="0066109C" w:rsidTr="00382B23">
        <w:tc>
          <w:tcPr>
            <w:tcW w:w="1596" w:type="dxa"/>
          </w:tcPr>
          <w:p w:rsidR="00C33F8C" w:rsidRPr="0066109C" w:rsidRDefault="00C66F69" w:rsidP="00382B23">
            <w:pPr>
              <w:pStyle w:val="NormalWeb"/>
              <w:spacing w:before="0" w:beforeAutospacing="0" w:after="0" w:afterAutospacing="0"/>
            </w:pPr>
            <w:r w:rsidRPr="0066109C">
              <w:t xml:space="preserve">Capital Expenditure </w:t>
            </w:r>
          </w:p>
        </w:tc>
        <w:tc>
          <w:tcPr>
            <w:tcW w:w="1347" w:type="dxa"/>
          </w:tcPr>
          <w:p w:rsidR="00C33F8C" w:rsidRPr="0066109C" w:rsidRDefault="00C66F69" w:rsidP="00382B23">
            <w:pPr>
              <w:pStyle w:val="NormalWeb"/>
              <w:spacing w:before="0" w:beforeAutospacing="0" w:after="0" w:afterAutospacing="0"/>
            </w:pPr>
            <w:r w:rsidRPr="0066109C">
              <w:t xml:space="preserve">7,40,025 </w:t>
            </w:r>
          </w:p>
        </w:tc>
        <w:tc>
          <w:tcPr>
            <w:tcW w:w="1276" w:type="dxa"/>
          </w:tcPr>
          <w:p w:rsidR="00C33F8C" w:rsidRPr="0066109C" w:rsidRDefault="00C66F69" w:rsidP="00382B23">
            <w:pPr>
              <w:pStyle w:val="NormalWeb"/>
              <w:spacing w:before="0" w:beforeAutospacing="0" w:after="0" w:afterAutospacing="0"/>
            </w:pPr>
            <w:r w:rsidRPr="0066109C">
              <w:t xml:space="preserve">10,00,961 </w:t>
            </w:r>
          </w:p>
        </w:tc>
        <w:tc>
          <w:tcPr>
            <w:tcW w:w="1276" w:type="dxa"/>
          </w:tcPr>
          <w:p w:rsidR="00C33F8C" w:rsidRPr="0066109C" w:rsidRDefault="00C66F69" w:rsidP="00382B23">
            <w:pPr>
              <w:pStyle w:val="NormalWeb"/>
              <w:spacing w:before="0" w:beforeAutospacing="0" w:after="0" w:afterAutospacing="0"/>
            </w:pPr>
            <w:r w:rsidRPr="0066109C">
              <w:t xml:space="preserve">9,48,506 </w:t>
            </w:r>
          </w:p>
        </w:tc>
        <w:tc>
          <w:tcPr>
            <w:tcW w:w="1276" w:type="dxa"/>
          </w:tcPr>
          <w:p w:rsidR="00C33F8C" w:rsidRPr="0066109C" w:rsidRDefault="00C66F69" w:rsidP="00382B23">
            <w:pPr>
              <w:pStyle w:val="NormalWeb"/>
              <w:spacing w:before="0" w:beforeAutospacing="0" w:after="0" w:afterAutospacing="0"/>
            </w:pPr>
            <w:r w:rsidRPr="0066109C">
              <w:t>11,11,111</w:t>
            </w:r>
          </w:p>
        </w:tc>
        <w:tc>
          <w:tcPr>
            <w:tcW w:w="2805" w:type="dxa"/>
          </w:tcPr>
          <w:p w:rsidR="00C33F8C" w:rsidRPr="0066109C" w:rsidRDefault="00C5124C" w:rsidP="00382B23">
            <w:pPr>
              <w:pStyle w:val="NormalWeb"/>
              <w:spacing w:before="0" w:beforeAutospacing="0" w:after="0" w:afterAutospacing="0"/>
            </w:pPr>
            <w:r w:rsidRPr="0066109C">
              <w:t>17.1</w:t>
            </w:r>
          </w:p>
        </w:tc>
      </w:tr>
      <w:tr w:rsidR="0066109C" w:rsidRPr="0066109C" w:rsidTr="00382B23">
        <w:tc>
          <w:tcPr>
            <w:tcW w:w="1596" w:type="dxa"/>
          </w:tcPr>
          <w:p w:rsidR="00C33F8C" w:rsidRPr="0066109C" w:rsidRDefault="00C66F69" w:rsidP="00382B23">
            <w:pPr>
              <w:pStyle w:val="NormalWeb"/>
              <w:spacing w:before="0" w:beforeAutospacing="0" w:after="0" w:afterAutospacing="0"/>
            </w:pPr>
            <w:r w:rsidRPr="0066109C">
              <w:t xml:space="preserve">Capital Outlay </w:t>
            </w:r>
          </w:p>
        </w:tc>
        <w:tc>
          <w:tcPr>
            <w:tcW w:w="1347" w:type="dxa"/>
          </w:tcPr>
          <w:p w:rsidR="00C33F8C" w:rsidRPr="0066109C" w:rsidRDefault="00C66F69" w:rsidP="00382B23">
            <w:pPr>
              <w:pStyle w:val="NormalWeb"/>
              <w:spacing w:before="0" w:beforeAutospacing="0" w:after="0" w:afterAutospacing="0"/>
            </w:pPr>
            <w:r w:rsidRPr="0066109C">
              <w:t xml:space="preserve">6,24,757 </w:t>
            </w:r>
          </w:p>
        </w:tc>
        <w:tc>
          <w:tcPr>
            <w:tcW w:w="1276" w:type="dxa"/>
          </w:tcPr>
          <w:p w:rsidR="00C33F8C" w:rsidRPr="0066109C" w:rsidRDefault="00C66F69" w:rsidP="00382B23">
            <w:pPr>
              <w:pStyle w:val="NormalWeb"/>
              <w:spacing w:before="0" w:beforeAutospacing="0" w:after="0" w:afterAutospacing="0"/>
            </w:pPr>
            <w:r w:rsidRPr="0066109C">
              <w:t xml:space="preserve">8,37,127 </w:t>
            </w:r>
          </w:p>
        </w:tc>
        <w:tc>
          <w:tcPr>
            <w:tcW w:w="1276" w:type="dxa"/>
          </w:tcPr>
          <w:p w:rsidR="00C33F8C" w:rsidRPr="0066109C" w:rsidRDefault="00C66F69" w:rsidP="00382B23">
            <w:pPr>
              <w:pStyle w:val="NormalWeb"/>
              <w:spacing w:before="0" w:beforeAutospacing="0" w:after="0" w:afterAutospacing="0"/>
            </w:pPr>
            <w:r w:rsidRPr="0066109C">
              <w:t xml:space="preserve">7,87,411 </w:t>
            </w:r>
          </w:p>
        </w:tc>
        <w:tc>
          <w:tcPr>
            <w:tcW w:w="1276" w:type="dxa"/>
          </w:tcPr>
          <w:p w:rsidR="00C33F8C" w:rsidRPr="0066109C" w:rsidRDefault="00C66F69" w:rsidP="00382B23">
            <w:pPr>
              <w:pStyle w:val="NormalWeb"/>
              <w:spacing w:before="0" w:beforeAutospacing="0" w:after="0" w:afterAutospacing="0"/>
            </w:pPr>
            <w:r w:rsidRPr="0066109C">
              <w:t>9,18,695</w:t>
            </w:r>
          </w:p>
        </w:tc>
        <w:tc>
          <w:tcPr>
            <w:tcW w:w="2805" w:type="dxa"/>
          </w:tcPr>
          <w:p w:rsidR="00C33F8C" w:rsidRPr="0066109C" w:rsidRDefault="00C5124C" w:rsidP="00382B23">
            <w:pPr>
              <w:pStyle w:val="NormalWeb"/>
              <w:spacing w:before="0" w:beforeAutospacing="0" w:after="0" w:afterAutospacing="0"/>
            </w:pPr>
            <w:r w:rsidRPr="0066109C">
              <w:t>16.7</w:t>
            </w:r>
          </w:p>
        </w:tc>
      </w:tr>
      <w:tr w:rsidR="0066109C" w:rsidRPr="0066109C" w:rsidTr="00382B23">
        <w:tc>
          <w:tcPr>
            <w:tcW w:w="1596" w:type="dxa"/>
          </w:tcPr>
          <w:p w:rsidR="00C33F8C" w:rsidRPr="0066109C" w:rsidRDefault="00C66F69" w:rsidP="00382B23">
            <w:pPr>
              <w:pStyle w:val="NormalWeb"/>
              <w:spacing w:before="0" w:beforeAutospacing="0" w:after="0" w:afterAutospacing="0"/>
            </w:pPr>
            <w:r w:rsidRPr="0066109C">
              <w:t>Loans and Advances</w:t>
            </w:r>
          </w:p>
        </w:tc>
        <w:tc>
          <w:tcPr>
            <w:tcW w:w="1347" w:type="dxa"/>
          </w:tcPr>
          <w:p w:rsidR="00C33F8C" w:rsidRPr="0066109C" w:rsidRDefault="00C66F69" w:rsidP="00382B23">
            <w:pPr>
              <w:pStyle w:val="NormalWeb"/>
              <w:spacing w:before="0" w:beforeAutospacing="0" w:after="0" w:afterAutospacing="0"/>
            </w:pPr>
            <w:r w:rsidRPr="0066109C">
              <w:t xml:space="preserve">1,15,268 </w:t>
            </w:r>
          </w:p>
        </w:tc>
        <w:tc>
          <w:tcPr>
            <w:tcW w:w="1276" w:type="dxa"/>
          </w:tcPr>
          <w:p w:rsidR="00C33F8C" w:rsidRPr="0066109C" w:rsidRDefault="00C66F69" w:rsidP="00382B23">
            <w:pPr>
              <w:pStyle w:val="NormalWeb"/>
              <w:spacing w:before="0" w:beforeAutospacing="0" w:after="0" w:afterAutospacing="0"/>
            </w:pPr>
            <w:r w:rsidRPr="0066109C">
              <w:t xml:space="preserve">1,63,834 </w:t>
            </w:r>
          </w:p>
        </w:tc>
        <w:tc>
          <w:tcPr>
            <w:tcW w:w="1276" w:type="dxa"/>
          </w:tcPr>
          <w:p w:rsidR="00C33F8C" w:rsidRPr="0066109C" w:rsidRDefault="00C66F69" w:rsidP="00382B23">
            <w:pPr>
              <w:pStyle w:val="NormalWeb"/>
              <w:spacing w:before="0" w:beforeAutospacing="0" w:after="0" w:afterAutospacing="0"/>
            </w:pPr>
            <w:r w:rsidRPr="0066109C">
              <w:t xml:space="preserve">1,61,095 </w:t>
            </w:r>
          </w:p>
        </w:tc>
        <w:tc>
          <w:tcPr>
            <w:tcW w:w="1276" w:type="dxa"/>
          </w:tcPr>
          <w:p w:rsidR="00C33F8C" w:rsidRPr="0066109C" w:rsidRDefault="00C66F69" w:rsidP="00382B23">
            <w:pPr>
              <w:pStyle w:val="NormalWeb"/>
              <w:spacing w:before="0" w:beforeAutospacing="0" w:after="0" w:afterAutospacing="0"/>
            </w:pPr>
            <w:r w:rsidRPr="0066109C">
              <w:t>1,92,416</w:t>
            </w:r>
          </w:p>
        </w:tc>
        <w:tc>
          <w:tcPr>
            <w:tcW w:w="2805" w:type="dxa"/>
          </w:tcPr>
          <w:p w:rsidR="00C33F8C" w:rsidRPr="0066109C" w:rsidRDefault="00C5124C" w:rsidP="00382B23">
            <w:pPr>
              <w:pStyle w:val="NormalWeb"/>
              <w:spacing w:before="0" w:beforeAutospacing="0" w:after="0" w:afterAutospacing="0"/>
            </w:pPr>
            <w:r w:rsidRPr="0066109C">
              <w:t>19.4</w:t>
            </w:r>
          </w:p>
        </w:tc>
      </w:tr>
      <w:tr w:rsidR="0066109C" w:rsidRPr="0066109C" w:rsidTr="00382B23">
        <w:tc>
          <w:tcPr>
            <w:tcW w:w="1596" w:type="dxa"/>
          </w:tcPr>
          <w:p w:rsidR="00C33F8C" w:rsidRPr="0066109C" w:rsidRDefault="00C66F69" w:rsidP="00382B23">
            <w:pPr>
              <w:pStyle w:val="NormalWeb"/>
              <w:spacing w:before="0" w:beforeAutospacing="0" w:after="0" w:afterAutospacing="0"/>
            </w:pPr>
            <w:r w:rsidRPr="0066109C">
              <w:t xml:space="preserve">Total Expenditure </w:t>
            </w:r>
          </w:p>
        </w:tc>
        <w:tc>
          <w:tcPr>
            <w:tcW w:w="1347" w:type="dxa"/>
          </w:tcPr>
          <w:p w:rsidR="00C33F8C" w:rsidRPr="0066109C" w:rsidRDefault="00C66F69" w:rsidP="00382B23">
            <w:pPr>
              <w:pStyle w:val="NormalWeb"/>
              <w:spacing w:before="0" w:beforeAutospacing="0" w:after="0" w:afterAutospacing="0"/>
            </w:pPr>
            <w:r w:rsidRPr="0066109C">
              <w:t xml:space="preserve">41,93,157 </w:t>
            </w:r>
          </w:p>
        </w:tc>
        <w:tc>
          <w:tcPr>
            <w:tcW w:w="1276" w:type="dxa"/>
          </w:tcPr>
          <w:p w:rsidR="00C33F8C" w:rsidRPr="0066109C" w:rsidRDefault="00C66F69" w:rsidP="00382B23">
            <w:pPr>
              <w:pStyle w:val="NormalWeb"/>
              <w:spacing w:before="0" w:beforeAutospacing="0" w:after="0" w:afterAutospacing="0"/>
            </w:pPr>
            <w:r w:rsidRPr="0066109C">
              <w:t xml:space="preserve">45,03,097 </w:t>
            </w:r>
          </w:p>
        </w:tc>
        <w:tc>
          <w:tcPr>
            <w:tcW w:w="1276" w:type="dxa"/>
          </w:tcPr>
          <w:p w:rsidR="00C33F8C" w:rsidRPr="0066109C" w:rsidRDefault="00C66F69" w:rsidP="00382B23">
            <w:pPr>
              <w:pStyle w:val="NormalWeb"/>
              <w:spacing w:before="0" w:beforeAutospacing="0" w:after="0" w:afterAutospacing="0"/>
            </w:pPr>
            <w:r w:rsidRPr="0066109C">
              <w:t xml:space="preserve">44,42,542 </w:t>
            </w:r>
          </w:p>
        </w:tc>
        <w:tc>
          <w:tcPr>
            <w:tcW w:w="1276" w:type="dxa"/>
          </w:tcPr>
          <w:p w:rsidR="00C33F8C" w:rsidRPr="0066109C" w:rsidRDefault="00C66F69" w:rsidP="00382B23">
            <w:pPr>
              <w:pStyle w:val="NormalWeb"/>
              <w:spacing w:before="0" w:beforeAutospacing="0" w:after="0" w:afterAutospacing="0"/>
            </w:pPr>
            <w:r w:rsidRPr="0066109C">
              <w:t>48,20,512</w:t>
            </w:r>
          </w:p>
        </w:tc>
        <w:tc>
          <w:tcPr>
            <w:tcW w:w="2805" w:type="dxa"/>
          </w:tcPr>
          <w:p w:rsidR="00C33F8C" w:rsidRPr="0066109C" w:rsidRDefault="00C5124C" w:rsidP="00382B23">
            <w:pPr>
              <w:pStyle w:val="NormalWeb"/>
              <w:spacing w:before="0" w:beforeAutospacing="0" w:after="0" w:afterAutospacing="0"/>
            </w:pPr>
            <w:r w:rsidRPr="0066109C">
              <w:t>8.5</w:t>
            </w:r>
          </w:p>
        </w:tc>
      </w:tr>
    </w:tbl>
    <w:p w:rsidR="007E3EF8" w:rsidRPr="0066109C" w:rsidRDefault="00CC6263" w:rsidP="00F93973">
      <w:pPr>
        <w:pStyle w:val="NormalWeb"/>
        <w:shd w:val="clear" w:color="auto" w:fill="FFFFFF"/>
        <w:spacing w:before="0" w:beforeAutospacing="0" w:after="0" w:afterAutospacing="0"/>
      </w:pPr>
      <w:r w:rsidRPr="0066109C">
        <w:t>Note: *Recovery of Loans and Disinvestment for 2023-24 Actuals from Controller General of Accounts. Sources: Budget at a Glance, Union Budget Documents 2024-25; PRS.</w:t>
      </w:r>
    </w:p>
    <w:p w:rsidR="00242871" w:rsidRPr="0066109C" w:rsidRDefault="00242871" w:rsidP="00382B23">
      <w:pPr>
        <w:pStyle w:val="NormalWeb"/>
        <w:shd w:val="clear" w:color="auto" w:fill="FFFFFF"/>
        <w:spacing w:before="0" w:beforeAutospacing="0" w:after="0" w:afterAutospacing="0" w:line="360" w:lineRule="auto"/>
        <w:ind w:firstLine="720"/>
        <w:jc w:val="both"/>
      </w:pPr>
      <w:r w:rsidRPr="0066109C">
        <w:t xml:space="preserve">Table Numbers 2 elucidate that budget expenditure, in relation to revenue expenditure, is projected to rise from 35,02,136 crores in the year 2023-2024 to 37,09,401 crores in 2024-2025, </w:t>
      </w:r>
      <w:r w:rsidRPr="0066109C">
        <w:lastRenderedPageBreak/>
        <w:t xml:space="preserve">indicating an increase of 6.2% in revenue expenditure. Capital expenditure is projected to rise from 10,00,961 crores in 2023-2024 to 11,11,111 crores in 2024-2025, reflecting an increase of </w:t>
      </w:r>
    </w:p>
    <w:p w:rsidR="00242871" w:rsidRPr="0066109C" w:rsidRDefault="00242871" w:rsidP="00242871">
      <w:pPr>
        <w:pStyle w:val="NormalWeb"/>
        <w:shd w:val="clear" w:color="auto" w:fill="FFFFFF"/>
        <w:spacing w:before="0" w:beforeAutospacing="0" w:after="0" w:afterAutospacing="0" w:line="360" w:lineRule="auto"/>
        <w:jc w:val="both"/>
      </w:pPr>
      <w:r w:rsidRPr="0066109C">
        <w:t>17.1%.</w:t>
      </w:r>
    </w:p>
    <w:p w:rsidR="00F93973" w:rsidRPr="0066109C" w:rsidRDefault="004D5670" w:rsidP="00CD24B1">
      <w:pPr>
        <w:pStyle w:val="NormalWeb"/>
        <w:shd w:val="clear" w:color="auto" w:fill="FFFFFF"/>
        <w:spacing w:before="0" w:beforeAutospacing="0" w:after="0" w:afterAutospacing="0"/>
        <w:jc w:val="center"/>
        <w:rPr>
          <w:b/>
        </w:rPr>
      </w:pPr>
      <w:r w:rsidRPr="0066109C">
        <w:rPr>
          <w:b/>
        </w:rPr>
        <w:t xml:space="preserve">Table </w:t>
      </w:r>
      <w:r w:rsidR="00F93973" w:rsidRPr="0066109C">
        <w:rPr>
          <w:b/>
        </w:rPr>
        <w:t>Number- 3</w:t>
      </w:r>
    </w:p>
    <w:p w:rsidR="004D5670" w:rsidRPr="0066109C" w:rsidRDefault="004D5670" w:rsidP="00CD24B1">
      <w:pPr>
        <w:pStyle w:val="NormalWeb"/>
        <w:shd w:val="clear" w:color="auto" w:fill="FFFFFF"/>
        <w:spacing w:before="0" w:beforeAutospacing="0" w:after="0" w:afterAutospacing="0"/>
        <w:jc w:val="center"/>
        <w:rPr>
          <w:b/>
        </w:rPr>
      </w:pPr>
      <w:r w:rsidRPr="0066109C">
        <w:rPr>
          <w:b/>
        </w:rPr>
        <w:t>Ministry-</w:t>
      </w:r>
      <w:r w:rsidR="00E76EAE" w:rsidRPr="0066109C">
        <w:rPr>
          <w:b/>
        </w:rPr>
        <w:t xml:space="preserve">Wise Expenditure </w:t>
      </w:r>
      <w:r w:rsidRPr="0066109C">
        <w:rPr>
          <w:b/>
        </w:rPr>
        <w:t>in 2024-25 (Rs crore)</w:t>
      </w:r>
    </w:p>
    <w:tbl>
      <w:tblPr>
        <w:tblStyle w:val="TableGrid"/>
        <w:tblW w:w="0" w:type="auto"/>
        <w:tblLook w:val="04A0" w:firstRow="1" w:lastRow="0" w:firstColumn="1" w:lastColumn="0" w:noHBand="0" w:noVBand="1"/>
      </w:tblPr>
      <w:tblGrid>
        <w:gridCol w:w="1856"/>
        <w:gridCol w:w="1509"/>
        <w:gridCol w:w="1510"/>
        <w:gridCol w:w="1509"/>
        <w:gridCol w:w="1510"/>
        <w:gridCol w:w="1456"/>
      </w:tblGrid>
      <w:tr w:rsidR="0066109C" w:rsidRPr="0066109C" w:rsidTr="00681F99">
        <w:tc>
          <w:tcPr>
            <w:tcW w:w="1856" w:type="dxa"/>
          </w:tcPr>
          <w:p w:rsidR="006E4698" w:rsidRPr="0066109C" w:rsidRDefault="006E4698" w:rsidP="00BF6907">
            <w:pPr>
              <w:pStyle w:val="NormalWeb"/>
              <w:spacing w:before="0" w:beforeAutospacing="0" w:after="0" w:afterAutospacing="0"/>
              <w:rPr>
                <w:b/>
              </w:rPr>
            </w:pPr>
            <w:r w:rsidRPr="0066109C">
              <w:rPr>
                <w:b/>
              </w:rPr>
              <w:t xml:space="preserve">Particulars </w:t>
            </w:r>
          </w:p>
        </w:tc>
        <w:tc>
          <w:tcPr>
            <w:tcW w:w="1550" w:type="dxa"/>
          </w:tcPr>
          <w:p w:rsidR="006E4698" w:rsidRPr="0066109C" w:rsidRDefault="006E4698" w:rsidP="00BF6907">
            <w:pPr>
              <w:pStyle w:val="NormalWeb"/>
              <w:spacing w:before="0" w:beforeAutospacing="0" w:after="0" w:afterAutospacing="0"/>
              <w:rPr>
                <w:b/>
              </w:rPr>
            </w:pPr>
            <w:r w:rsidRPr="0066109C">
              <w:rPr>
                <w:b/>
              </w:rPr>
              <w:t>Actual 2022-2023</w:t>
            </w:r>
          </w:p>
        </w:tc>
        <w:tc>
          <w:tcPr>
            <w:tcW w:w="1550" w:type="dxa"/>
          </w:tcPr>
          <w:p w:rsidR="006E4698" w:rsidRPr="0066109C" w:rsidRDefault="006E4698" w:rsidP="00BF6907">
            <w:pPr>
              <w:pStyle w:val="NormalWeb"/>
              <w:spacing w:before="0" w:beforeAutospacing="0" w:after="0" w:afterAutospacing="0"/>
              <w:rPr>
                <w:b/>
              </w:rPr>
            </w:pPr>
            <w:r w:rsidRPr="0066109C">
              <w:rPr>
                <w:b/>
              </w:rPr>
              <w:t>Budgeted 2023-2024</w:t>
            </w:r>
          </w:p>
        </w:tc>
        <w:tc>
          <w:tcPr>
            <w:tcW w:w="1550" w:type="dxa"/>
          </w:tcPr>
          <w:p w:rsidR="006E4698" w:rsidRPr="0066109C" w:rsidRDefault="006E4698" w:rsidP="00BF6907">
            <w:pPr>
              <w:pStyle w:val="NormalWeb"/>
              <w:spacing w:before="0" w:beforeAutospacing="0" w:after="0" w:afterAutospacing="0"/>
              <w:rPr>
                <w:b/>
              </w:rPr>
            </w:pPr>
            <w:r w:rsidRPr="0066109C">
              <w:rPr>
                <w:b/>
              </w:rPr>
              <w:t>Actual 2023-2024</w:t>
            </w:r>
          </w:p>
        </w:tc>
        <w:tc>
          <w:tcPr>
            <w:tcW w:w="1550" w:type="dxa"/>
          </w:tcPr>
          <w:p w:rsidR="006E4698" w:rsidRPr="0066109C" w:rsidRDefault="006E4698" w:rsidP="00BF6907">
            <w:pPr>
              <w:pStyle w:val="NormalWeb"/>
              <w:spacing w:before="0" w:beforeAutospacing="0" w:after="0" w:afterAutospacing="0"/>
              <w:rPr>
                <w:b/>
              </w:rPr>
            </w:pPr>
            <w:r w:rsidRPr="0066109C">
              <w:rPr>
                <w:b/>
              </w:rPr>
              <w:t>Budgeted 2024-2025</w:t>
            </w:r>
          </w:p>
        </w:tc>
        <w:tc>
          <w:tcPr>
            <w:tcW w:w="1520" w:type="dxa"/>
          </w:tcPr>
          <w:p w:rsidR="006E4698" w:rsidRPr="0066109C" w:rsidRDefault="006E4698" w:rsidP="00BF6907">
            <w:pPr>
              <w:pStyle w:val="NormalWeb"/>
              <w:spacing w:before="0" w:beforeAutospacing="0" w:after="0" w:afterAutospacing="0"/>
              <w:rPr>
                <w:b/>
              </w:rPr>
            </w:pPr>
            <w:r w:rsidRPr="0066109C">
              <w:rPr>
                <w:b/>
              </w:rPr>
              <w:t>% change (2023-24 Actual to 2024-25 BE)</w:t>
            </w:r>
          </w:p>
        </w:tc>
      </w:tr>
      <w:tr w:rsidR="0066109C" w:rsidRPr="0066109C" w:rsidTr="00FA58B5">
        <w:tc>
          <w:tcPr>
            <w:tcW w:w="1856" w:type="dxa"/>
          </w:tcPr>
          <w:p w:rsidR="006E4698" w:rsidRPr="0066109C" w:rsidRDefault="006E4698" w:rsidP="00BF6907">
            <w:pPr>
              <w:pStyle w:val="NormalWeb"/>
              <w:spacing w:before="0" w:beforeAutospacing="0" w:after="0" w:afterAutospacing="0"/>
            </w:pPr>
            <w:proofErr w:type="spellStart"/>
            <w:r w:rsidRPr="0066109C">
              <w:t>Defence</w:t>
            </w:r>
            <w:proofErr w:type="spellEnd"/>
            <w:r w:rsidRPr="0066109C">
              <w:t xml:space="preserve"> </w:t>
            </w:r>
          </w:p>
        </w:tc>
        <w:tc>
          <w:tcPr>
            <w:tcW w:w="1550" w:type="dxa"/>
            <w:vAlign w:val="center"/>
          </w:tcPr>
          <w:p w:rsidR="006E4698" w:rsidRPr="0066109C" w:rsidRDefault="006E4698" w:rsidP="00BF6907">
            <w:pPr>
              <w:pStyle w:val="NormalWeb"/>
              <w:spacing w:before="0" w:beforeAutospacing="0" w:after="0" w:afterAutospacing="0"/>
              <w:jc w:val="center"/>
            </w:pPr>
            <w:r w:rsidRPr="0066109C">
              <w:t>5,73,098</w:t>
            </w:r>
          </w:p>
        </w:tc>
        <w:tc>
          <w:tcPr>
            <w:tcW w:w="1550" w:type="dxa"/>
            <w:vAlign w:val="center"/>
          </w:tcPr>
          <w:p w:rsidR="006E4698" w:rsidRPr="0066109C" w:rsidRDefault="006E4698" w:rsidP="00BF6907">
            <w:pPr>
              <w:pStyle w:val="NormalWeb"/>
              <w:spacing w:before="0" w:beforeAutospacing="0" w:after="0" w:afterAutospacing="0"/>
              <w:jc w:val="center"/>
            </w:pPr>
            <w:r w:rsidRPr="0066109C">
              <w:t>5,93,538</w:t>
            </w:r>
          </w:p>
        </w:tc>
        <w:tc>
          <w:tcPr>
            <w:tcW w:w="1550" w:type="dxa"/>
            <w:vAlign w:val="center"/>
          </w:tcPr>
          <w:p w:rsidR="006E4698" w:rsidRPr="0066109C" w:rsidRDefault="006E4698" w:rsidP="00BF6907">
            <w:pPr>
              <w:pStyle w:val="NormalWeb"/>
              <w:spacing w:before="0" w:beforeAutospacing="0" w:after="0" w:afterAutospacing="0"/>
              <w:jc w:val="center"/>
            </w:pPr>
            <w:r w:rsidRPr="0066109C">
              <w:t>6,09,799</w:t>
            </w:r>
          </w:p>
        </w:tc>
        <w:tc>
          <w:tcPr>
            <w:tcW w:w="1550" w:type="dxa"/>
            <w:vAlign w:val="center"/>
          </w:tcPr>
          <w:p w:rsidR="006E4698" w:rsidRPr="0066109C" w:rsidRDefault="006E4698" w:rsidP="00BF6907">
            <w:pPr>
              <w:pStyle w:val="NormalWeb"/>
              <w:spacing w:before="0" w:beforeAutospacing="0" w:after="0" w:afterAutospacing="0"/>
              <w:jc w:val="center"/>
            </w:pPr>
            <w:r w:rsidRPr="0066109C">
              <w:t>6,21,941</w:t>
            </w:r>
          </w:p>
        </w:tc>
        <w:tc>
          <w:tcPr>
            <w:tcW w:w="1520" w:type="dxa"/>
            <w:vAlign w:val="center"/>
          </w:tcPr>
          <w:p w:rsidR="006E4698" w:rsidRPr="0066109C" w:rsidRDefault="00100E9F" w:rsidP="00BF6907">
            <w:pPr>
              <w:pStyle w:val="NormalWeb"/>
              <w:spacing w:before="0" w:beforeAutospacing="0" w:after="0" w:afterAutospacing="0"/>
              <w:jc w:val="center"/>
            </w:pPr>
            <w:r w:rsidRPr="0066109C">
              <w:t>2.0</w:t>
            </w:r>
          </w:p>
        </w:tc>
      </w:tr>
      <w:tr w:rsidR="0066109C" w:rsidRPr="0066109C" w:rsidTr="00FA58B5">
        <w:tc>
          <w:tcPr>
            <w:tcW w:w="1856" w:type="dxa"/>
          </w:tcPr>
          <w:p w:rsidR="006E4698" w:rsidRPr="0066109C" w:rsidRDefault="006E4698" w:rsidP="00BF6907">
            <w:pPr>
              <w:pStyle w:val="NormalWeb"/>
              <w:spacing w:before="0" w:beforeAutospacing="0" w:after="0" w:afterAutospacing="0"/>
            </w:pPr>
            <w:r w:rsidRPr="0066109C">
              <w:t xml:space="preserve">Road Transport and Highways </w:t>
            </w:r>
          </w:p>
        </w:tc>
        <w:tc>
          <w:tcPr>
            <w:tcW w:w="1550" w:type="dxa"/>
            <w:vAlign w:val="center"/>
          </w:tcPr>
          <w:p w:rsidR="006E4698" w:rsidRPr="0066109C" w:rsidRDefault="006E4698" w:rsidP="00BF6907">
            <w:pPr>
              <w:pStyle w:val="NormalWeb"/>
              <w:spacing w:before="0" w:beforeAutospacing="0" w:after="0" w:afterAutospacing="0"/>
              <w:jc w:val="center"/>
            </w:pPr>
            <w:r w:rsidRPr="0066109C">
              <w:t>2,17,089</w:t>
            </w:r>
          </w:p>
        </w:tc>
        <w:tc>
          <w:tcPr>
            <w:tcW w:w="1550" w:type="dxa"/>
            <w:vAlign w:val="center"/>
          </w:tcPr>
          <w:p w:rsidR="006E4698" w:rsidRPr="0066109C" w:rsidRDefault="006E4698" w:rsidP="00BF6907">
            <w:pPr>
              <w:pStyle w:val="NormalWeb"/>
              <w:spacing w:before="0" w:beforeAutospacing="0" w:after="0" w:afterAutospacing="0"/>
              <w:jc w:val="center"/>
            </w:pPr>
            <w:r w:rsidRPr="0066109C">
              <w:t>2,70,435</w:t>
            </w:r>
          </w:p>
        </w:tc>
        <w:tc>
          <w:tcPr>
            <w:tcW w:w="1550" w:type="dxa"/>
            <w:vAlign w:val="center"/>
          </w:tcPr>
          <w:p w:rsidR="006E4698" w:rsidRPr="0066109C" w:rsidRDefault="006E4698" w:rsidP="00BF6907">
            <w:pPr>
              <w:pStyle w:val="NormalWeb"/>
              <w:spacing w:before="0" w:beforeAutospacing="0" w:after="0" w:afterAutospacing="0"/>
              <w:jc w:val="center"/>
            </w:pPr>
            <w:r w:rsidRPr="0066109C">
              <w:t>2,75,715</w:t>
            </w:r>
          </w:p>
        </w:tc>
        <w:tc>
          <w:tcPr>
            <w:tcW w:w="1550" w:type="dxa"/>
            <w:vAlign w:val="center"/>
          </w:tcPr>
          <w:p w:rsidR="006E4698" w:rsidRPr="0066109C" w:rsidRDefault="006E4698" w:rsidP="00BF6907">
            <w:pPr>
              <w:pStyle w:val="NormalWeb"/>
              <w:spacing w:before="0" w:beforeAutospacing="0" w:after="0" w:afterAutospacing="0"/>
              <w:jc w:val="center"/>
            </w:pPr>
            <w:r w:rsidRPr="0066109C">
              <w:t>2,78,000</w:t>
            </w:r>
          </w:p>
        </w:tc>
        <w:tc>
          <w:tcPr>
            <w:tcW w:w="1520" w:type="dxa"/>
            <w:vAlign w:val="center"/>
          </w:tcPr>
          <w:p w:rsidR="006E4698" w:rsidRPr="0066109C" w:rsidRDefault="00100E9F" w:rsidP="00BF6907">
            <w:pPr>
              <w:pStyle w:val="NormalWeb"/>
              <w:spacing w:before="0" w:beforeAutospacing="0" w:after="0" w:afterAutospacing="0"/>
              <w:jc w:val="center"/>
            </w:pPr>
            <w:r w:rsidRPr="0066109C">
              <w:t>0.8</w:t>
            </w:r>
          </w:p>
        </w:tc>
      </w:tr>
      <w:tr w:rsidR="0066109C" w:rsidRPr="0066109C" w:rsidTr="00FA58B5">
        <w:tc>
          <w:tcPr>
            <w:tcW w:w="1856" w:type="dxa"/>
          </w:tcPr>
          <w:p w:rsidR="006E4698" w:rsidRPr="0066109C" w:rsidRDefault="006E4698" w:rsidP="00BF6907">
            <w:pPr>
              <w:pStyle w:val="NormalWeb"/>
              <w:spacing w:before="0" w:beforeAutospacing="0" w:after="0" w:afterAutospacing="0"/>
            </w:pPr>
            <w:r w:rsidRPr="0066109C">
              <w:t xml:space="preserve">Railways </w:t>
            </w:r>
          </w:p>
        </w:tc>
        <w:tc>
          <w:tcPr>
            <w:tcW w:w="1550" w:type="dxa"/>
            <w:vAlign w:val="center"/>
          </w:tcPr>
          <w:p w:rsidR="006E4698" w:rsidRPr="0066109C" w:rsidRDefault="006E4698" w:rsidP="00BF6907">
            <w:pPr>
              <w:pStyle w:val="NormalWeb"/>
              <w:spacing w:before="0" w:beforeAutospacing="0" w:after="0" w:afterAutospacing="0"/>
              <w:jc w:val="center"/>
            </w:pPr>
            <w:r w:rsidRPr="0066109C">
              <w:t>1,62,410</w:t>
            </w:r>
          </w:p>
        </w:tc>
        <w:tc>
          <w:tcPr>
            <w:tcW w:w="1550" w:type="dxa"/>
            <w:vAlign w:val="center"/>
          </w:tcPr>
          <w:p w:rsidR="006E4698" w:rsidRPr="0066109C" w:rsidRDefault="006E4698" w:rsidP="00BF6907">
            <w:pPr>
              <w:pStyle w:val="NormalWeb"/>
              <w:spacing w:before="0" w:beforeAutospacing="0" w:after="0" w:afterAutospacing="0"/>
              <w:jc w:val="center"/>
            </w:pPr>
            <w:r w:rsidRPr="0066109C">
              <w:t>2,41,268</w:t>
            </w:r>
          </w:p>
        </w:tc>
        <w:tc>
          <w:tcPr>
            <w:tcW w:w="1550" w:type="dxa"/>
            <w:vAlign w:val="center"/>
          </w:tcPr>
          <w:p w:rsidR="006E4698" w:rsidRPr="0066109C" w:rsidRDefault="006E4698" w:rsidP="00BF6907">
            <w:pPr>
              <w:pStyle w:val="NormalWeb"/>
              <w:spacing w:before="0" w:beforeAutospacing="0" w:after="0" w:afterAutospacing="0"/>
              <w:jc w:val="center"/>
            </w:pPr>
            <w:r w:rsidRPr="0066109C">
              <w:t>2,45,794</w:t>
            </w:r>
          </w:p>
        </w:tc>
        <w:tc>
          <w:tcPr>
            <w:tcW w:w="1550" w:type="dxa"/>
            <w:vAlign w:val="center"/>
          </w:tcPr>
          <w:p w:rsidR="006E4698" w:rsidRPr="0066109C" w:rsidRDefault="006E4698" w:rsidP="00BF6907">
            <w:pPr>
              <w:pStyle w:val="NormalWeb"/>
              <w:spacing w:before="0" w:beforeAutospacing="0" w:after="0" w:afterAutospacing="0"/>
              <w:jc w:val="center"/>
            </w:pPr>
            <w:r w:rsidRPr="0066109C">
              <w:t>2,55,393</w:t>
            </w:r>
          </w:p>
        </w:tc>
        <w:tc>
          <w:tcPr>
            <w:tcW w:w="1520" w:type="dxa"/>
            <w:vAlign w:val="center"/>
          </w:tcPr>
          <w:p w:rsidR="006E4698" w:rsidRPr="0066109C" w:rsidRDefault="00100E9F" w:rsidP="00BF6907">
            <w:pPr>
              <w:pStyle w:val="NormalWeb"/>
              <w:spacing w:before="0" w:beforeAutospacing="0" w:after="0" w:afterAutospacing="0"/>
              <w:jc w:val="center"/>
            </w:pPr>
            <w:r w:rsidRPr="0066109C">
              <w:t>3.9</w:t>
            </w:r>
          </w:p>
        </w:tc>
      </w:tr>
      <w:tr w:rsidR="0066109C" w:rsidRPr="0066109C" w:rsidTr="00FA58B5">
        <w:tc>
          <w:tcPr>
            <w:tcW w:w="1856" w:type="dxa"/>
          </w:tcPr>
          <w:p w:rsidR="006E4698" w:rsidRPr="0066109C" w:rsidRDefault="006E4698" w:rsidP="00BF6907">
            <w:pPr>
              <w:pStyle w:val="NormalWeb"/>
              <w:spacing w:before="0" w:beforeAutospacing="0" w:after="0" w:afterAutospacing="0"/>
            </w:pPr>
            <w:r w:rsidRPr="0066109C">
              <w:t xml:space="preserve">Consumer Affairs, Food and Public Distribution </w:t>
            </w:r>
          </w:p>
        </w:tc>
        <w:tc>
          <w:tcPr>
            <w:tcW w:w="1550" w:type="dxa"/>
            <w:vAlign w:val="center"/>
          </w:tcPr>
          <w:p w:rsidR="006E4698" w:rsidRPr="0066109C" w:rsidRDefault="006E4698" w:rsidP="00BF6907">
            <w:pPr>
              <w:pStyle w:val="NormalWeb"/>
              <w:spacing w:before="0" w:beforeAutospacing="0" w:after="0" w:afterAutospacing="0"/>
              <w:jc w:val="center"/>
            </w:pPr>
            <w:r w:rsidRPr="0066109C">
              <w:t>2,83,954</w:t>
            </w:r>
          </w:p>
        </w:tc>
        <w:tc>
          <w:tcPr>
            <w:tcW w:w="1550" w:type="dxa"/>
            <w:vAlign w:val="center"/>
          </w:tcPr>
          <w:p w:rsidR="006E4698" w:rsidRPr="0066109C" w:rsidRDefault="006E4698" w:rsidP="00BF6907">
            <w:pPr>
              <w:pStyle w:val="NormalWeb"/>
              <w:spacing w:before="0" w:beforeAutospacing="0" w:after="0" w:afterAutospacing="0"/>
              <w:jc w:val="center"/>
            </w:pPr>
            <w:r w:rsidRPr="0066109C">
              <w:t>2,05,765</w:t>
            </w:r>
          </w:p>
        </w:tc>
        <w:tc>
          <w:tcPr>
            <w:tcW w:w="1550" w:type="dxa"/>
            <w:vAlign w:val="center"/>
          </w:tcPr>
          <w:p w:rsidR="006E4698" w:rsidRPr="0066109C" w:rsidRDefault="006E4698" w:rsidP="00BF6907">
            <w:pPr>
              <w:pStyle w:val="NormalWeb"/>
              <w:spacing w:before="0" w:beforeAutospacing="0" w:after="0" w:afterAutospacing="0"/>
              <w:jc w:val="center"/>
            </w:pPr>
            <w:r w:rsidRPr="0066109C">
              <w:t>2,32,498</w:t>
            </w:r>
          </w:p>
        </w:tc>
        <w:tc>
          <w:tcPr>
            <w:tcW w:w="1550" w:type="dxa"/>
            <w:vAlign w:val="center"/>
          </w:tcPr>
          <w:p w:rsidR="006E4698" w:rsidRPr="0066109C" w:rsidRDefault="006E4698" w:rsidP="00BF6907">
            <w:pPr>
              <w:pStyle w:val="NormalWeb"/>
              <w:spacing w:before="0" w:beforeAutospacing="0" w:after="0" w:afterAutospacing="0"/>
              <w:jc w:val="center"/>
            </w:pPr>
            <w:r w:rsidRPr="0066109C">
              <w:t>2,23,323</w:t>
            </w:r>
          </w:p>
        </w:tc>
        <w:tc>
          <w:tcPr>
            <w:tcW w:w="1520" w:type="dxa"/>
            <w:vAlign w:val="center"/>
          </w:tcPr>
          <w:p w:rsidR="006E4698" w:rsidRPr="0066109C" w:rsidRDefault="00100E9F" w:rsidP="00BF6907">
            <w:pPr>
              <w:pStyle w:val="NormalWeb"/>
              <w:spacing w:before="0" w:beforeAutospacing="0" w:after="0" w:afterAutospacing="0"/>
              <w:jc w:val="center"/>
            </w:pPr>
            <w:r w:rsidRPr="0066109C">
              <w:t>-3.9</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Home Affairs </w:t>
            </w:r>
          </w:p>
        </w:tc>
        <w:tc>
          <w:tcPr>
            <w:tcW w:w="1550" w:type="dxa"/>
            <w:vAlign w:val="center"/>
          </w:tcPr>
          <w:p w:rsidR="00100E9F" w:rsidRPr="0066109C" w:rsidRDefault="00100E9F" w:rsidP="00BF6907">
            <w:pPr>
              <w:pStyle w:val="NormalWeb"/>
              <w:spacing w:before="0" w:beforeAutospacing="0" w:after="0" w:afterAutospacing="0"/>
              <w:jc w:val="center"/>
            </w:pPr>
            <w:r w:rsidRPr="0066109C">
              <w:t>1,86,839</w:t>
            </w:r>
          </w:p>
        </w:tc>
        <w:tc>
          <w:tcPr>
            <w:tcW w:w="1550" w:type="dxa"/>
            <w:vAlign w:val="center"/>
          </w:tcPr>
          <w:p w:rsidR="00100E9F" w:rsidRPr="0066109C" w:rsidRDefault="00100E9F" w:rsidP="00BF6907">
            <w:pPr>
              <w:pStyle w:val="NormalWeb"/>
              <w:spacing w:before="0" w:beforeAutospacing="0" w:after="0" w:afterAutospacing="0"/>
              <w:jc w:val="center"/>
            </w:pPr>
            <w:r w:rsidRPr="0066109C">
              <w:t>1,96,035</w:t>
            </w:r>
          </w:p>
        </w:tc>
        <w:tc>
          <w:tcPr>
            <w:tcW w:w="1550" w:type="dxa"/>
            <w:vAlign w:val="center"/>
          </w:tcPr>
          <w:p w:rsidR="00100E9F" w:rsidRPr="0066109C" w:rsidRDefault="00100E9F" w:rsidP="00BF6907">
            <w:pPr>
              <w:pStyle w:val="NormalWeb"/>
              <w:spacing w:before="0" w:beforeAutospacing="0" w:after="0" w:afterAutospacing="0"/>
              <w:jc w:val="center"/>
            </w:pPr>
            <w:r w:rsidRPr="0066109C">
              <w:t>1,96,886</w:t>
            </w:r>
          </w:p>
        </w:tc>
        <w:tc>
          <w:tcPr>
            <w:tcW w:w="1550" w:type="dxa"/>
            <w:vAlign w:val="center"/>
          </w:tcPr>
          <w:p w:rsidR="00100E9F" w:rsidRPr="0066109C" w:rsidRDefault="00100E9F" w:rsidP="00BF6907">
            <w:pPr>
              <w:pStyle w:val="NormalWeb"/>
              <w:spacing w:before="0" w:beforeAutospacing="0" w:after="0" w:afterAutospacing="0"/>
              <w:jc w:val="center"/>
            </w:pPr>
            <w:r w:rsidRPr="0066109C">
              <w:t>2,19,643</w:t>
            </w:r>
          </w:p>
        </w:tc>
        <w:tc>
          <w:tcPr>
            <w:tcW w:w="1520" w:type="dxa"/>
            <w:vAlign w:val="center"/>
          </w:tcPr>
          <w:p w:rsidR="00100E9F" w:rsidRPr="0066109C" w:rsidRDefault="00100E9F" w:rsidP="00BF6907">
            <w:pPr>
              <w:pStyle w:val="NormalWeb"/>
              <w:spacing w:before="0" w:beforeAutospacing="0" w:after="0" w:afterAutospacing="0"/>
              <w:jc w:val="center"/>
            </w:pPr>
            <w:r w:rsidRPr="0066109C">
              <w:t>11.6</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Rural Development </w:t>
            </w:r>
          </w:p>
        </w:tc>
        <w:tc>
          <w:tcPr>
            <w:tcW w:w="1550" w:type="dxa"/>
            <w:vAlign w:val="center"/>
          </w:tcPr>
          <w:p w:rsidR="00100E9F" w:rsidRPr="0066109C" w:rsidRDefault="00100E9F" w:rsidP="00BF6907">
            <w:pPr>
              <w:pStyle w:val="NormalWeb"/>
              <w:spacing w:before="0" w:beforeAutospacing="0" w:after="0" w:afterAutospacing="0"/>
              <w:jc w:val="center"/>
            </w:pPr>
            <w:r w:rsidRPr="0066109C">
              <w:t>1,77,840</w:t>
            </w:r>
          </w:p>
        </w:tc>
        <w:tc>
          <w:tcPr>
            <w:tcW w:w="1550" w:type="dxa"/>
            <w:vAlign w:val="center"/>
          </w:tcPr>
          <w:p w:rsidR="00100E9F" w:rsidRPr="0066109C" w:rsidRDefault="00100E9F" w:rsidP="00BF6907">
            <w:pPr>
              <w:pStyle w:val="NormalWeb"/>
              <w:spacing w:before="0" w:beforeAutospacing="0" w:after="0" w:afterAutospacing="0"/>
              <w:jc w:val="center"/>
            </w:pPr>
            <w:r w:rsidRPr="0066109C">
              <w:t>1,59,964</w:t>
            </w:r>
          </w:p>
        </w:tc>
        <w:tc>
          <w:tcPr>
            <w:tcW w:w="1550" w:type="dxa"/>
            <w:vAlign w:val="center"/>
          </w:tcPr>
          <w:p w:rsidR="00100E9F" w:rsidRPr="0066109C" w:rsidRDefault="00100E9F" w:rsidP="00BF6907">
            <w:pPr>
              <w:pStyle w:val="NormalWeb"/>
              <w:spacing w:before="0" w:beforeAutospacing="0" w:after="0" w:afterAutospacing="0"/>
              <w:jc w:val="center"/>
            </w:pPr>
            <w:r w:rsidRPr="0066109C">
              <w:t>1,63,643</w:t>
            </w:r>
          </w:p>
        </w:tc>
        <w:tc>
          <w:tcPr>
            <w:tcW w:w="1550" w:type="dxa"/>
            <w:vAlign w:val="center"/>
          </w:tcPr>
          <w:p w:rsidR="00100E9F" w:rsidRPr="0066109C" w:rsidRDefault="00100E9F" w:rsidP="00BF6907">
            <w:pPr>
              <w:pStyle w:val="NormalWeb"/>
              <w:spacing w:before="0" w:beforeAutospacing="0" w:after="0" w:afterAutospacing="0"/>
              <w:jc w:val="center"/>
            </w:pPr>
            <w:r w:rsidRPr="0066109C">
              <w:t>1,80,233</w:t>
            </w:r>
          </w:p>
        </w:tc>
        <w:tc>
          <w:tcPr>
            <w:tcW w:w="1520" w:type="dxa"/>
            <w:vAlign w:val="center"/>
          </w:tcPr>
          <w:p w:rsidR="00100E9F" w:rsidRPr="0066109C" w:rsidRDefault="00100E9F" w:rsidP="00BF6907">
            <w:pPr>
              <w:pStyle w:val="NormalWeb"/>
              <w:spacing w:before="0" w:beforeAutospacing="0" w:after="0" w:afterAutospacing="0"/>
              <w:jc w:val="center"/>
            </w:pPr>
            <w:r w:rsidRPr="0066109C">
              <w:t>010.1</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Chemicals and </w:t>
            </w:r>
            <w:proofErr w:type="spellStart"/>
            <w:r w:rsidRPr="0066109C">
              <w:t>Fertilisers</w:t>
            </w:r>
            <w:proofErr w:type="spellEnd"/>
            <w:r w:rsidRPr="0066109C">
              <w:t xml:space="preserve"> </w:t>
            </w:r>
          </w:p>
        </w:tc>
        <w:tc>
          <w:tcPr>
            <w:tcW w:w="1550" w:type="dxa"/>
            <w:vAlign w:val="center"/>
          </w:tcPr>
          <w:p w:rsidR="00100E9F" w:rsidRPr="0066109C" w:rsidRDefault="00100E9F" w:rsidP="00BF6907">
            <w:pPr>
              <w:pStyle w:val="NormalWeb"/>
              <w:spacing w:before="0" w:beforeAutospacing="0" w:after="0" w:afterAutospacing="0"/>
              <w:jc w:val="center"/>
            </w:pPr>
            <w:r w:rsidRPr="0066109C">
              <w:t>2,53,563</w:t>
            </w:r>
          </w:p>
        </w:tc>
        <w:tc>
          <w:tcPr>
            <w:tcW w:w="1550" w:type="dxa"/>
            <w:vAlign w:val="center"/>
          </w:tcPr>
          <w:p w:rsidR="00100E9F" w:rsidRPr="0066109C" w:rsidRDefault="00100E9F" w:rsidP="00BF6907">
            <w:pPr>
              <w:pStyle w:val="NormalWeb"/>
              <w:spacing w:before="0" w:beforeAutospacing="0" w:after="0" w:afterAutospacing="0"/>
              <w:jc w:val="center"/>
            </w:pPr>
            <w:r w:rsidRPr="0066109C">
              <w:t>1,78,482</w:t>
            </w:r>
          </w:p>
        </w:tc>
        <w:tc>
          <w:tcPr>
            <w:tcW w:w="1550" w:type="dxa"/>
            <w:vAlign w:val="center"/>
          </w:tcPr>
          <w:p w:rsidR="00100E9F" w:rsidRPr="0066109C" w:rsidRDefault="00100E9F" w:rsidP="00BF6907">
            <w:pPr>
              <w:pStyle w:val="NormalWeb"/>
              <w:spacing w:before="0" w:beforeAutospacing="0" w:after="0" w:afterAutospacing="0"/>
              <w:jc w:val="center"/>
            </w:pPr>
            <w:r w:rsidRPr="0066109C">
              <w:t>1,91,165</w:t>
            </w:r>
          </w:p>
        </w:tc>
        <w:tc>
          <w:tcPr>
            <w:tcW w:w="1550" w:type="dxa"/>
            <w:vAlign w:val="center"/>
          </w:tcPr>
          <w:p w:rsidR="00100E9F" w:rsidRPr="0066109C" w:rsidRDefault="00100E9F" w:rsidP="00BF6907">
            <w:pPr>
              <w:pStyle w:val="NormalWeb"/>
              <w:spacing w:before="0" w:beforeAutospacing="0" w:after="0" w:afterAutospacing="0"/>
              <w:jc w:val="center"/>
            </w:pPr>
            <w:r w:rsidRPr="0066109C">
              <w:t>1,68,500</w:t>
            </w:r>
          </w:p>
        </w:tc>
        <w:tc>
          <w:tcPr>
            <w:tcW w:w="1520" w:type="dxa"/>
            <w:vAlign w:val="center"/>
          </w:tcPr>
          <w:p w:rsidR="00100E9F" w:rsidRPr="0066109C" w:rsidRDefault="00100E9F" w:rsidP="00BF6907">
            <w:pPr>
              <w:pStyle w:val="NormalWeb"/>
              <w:spacing w:before="0" w:beforeAutospacing="0" w:after="0" w:afterAutospacing="0"/>
              <w:jc w:val="center"/>
            </w:pPr>
            <w:r w:rsidRPr="0066109C">
              <w:t>-11.9</w:t>
            </w:r>
          </w:p>
        </w:tc>
      </w:tr>
      <w:tr w:rsidR="0066109C" w:rsidRPr="0066109C" w:rsidTr="00FA58B5">
        <w:tc>
          <w:tcPr>
            <w:tcW w:w="1856" w:type="dxa"/>
          </w:tcPr>
          <w:p w:rsidR="00100E9F" w:rsidRPr="0066109C" w:rsidRDefault="00100E9F" w:rsidP="00BF6907">
            <w:pPr>
              <w:pStyle w:val="NormalWeb"/>
              <w:spacing w:before="0" w:beforeAutospacing="0" w:after="0" w:afterAutospacing="0"/>
              <w:jc w:val="center"/>
            </w:pPr>
            <w:r w:rsidRPr="0066109C">
              <w:t xml:space="preserve">Communications </w:t>
            </w:r>
          </w:p>
        </w:tc>
        <w:tc>
          <w:tcPr>
            <w:tcW w:w="1550" w:type="dxa"/>
            <w:vAlign w:val="center"/>
          </w:tcPr>
          <w:p w:rsidR="00100E9F" w:rsidRPr="0066109C" w:rsidRDefault="00100E9F" w:rsidP="00BF6907">
            <w:pPr>
              <w:pStyle w:val="NormalWeb"/>
              <w:spacing w:before="0" w:beforeAutospacing="0" w:after="0" w:afterAutospacing="0"/>
              <w:jc w:val="center"/>
            </w:pPr>
            <w:r w:rsidRPr="0066109C">
              <w:t>1,40,976</w:t>
            </w:r>
          </w:p>
        </w:tc>
        <w:tc>
          <w:tcPr>
            <w:tcW w:w="1550" w:type="dxa"/>
            <w:vAlign w:val="center"/>
          </w:tcPr>
          <w:p w:rsidR="00100E9F" w:rsidRPr="0066109C" w:rsidRDefault="00100E9F" w:rsidP="00BF6907">
            <w:pPr>
              <w:pStyle w:val="NormalWeb"/>
              <w:spacing w:before="0" w:beforeAutospacing="0" w:after="0" w:afterAutospacing="0"/>
              <w:jc w:val="center"/>
            </w:pPr>
            <w:r w:rsidRPr="0066109C">
              <w:t>1,23,393</w:t>
            </w:r>
          </w:p>
        </w:tc>
        <w:tc>
          <w:tcPr>
            <w:tcW w:w="1550" w:type="dxa"/>
            <w:vAlign w:val="center"/>
          </w:tcPr>
          <w:p w:rsidR="00100E9F" w:rsidRPr="0066109C" w:rsidRDefault="00100E9F" w:rsidP="00BF6907">
            <w:pPr>
              <w:pStyle w:val="NormalWeb"/>
              <w:spacing w:before="0" w:beforeAutospacing="0" w:after="0" w:afterAutospacing="0"/>
              <w:jc w:val="center"/>
            </w:pPr>
            <w:r w:rsidRPr="0066109C">
              <w:t>1,11,327</w:t>
            </w:r>
          </w:p>
        </w:tc>
        <w:tc>
          <w:tcPr>
            <w:tcW w:w="1550" w:type="dxa"/>
            <w:vAlign w:val="center"/>
          </w:tcPr>
          <w:p w:rsidR="00100E9F" w:rsidRPr="0066109C" w:rsidRDefault="00100E9F" w:rsidP="00BF6907">
            <w:pPr>
              <w:pStyle w:val="NormalWeb"/>
              <w:spacing w:before="0" w:beforeAutospacing="0" w:after="0" w:afterAutospacing="0"/>
              <w:jc w:val="center"/>
            </w:pPr>
            <w:r w:rsidRPr="0066109C">
              <w:t>1,37,294</w:t>
            </w:r>
          </w:p>
        </w:tc>
        <w:tc>
          <w:tcPr>
            <w:tcW w:w="1520" w:type="dxa"/>
            <w:vAlign w:val="center"/>
          </w:tcPr>
          <w:p w:rsidR="00100E9F" w:rsidRPr="0066109C" w:rsidRDefault="00100E9F" w:rsidP="00BF6907">
            <w:pPr>
              <w:pStyle w:val="NormalWeb"/>
              <w:spacing w:before="0" w:beforeAutospacing="0" w:after="0" w:afterAutospacing="0"/>
              <w:jc w:val="center"/>
            </w:pPr>
            <w:r w:rsidRPr="0066109C">
              <w:t>23.3</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Agriculture and Farmers' Welfare </w:t>
            </w:r>
          </w:p>
        </w:tc>
        <w:tc>
          <w:tcPr>
            <w:tcW w:w="1550" w:type="dxa"/>
            <w:vAlign w:val="center"/>
          </w:tcPr>
          <w:p w:rsidR="00100E9F" w:rsidRPr="0066109C" w:rsidRDefault="00100E9F" w:rsidP="00BF6907">
            <w:pPr>
              <w:pStyle w:val="NormalWeb"/>
              <w:spacing w:before="0" w:beforeAutospacing="0" w:after="0" w:afterAutospacing="0"/>
              <w:jc w:val="center"/>
            </w:pPr>
            <w:r w:rsidRPr="0066109C">
              <w:t>1,08,277</w:t>
            </w:r>
          </w:p>
        </w:tc>
        <w:tc>
          <w:tcPr>
            <w:tcW w:w="1550" w:type="dxa"/>
            <w:vAlign w:val="center"/>
          </w:tcPr>
          <w:p w:rsidR="00100E9F" w:rsidRPr="0066109C" w:rsidRDefault="00100E9F" w:rsidP="00BF6907">
            <w:pPr>
              <w:pStyle w:val="NormalWeb"/>
              <w:spacing w:before="0" w:beforeAutospacing="0" w:after="0" w:afterAutospacing="0"/>
              <w:jc w:val="center"/>
            </w:pPr>
            <w:r w:rsidRPr="0066109C">
              <w:t>1,25,036</w:t>
            </w:r>
          </w:p>
        </w:tc>
        <w:tc>
          <w:tcPr>
            <w:tcW w:w="1550" w:type="dxa"/>
            <w:vAlign w:val="center"/>
          </w:tcPr>
          <w:p w:rsidR="00100E9F" w:rsidRPr="0066109C" w:rsidRDefault="00100E9F" w:rsidP="00BF6907">
            <w:pPr>
              <w:pStyle w:val="NormalWeb"/>
              <w:spacing w:before="0" w:beforeAutospacing="0" w:after="0" w:afterAutospacing="0"/>
              <w:jc w:val="center"/>
            </w:pPr>
            <w:r w:rsidRPr="0066109C">
              <w:t>1,18,147</w:t>
            </w:r>
          </w:p>
        </w:tc>
        <w:tc>
          <w:tcPr>
            <w:tcW w:w="1550" w:type="dxa"/>
            <w:vAlign w:val="center"/>
          </w:tcPr>
          <w:p w:rsidR="00100E9F" w:rsidRPr="0066109C" w:rsidRDefault="00100E9F" w:rsidP="00BF6907">
            <w:pPr>
              <w:pStyle w:val="NormalWeb"/>
              <w:spacing w:before="0" w:beforeAutospacing="0" w:after="0" w:afterAutospacing="0"/>
              <w:jc w:val="center"/>
            </w:pPr>
            <w:r w:rsidRPr="0066109C">
              <w:t>1,32,470</w:t>
            </w:r>
          </w:p>
        </w:tc>
        <w:tc>
          <w:tcPr>
            <w:tcW w:w="1520" w:type="dxa"/>
            <w:vAlign w:val="center"/>
          </w:tcPr>
          <w:p w:rsidR="00100E9F" w:rsidRPr="0066109C" w:rsidRDefault="00100E9F" w:rsidP="00BF6907">
            <w:pPr>
              <w:pStyle w:val="NormalWeb"/>
              <w:spacing w:before="0" w:beforeAutospacing="0" w:after="0" w:afterAutospacing="0"/>
              <w:jc w:val="center"/>
            </w:pPr>
            <w:r w:rsidRPr="0066109C">
              <w:t>12.1</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Education </w:t>
            </w:r>
          </w:p>
        </w:tc>
        <w:tc>
          <w:tcPr>
            <w:tcW w:w="1550" w:type="dxa"/>
            <w:vAlign w:val="center"/>
          </w:tcPr>
          <w:p w:rsidR="00100E9F" w:rsidRPr="0066109C" w:rsidRDefault="00100E9F" w:rsidP="00BF6907">
            <w:pPr>
              <w:pStyle w:val="NormalWeb"/>
              <w:spacing w:before="0" w:beforeAutospacing="0" w:after="0" w:afterAutospacing="0"/>
              <w:jc w:val="center"/>
            </w:pPr>
            <w:r w:rsidRPr="0066109C">
              <w:t>97,196</w:t>
            </w:r>
          </w:p>
        </w:tc>
        <w:tc>
          <w:tcPr>
            <w:tcW w:w="1550" w:type="dxa"/>
            <w:vAlign w:val="center"/>
          </w:tcPr>
          <w:p w:rsidR="00100E9F" w:rsidRPr="0066109C" w:rsidRDefault="00100E9F" w:rsidP="00BF6907">
            <w:pPr>
              <w:pStyle w:val="NormalWeb"/>
              <w:spacing w:before="0" w:beforeAutospacing="0" w:after="0" w:afterAutospacing="0"/>
              <w:jc w:val="center"/>
            </w:pPr>
            <w:r w:rsidRPr="0066109C">
              <w:t>1,12,899</w:t>
            </w:r>
          </w:p>
        </w:tc>
        <w:tc>
          <w:tcPr>
            <w:tcW w:w="1550" w:type="dxa"/>
            <w:vAlign w:val="center"/>
          </w:tcPr>
          <w:p w:rsidR="00100E9F" w:rsidRPr="0066109C" w:rsidRDefault="00100E9F" w:rsidP="00BF6907">
            <w:pPr>
              <w:pStyle w:val="NormalWeb"/>
              <w:spacing w:before="0" w:beforeAutospacing="0" w:after="0" w:afterAutospacing="0"/>
              <w:jc w:val="center"/>
            </w:pPr>
            <w:r w:rsidRPr="0066109C">
              <w:t>1,23,364</w:t>
            </w:r>
          </w:p>
        </w:tc>
        <w:tc>
          <w:tcPr>
            <w:tcW w:w="1550" w:type="dxa"/>
            <w:vAlign w:val="center"/>
          </w:tcPr>
          <w:p w:rsidR="00100E9F" w:rsidRPr="0066109C" w:rsidRDefault="00100E9F" w:rsidP="00BF6907">
            <w:pPr>
              <w:pStyle w:val="NormalWeb"/>
              <w:spacing w:before="0" w:beforeAutospacing="0" w:after="0" w:afterAutospacing="0"/>
              <w:jc w:val="center"/>
            </w:pPr>
            <w:r w:rsidRPr="0066109C">
              <w:t>1,20,628</w:t>
            </w:r>
          </w:p>
        </w:tc>
        <w:tc>
          <w:tcPr>
            <w:tcW w:w="1520" w:type="dxa"/>
            <w:vAlign w:val="center"/>
          </w:tcPr>
          <w:p w:rsidR="00100E9F" w:rsidRPr="0066109C" w:rsidRDefault="00100E9F" w:rsidP="00BF6907">
            <w:pPr>
              <w:pStyle w:val="NormalWeb"/>
              <w:spacing w:before="0" w:beforeAutospacing="0" w:after="0" w:afterAutospacing="0"/>
              <w:jc w:val="center"/>
            </w:pPr>
            <w:r w:rsidRPr="0066109C">
              <w:t>-2.2</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Jal Shakti </w:t>
            </w:r>
          </w:p>
        </w:tc>
        <w:tc>
          <w:tcPr>
            <w:tcW w:w="1550" w:type="dxa"/>
            <w:vAlign w:val="center"/>
          </w:tcPr>
          <w:p w:rsidR="00100E9F" w:rsidRPr="0066109C" w:rsidRDefault="00100E9F" w:rsidP="00BF6907">
            <w:pPr>
              <w:pStyle w:val="NormalWeb"/>
              <w:spacing w:before="0" w:beforeAutospacing="0" w:after="0" w:afterAutospacing="0"/>
              <w:jc w:val="center"/>
            </w:pPr>
            <w:r w:rsidRPr="0066109C">
              <w:t>71,618</w:t>
            </w:r>
          </w:p>
        </w:tc>
        <w:tc>
          <w:tcPr>
            <w:tcW w:w="1550" w:type="dxa"/>
            <w:vAlign w:val="center"/>
          </w:tcPr>
          <w:p w:rsidR="00100E9F" w:rsidRPr="0066109C" w:rsidRDefault="00100E9F" w:rsidP="00BF6907">
            <w:pPr>
              <w:pStyle w:val="NormalWeb"/>
              <w:spacing w:before="0" w:beforeAutospacing="0" w:after="0" w:afterAutospacing="0"/>
              <w:jc w:val="center"/>
            </w:pPr>
            <w:r w:rsidRPr="0066109C">
              <w:t>97,278</w:t>
            </w:r>
          </w:p>
        </w:tc>
        <w:tc>
          <w:tcPr>
            <w:tcW w:w="1550" w:type="dxa"/>
            <w:vAlign w:val="center"/>
          </w:tcPr>
          <w:p w:rsidR="00100E9F" w:rsidRPr="0066109C" w:rsidRDefault="00100E9F" w:rsidP="00BF6907">
            <w:pPr>
              <w:pStyle w:val="NormalWeb"/>
              <w:spacing w:before="0" w:beforeAutospacing="0" w:after="0" w:afterAutospacing="0"/>
              <w:jc w:val="center"/>
            </w:pPr>
            <w:r w:rsidRPr="0066109C">
              <w:t>95,365</w:t>
            </w:r>
          </w:p>
        </w:tc>
        <w:tc>
          <w:tcPr>
            <w:tcW w:w="1550" w:type="dxa"/>
            <w:vAlign w:val="center"/>
          </w:tcPr>
          <w:p w:rsidR="00100E9F" w:rsidRPr="0066109C" w:rsidRDefault="00100E9F" w:rsidP="00BF6907">
            <w:pPr>
              <w:pStyle w:val="NormalWeb"/>
              <w:spacing w:before="0" w:beforeAutospacing="0" w:after="0" w:afterAutospacing="0"/>
              <w:jc w:val="center"/>
            </w:pPr>
            <w:r w:rsidRPr="0066109C">
              <w:t>98,714</w:t>
            </w:r>
          </w:p>
        </w:tc>
        <w:tc>
          <w:tcPr>
            <w:tcW w:w="1520" w:type="dxa"/>
            <w:vAlign w:val="center"/>
          </w:tcPr>
          <w:p w:rsidR="00100E9F" w:rsidRPr="0066109C" w:rsidRDefault="00100E9F" w:rsidP="00BF6907">
            <w:pPr>
              <w:pStyle w:val="NormalWeb"/>
              <w:spacing w:before="0" w:beforeAutospacing="0" w:after="0" w:afterAutospacing="0"/>
              <w:jc w:val="center"/>
            </w:pPr>
            <w:r w:rsidRPr="0066109C">
              <w:t>3.5</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Health and Family Welfare </w:t>
            </w:r>
          </w:p>
        </w:tc>
        <w:tc>
          <w:tcPr>
            <w:tcW w:w="1550" w:type="dxa"/>
            <w:vAlign w:val="center"/>
          </w:tcPr>
          <w:p w:rsidR="00100E9F" w:rsidRPr="0066109C" w:rsidRDefault="00100E9F" w:rsidP="00BF6907">
            <w:pPr>
              <w:pStyle w:val="NormalWeb"/>
              <w:spacing w:before="0" w:beforeAutospacing="0" w:after="0" w:afterAutospacing="0"/>
              <w:jc w:val="center"/>
            </w:pPr>
            <w:r w:rsidRPr="0066109C">
              <w:t>75,731</w:t>
            </w:r>
          </w:p>
        </w:tc>
        <w:tc>
          <w:tcPr>
            <w:tcW w:w="1550" w:type="dxa"/>
            <w:vAlign w:val="center"/>
          </w:tcPr>
          <w:p w:rsidR="00100E9F" w:rsidRPr="0066109C" w:rsidRDefault="00100E9F" w:rsidP="00BF6907">
            <w:pPr>
              <w:pStyle w:val="NormalWeb"/>
              <w:spacing w:before="0" w:beforeAutospacing="0" w:after="0" w:afterAutospacing="0"/>
              <w:jc w:val="center"/>
            </w:pPr>
            <w:r w:rsidRPr="0066109C">
              <w:t>89,155</w:t>
            </w:r>
          </w:p>
        </w:tc>
        <w:tc>
          <w:tcPr>
            <w:tcW w:w="1550" w:type="dxa"/>
            <w:vAlign w:val="center"/>
          </w:tcPr>
          <w:p w:rsidR="00100E9F" w:rsidRPr="0066109C" w:rsidRDefault="00100E9F" w:rsidP="00BF6907">
            <w:pPr>
              <w:pStyle w:val="NormalWeb"/>
              <w:spacing w:before="0" w:beforeAutospacing="0" w:after="0" w:afterAutospacing="0"/>
              <w:jc w:val="center"/>
            </w:pPr>
            <w:r w:rsidRPr="0066109C">
              <w:t>83,149</w:t>
            </w:r>
          </w:p>
        </w:tc>
        <w:tc>
          <w:tcPr>
            <w:tcW w:w="1550" w:type="dxa"/>
            <w:vAlign w:val="center"/>
          </w:tcPr>
          <w:p w:rsidR="00100E9F" w:rsidRPr="0066109C" w:rsidRDefault="00100E9F" w:rsidP="00BF6907">
            <w:pPr>
              <w:pStyle w:val="NormalWeb"/>
              <w:spacing w:before="0" w:beforeAutospacing="0" w:after="0" w:afterAutospacing="0"/>
              <w:jc w:val="center"/>
            </w:pPr>
            <w:r w:rsidRPr="0066109C">
              <w:t>90,959</w:t>
            </w:r>
          </w:p>
        </w:tc>
        <w:tc>
          <w:tcPr>
            <w:tcW w:w="1520" w:type="dxa"/>
            <w:vAlign w:val="center"/>
          </w:tcPr>
          <w:p w:rsidR="00100E9F" w:rsidRPr="0066109C" w:rsidRDefault="00100E9F" w:rsidP="00BF6907">
            <w:pPr>
              <w:pStyle w:val="NormalWeb"/>
              <w:spacing w:before="0" w:beforeAutospacing="0" w:after="0" w:afterAutospacing="0"/>
              <w:jc w:val="center"/>
            </w:pPr>
            <w:r w:rsidRPr="0066109C">
              <w:t>9.4</w:t>
            </w:r>
          </w:p>
        </w:tc>
      </w:tr>
      <w:tr w:rsidR="0066109C" w:rsidRPr="0066109C" w:rsidTr="00FA58B5">
        <w:tc>
          <w:tcPr>
            <w:tcW w:w="1856" w:type="dxa"/>
          </w:tcPr>
          <w:p w:rsidR="00100E9F" w:rsidRPr="0066109C" w:rsidRDefault="00100E9F" w:rsidP="00DB23D3">
            <w:pPr>
              <w:pStyle w:val="NormalWeb"/>
              <w:spacing w:before="0" w:beforeAutospacing="0" w:after="0" w:afterAutospacing="0"/>
            </w:pPr>
            <w:r w:rsidRPr="0066109C">
              <w:t xml:space="preserve">Housing and Urban Affairs </w:t>
            </w:r>
          </w:p>
        </w:tc>
        <w:tc>
          <w:tcPr>
            <w:tcW w:w="1550" w:type="dxa"/>
            <w:vAlign w:val="center"/>
          </w:tcPr>
          <w:p w:rsidR="00100E9F" w:rsidRPr="0066109C" w:rsidRDefault="00100E9F" w:rsidP="00BF6907">
            <w:pPr>
              <w:pStyle w:val="NormalWeb"/>
              <w:spacing w:before="0" w:beforeAutospacing="0" w:after="0" w:afterAutospacing="0"/>
              <w:jc w:val="center"/>
            </w:pPr>
            <w:r w:rsidRPr="0066109C">
              <w:t>77,310</w:t>
            </w:r>
          </w:p>
        </w:tc>
        <w:tc>
          <w:tcPr>
            <w:tcW w:w="1550" w:type="dxa"/>
            <w:vAlign w:val="center"/>
          </w:tcPr>
          <w:p w:rsidR="00100E9F" w:rsidRPr="0066109C" w:rsidRDefault="00100E9F" w:rsidP="00BF6907">
            <w:pPr>
              <w:pStyle w:val="NormalWeb"/>
              <w:spacing w:before="0" w:beforeAutospacing="0" w:after="0" w:afterAutospacing="0"/>
              <w:jc w:val="center"/>
            </w:pPr>
            <w:r w:rsidRPr="0066109C">
              <w:t>76,432</w:t>
            </w:r>
          </w:p>
        </w:tc>
        <w:tc>
          <w:tcPr>
            <w:tcW w:w="1550" w:type="dxa"/>
            <w:vAlign w:val="center"/>
          </w:tcPr>
          <w:p w:rsidR="00100E9F" w:rsidRPr="0066109C" w:rsidRDefault="00100E9F" w:rsidP="00BF6907">
            <w:pPr>
              <w:pStyle w:val="NormalWeb"/>
              <w:spacing w:before="0" w:beforeAutospacing="0" w:after="0" w:afterAutospacing="0"/>
              <w:jc w:val="center"/>
            </w:pPr>
            <w:r w:rsidRPr="0066109C">
              <w:t>68,565</w:t>
            </w:r>
          </w:p>
        </w:tc>
        <w:tc>
          <w:tcPr>
            <w:tcW w:w="1550" w:type="dxa"/>
            <w:vAlign w:val="center"/>
          </w:tcPr>
          <w:p w:rsidR="00100E9F" w:rsidRPr="0066109C" w:rsidRDefault="00100E9F" w:rsidP="00BF6907">
            <w:pPr>
              <w:pStyle w:val="NormalWeb"/>
              <w:spacing w:before="0" w:beforeAutospacing="0" w:after="0" w:afterAutospacing="0"/>
              <w:jc w:val="center"/>
            </w:pPr>
            <w:r w:rsidRPr="0066109C">
              <w:t>82,577</w:t>
            </w:r>
          </w:p>
        </w:tc>
        <w:tc>
          <w:tcPr>
            <w:tcW w:w="1520" w:type="dxa"/>
            <w:vAlign w:val="center"/>
          </w:tcPr>
          <w:p w:rsidR="00100E9F" w:rsidRPr="0066109C" w:rsidRDefault="00100E9F" w:rsidP="00BF6907">
            <w:pPr>
              <w:pStyle w:val="NormalWeb"/>
              <w:spacing w:before="0" w:beforeAutospacing="0" w:after="0" w:afterAutospacing="0"/>
              <w:jc w:val="center"/>
            </w:pPr>
            <w:r w:rsidRPr="0066109C">
              <w:t>20.4</w:t>
            </w:r>
          </w:p>
        </w:tc>
      </w:tr>
      <w:tr w:rsidR="0066109C" w:rsidRPr="0066109C" w:rsidTr="00FA58B5">
        <w:tc>
          <w:tcPr>
            <w:tcW w:w="1856" w:type="dxa"/>
          </w:tcPr>
          <w:p w:rsidR="00100E9F" w:rsidRPr="0066109C" w:rsidRDefault="00100E9F" w:rsidP="00BF6907">
            <w:pPr>
              <w:pStyle w:val="NormalWeb"/>
              <w:spacing w:before="0" w:beforeAutospacing="0" w:after="0" w:afterAutospacing="0"/>
            </w:pPr>
            <w:r w:rsidRPr="0066109C">
              <w:t xml:space="preserve">Other Ministries </w:t>
            </w:r>
          </w:p>
        </w:tc>
        <w:tc>
          <w:tcPr>
            <w:tcW w:w="1550" w:type="dxa"/>
            <w:vAlign w:val="center"/>
          </w:tcPr>
          <w:p w:rsidR="00100E9F" w:rsidRPr="0066109C" w:rsidRDefault="00100E9F" w:rsidP="00BF6907">
            <w:pPr>
              <w:pStyle w:val="NormalWeb"/>
              <w:spacing w:before="0" w:beforeAutospacing="0" w:after="0" w:afterAutospacing="0"/>
              <w:jc w:val="center"/>
            </w:pPr>
            <w:r w:rsidRPr="0066109C">
              <w:t>17,67,256</w:t>
            </w:r>
          </w:p>
        </w:tc>
        <w:tc>
          <w:tcPr>
            <w:tcW w:w="1550" w:type="dxa"/>
            <w:vAlign w:val="center"/>
          </w:tcPr>
          <w:p w:rsidR="00100E9F" w:rsidRPr="0066109C" w:rsidRDefault="00100E9F" w:rsidP="00BF6907">
            <w:pPr>
              <w:pStyle w:val="NormalWeb"/>
              <w:spacing w:before="0" w:beforeAutospacing="0" w:after="0" w:afterAutospacing="0"/>
              <w:jc w:val="center"/>
            </w:pPr>
            <w:r w:rsidRPr="0066109C">
              <w:t>20,33,419</w:t>
            </w:r>
          </w:p>
        </w:tc>
        <w:tc>
          <w:tcPr>
            <w:tcW w:w="1550" w:type="dxa"/>
            <w:vAlign w:val="center"/>
          </w:tcPr>
          <w:p w:rsidR="00100E9F" w:rsidRPr="0066109C" w:rsidRDefault="00100E9F" w:rsidP="00BF6907">
            <w:pPr>
              <w:pStyle w:val="NormalWeb"/>
              <w:spacing w:before="0" w:beforeAutospacing="0" w:after="0" w:afterAutospacing="0"/>
              <w:jc w:val="center"/>
            </w:pPr>
            <w:r w:rsidRPr="0066109C">
              <w:t>19,27,124</w:t>
            </w:r>
          </w:p>
        </w:tc>
        <w:tc>
          <w:tcPr>
            <w:tcW w:w="1550" w:type="dxa"/>
            <w:vAlign w:val="center"/>
          </w:tcPr>
          <w:p w:rsidR="00100E9F" w:rsidRPr="0066109C" w:rsidRDefault="00100E9F" w:rsidP="00BF6907">
            <w:pPr>
              <w:pStyle w:val="NormalWeb"/>
              <w:spacing w:before="0" w:beforeAutospacing="0" w:after="0" w:afterAutospacing="0"/>
              <w:jc w:val="center"/>
            </w:pPr>
            <w:r w:rsidRPr="0066109C">
              <w:t>22,10,838</w:t>
            </w:r>
          </w:p>
        </w:tc>
        <w:tc>
          <w:tcPr>
            <w:tcW w:w="1520" w:type="dxa"/>
            <w:vAlign w:val="center"/>
          </w:tcPr>
          <w:p w:rsidR="00100E9F" w:rsidRPr="0066109C" w:rsidRDefault="00100E9F" w:rsidP="00BF6907">
            <w:pPr>
              <w:pStyle w:val="NormalWeb"/>
              <w:spacing w:before="0" w:beforeAutospacing="0" w:after="0" w:afterAutospacing="0"/>
              <w:jc w:val="center"/>
            </w:pPr>
            <w:r w:rsidRPr="0066109C">
              <w:t>14.7</w:t>
            </w:r>
          </w:p>
        </w:tc>
      </w:tr>
      <w:tr w:rsidR="0066109C" w:rsidRPr="0066109C" w:rsidTr="00FA58B5">
        <w:tc>
          <w:tcPr>
            <w:tcW w:w="1856" w:type="dxa"/>
          </w:tcPr>
          <w:p w:rsidR="00100E9F" w:rsidRPr="0066109C" w:rsidRDefault="00100E9F" w:rsidP="00BF6907">
            <w:pPr>
              <w:pStyle w:val="NormalWeb"/>
              <w:spacing w:before="0" w:beforeAutospacing="0" w:after="0" w:afterAutospacing="0"/>
              <w:rPr>
                <w:b/>
              </w:rPr>
            </w:pPr>
            <w:r w:rsidRPr="0066109C">
              <w:rPr>
                <w:b/>
              </w:rPr>
              <w:t xml:space="preserve">Total Expenditure </w:t>
            </w:r>
          </w:p>
        </w:tc>
        <w:tc>
          <w:tcPr>
            <w:tcW w:w="1550" w:type="dxa"/>
            <w:vAlign w:val="center"/>
          </w:tcPr>
          <w:p w:rsidR="00100E9F" w:rsidRPr="0066109C" w:rsidRDefault="00100E9F" w:rsidP="00BF6907">
            <w:pPr>
              <w:pStyle w:val="NormalWeb"/>
              <w:spacing w:before="0" w:beforeAutospacing="0" w:after="0" w:afterAutospacing="0"/>
              <w:jc w:val="center"/>
              <w:rPr>
                <w:b/>
              </w:rPr>
            </w:pPr>
            <w:r w:rsidRPr="0066109C">
              <w:rPr>
                <w:b/>
              </w:rPr>
              <w:t>41,93,157</w:t>
            </w:r>
          </w:p>
        </w:tc>
        <w:tc>
          <w:tcPr>
            <w:tcW w:w="1550" w:type="dxa"/>
            <w:vAlign w:val="center"/>
          </w:tcPr>
          <w:p w:rsidR="00100E9F" w:rsidRPr="0066109C" w:rsidRDefault="00100E9F" w:rsidP="00BF6907">
            <w:pPr>
              <w:pStyle w:val="NormalWeb"/>
              <w:spacing w:before="0" w:beforeAutospacing="0" w:after="0" w:afterAutospacing="0"/>
              <w:jc w:val="center"/>
              <w:rPr>
                <w:b/>
              </w:rPr>
            </w:pPr>
            <w:r w:rsidRPr="0066109C">
              <w:rPr>
                <w:b/>
              </w:rPr>
              <w:t>45,03,097</w:t>
            </w:r>
          </w:p>
        </w:tc>
        <w:tc>
          <w:tcPr>
            <w:tcW w:w="1550" w:type="dxa"/>
            <w:vAlign w:val="center"/>
          </w:tcPr>
          <w:p w:rsidR="00100E9F" w:rsidRPr="0066109C" w:rsidRDefault="00100E9F" w:rsidP="00BF6907">
            <w:pPr>
              <w:pStyle w:val="NormalWeb"/>
              <w:spacing w:before="0" w:beforeAutospacing="0" w:after="0" w:afterAutospacing="0"/>
              <w:jc w:val="center"/>
              <w:rPr>
                <w:b/>
              </w:rPr>
            </w:pPr>
            <w:r w:rsidRPr="0066109C">
              <w:rPr>
                <w:b/>
              </w:rPr>
              <w:t>44,42,542</w:t>
            </w:r>
          </w:p>
        </w:tc>
        <w:tc>
          <w:tcPr>
            <w:tcW w:w="1550" w:type="dxa"/>
            <w:vAlign w:val="center"/>
          </w:tcPr>
          <w:p w:rsidR="00100E9F" w:rsidRPr="0066109C" w:rsidRDefault="00100E9F" w:rsidP="00BF6907">
            <w:pPr>
              <w:pStyle w:val="NormalWeb"/>
              <w:spacing w:before="0" w:beforeAutospacing="0" w:after="0" w:afterAutospacing="0"/>
              <w:jc w:val="center"/>
              <w:rPr>
                <w:b/>
              </w:rPr>
            </w:pPr>
            <w:r w:rsidRPr="0066109C">
              <w:rPr>
                <w:b/>
              </w:rPr>
              <w:t>48,20,512</w:t>
            </w:r>
          </w:p>
        </w:tc>
        <w:tc>
          <w:tcPr>
            <w:tcW w:w="1520" w:type="dxa"/>
            <w:vAlign w:val="center"/>
          </w:tcPr>
          <w:p w:rsidR="00100E9F" w:rsidRPr="0066109C" w:rsidRDefault="00100E9F" w:rsidP="00BF6907">
            <w:pPr>
              <w:pStyle w:val="NormalWeb"/>
              <w:spacing w:before="0" w:beforeAutospacing="0" w:after="0" w:afterAutospacing="0"/>
              <w:jc w:val="center"/>
              <w:rPr>
                <w:b/>
              </w:rPr>
            </w:pPr>
            <w:r w:rsidRPr="0066109C">
              <w:rPr>
                <w:b/>
              </w:rPr>
              <w:t>8.5</w:t>
            </w:r>
          </w:p>
        </w:tc>
      </w:tr>
    </w:tbl>
    <w:p w:rsidR="006E4698" w:rsidRPr="0066109C" w:rsidRDefault="00681F99" w:rsidP="00BF6907">
      <w:pPr>
        <w:pStyle w:val="NormalWeb"/>
        <w:shd w:val="clear" w:color="auto" w:fill="FFFFFF"/>
        <w:spacing w:before="0" w:beforeAutospacing="0" w:after="0" w:afterAutospacing="0"/>
      </w:pPr>
      <w:r w:rsidRPr="0066109C">
        <w:rPr>
          <w:b/>
        </w:rPr>
        <w:t>Sources:</w:t>
      </w:r>
      <w:r w:rsidRPr="0066109C">
        <w:t xml:space="preserve"> Expenditure Budget, Union Budget 2024-25, Controller General of Accounts; PRS.</w:t>
      </w:r>
    </w:p>
    <w:p w:rsidR="00C504C6" w:rsidRPr="0066109C" w:rsidRDefault="00C504C6" w:rsidP="00893159">
      <w:pPr>
        <w:pStyle w:val="NormalWeb"/>
        <w:shd w:val="clear" w:color="auto" w:fill="FFFFFF"/>
        <w:spacing w:before="0" w:beforeAutospacing="0" w:after="0" w:afterAutospacing="0"/>
        <w:jc w:val="center"/>
        <w:rPr>
          <w:b/>
        </w:rPr>
      </w:pPr>
    </w:p>
    <w:p w:rsidR="004902B4" w:rsidRPr="0066109C" w:rsidRDefault="009832DD" w:rsidP="004902B4">
      <w:pPr>
        <w:pStyle w:val="NormalWeb"/>
        <w:shd w:val="clear" w:color="auto" w:fill="FFFFFF"/>
        <w:spacing w:before="0" w:beforeAutospacing="0" w:after="0" w:afterAutospacing="0" w:line="360" w:lineRule="auto"/>
        <w:ind w:firstLine="720"/>
        <w:jc w:val="both"/>
      </w:pPr>
      <w:r w:rsidRPr="0066109C">
        <w:t xml:space="preserve">Table Number 3 illustrates the expenditure by ministry for the fiscal year 2024-25. The communication department received the biggest budget allocation with a 23.3% rise for 2024-2025, followed by the Home Affairs department with an 11.6% allocation, while the Road Transport and Highways department received the lowest at 0.8%. The Indian Government's total </w:t>
      </w:r>
      <w:r w:rsidRPr="0066109C">
        <w:lastRenderedPageBreak/>
        <w:t>expenditure allocated for the year 2024-2025 is 48,20,512 crores. The Indian Government has proposed an 8.5% rise in the Union Budget for 2024-2025.</w:t>
      </w:r>
    </w:p>
    <w:p w:rsidR="00893159" w:rsidRPr="0066109C" w:rsidRDefault="00893159" w:rsidP="0066109C">
      <w:pPr>
        <w:pStyle w:val="NormalWeb"/>
        <w:shd w:val="clear" w:color="auto" w:fill="FFFFFF"/>
        <w:spacing w:before="0" w:beforeAutospacing="0" w:after="0" w:afterAutospacing="0" w:line="360" w:lineRule="auto"/>
        <w:jc w:val="center"/>
        <w:rPr>
          <w:b/>
        </w:rPr>
      </w:pPr>
      <w:r w:rsidRPr="0066109C">
        <w:rPr>
          <w:b/>
        </w:rPr>
        <w:t>Table Number- 4</w:t>
      </w:r>
    </w:p>
    <w:p w:rsidR="00893159" w:rsidRPr="0066109C" w:rsidRDefault="00893159" w:rsidP="00893159">
      <w:pPr>
        <w:pStyle w:val="NormalWeb"/>
        <w:shd w:val="clear" w:color="auto" w:fill="FFFFFF"/>
        <w:spacing w:before="0" w:beforeAutospacing="0" w:after="0" w:afterAutospacing="0"/>
        <w:jc w:val="center"/>
        <w:rPr>
          <w:b/>
        </w:rPr>
      </w:pPr>
      <w:r w:rsidRPr="0066109C">
        <w:rPr>
          <w:b/>
        </w:rPr>
        <w:t>Subsidies in 2024-25 (Rs crore)</w:t>
      </w:r>
    </w:p>
    <w:tbl>
      <w:tblPr>
        <w:tblStyle w:val="TableGrid"/>
        <w:tblW w:w="0" w:type="auto"/>
        <w:tblLook w:val="04A0" w:firstRow="1" w:lastRow="0" w:firstColumn="1" w:lastColumn="0" w:noHBand="0" w:noVBand="1"/>
      </w:tblPr>
      <w:tblGrid>
        <w:gridCol w:w="1819"/>
        <w:gridCol w:w="1509"/>
        <w:gridCol w:w="1520"/>
        <w:gridCol w:w="1509"/>
        <w:gridCol w:w="1520"/>
        <w:gridCol w:w="1473"/>
      </w:tblGrid>
      <w:tr w:rsidR="0066109C" w:rsidRPr="0066109C" w:rsidTr="009873B8">
        <w:tc>
          <w:tcPr>
            <w:tcW w:w="1856" w:type="dxa"/>
          </w:tcPr>
          <w:p w:rsidR="00893159" w:rsidRPr="0066109C" w:rsidRDefault="00893159" w:rsidP="00BF6907">
            <w:pPr>
              <w:pStyle w:val="NormalWeb"/>
              <w:spacing w:before="0" w:beforeAutospacing="0" w:after="0" w:afterAutospacing="0"/>
              <w:rPr>
                <w:b/>
              </w:rPr>
            </w:pPr>
            <w:r w:rsidRPr="0066109C">
              <w:rPr>
                <w:b/>
              </w:rPr>
              <w:t xml:space="preserve">Particulars </w:t>
            </w:r>
          </w:p>
        </w:tc>
        <w:tc>
          <w:tcPr>
            <w:tcW w:w="1550" w:type="dxa"/>
          </w:tcPr>
          <w:p w:rsidR="009873B8" w:rsidRPr="0066109C" w:rsidRDefault="00893159" w:rsidP="00BF6907">
            <w:pPr>
              <w:pStyle w:val="NormalWeb"/>
              <w:spacing w:before="0" w:beforeAutospacing="0" w:after="0" w:afterAutospacing="0"/>
              <w:rPr>
                <w:b/>
              </w:rPr>
            </w:pPr>
            <w:r w:rsidRPr="0066109C">
              <w:rPr>
                <w:b/>
              </w:rPr>
              <w:t xml:space="preserve">Actual </w:t>
            </w:r>
          </w:p>
          <w:p w:rsidR="00893159" w:rsidRPr="0066109C" w:rsidRDefault="00893159" w:rsidP="00BF6907">
            <w:pPr>
              <w:pStyle w:val="NormalWeb"/>
              <w:spacing w:before="0" w:beforeAutospacing="0" w:after="0" w:afterAutospacing="0"/>
              <w:rPr>
                <w:b/>
              </w:rPr>
            </w:pPr>
            <w:r w:rsidRPr="0066109C">
              <w:rPr>
                <w:b/>
              </w:rPr>
              <w:t>2022-2023</w:t>
            </w:r>
          </w:p>
        </w:tc>
        <w:tc>
          <w:tcPr>
            <w:tcW w:w="1550" w:type="dxa"/>
          </w:tcPr>
          <w:p w:rsidR="00893159" w:rsidRPr="0066109C" w:rsidRDefault="00893159" w:rsidP="00BF6907">
            <w:pPr>
              <w:pStyle w:val="NormalWeb"/>
              <w:spacing w:before="0" w:beforeAutospacing="0" w:after="0" w:afterAutospacing="0"/>
              <w:rPr>
                <w:b/>
              </w:rPr>
            </w:pPr>
            <w:r w:rsidRPr="0066109C">
              <w:rPr>
                <w:b/>
              </w:rPr>
              <w:t>Budgeted 2023-2024</w:t>
            </w:r>
          </w:p>
        </w:tc>
        <w:tc>
          <w:tcPr>
            <w:tcW w:w="1550" w:type="dxa"/>
          </w:tcPr>
          <w:p w:rsidR="00893159" w:rsidRPr="0066109C" w:rsidRDefault="00893159" w:rsidP="00BF6907">
            <w:pPr>
              <w:pStyle w:val="NormalWeb"/>
              <w:spacing w:before="0" w:beforeAutospacing="0" w:after="0" w:afterAutospacing="0"/>
              <w:rPr>
                <w:b/>
              </w:rPr>
            </w:pPr>
            <w:r w:rsidRPr="0066109C">
              <w:rPr>
                <w:b/>
              </w:rPr>
              <w:t>Actual 2023-2024</w:t>
            </w:r>
          </w:p>
        </w:tc>
        <w:tc>
          <w:tcPr>
            <w:tcW w:w="1550" w:type="dxa"/>
          </w:tcPr>
          <w:p w:rsidR="00893159" w:rsidRPr="0066109C" w:rsidRDefault="00893159" w:rsidP="00BF6907">
            <w:pPr>
              <w:pStyle w:val="NormalWeb"/>
              <w:spacing w:before="0" w:beforeAutospacing="0" w:after="0" w:afterAutospacing="0"/>
              <w:rPr>
                <w:b/>
              </w:rPr>
            </w:pPr>
            <w:r w:rsidRPr="0066109C">
              <w:rPr>
                <w:b/>
              </w:rPr>
              <w:t>Budgeted 2024-2025</w:t>
            </w:r>
          </w:p>
        </w:tc>
        <w:tc>
          <w:tcPr>
            <w:tcW w:w="1520" w:type="dxa"/>
          </w:tcPr>
          <w:p w:rsidR="00893159" w:rsidRPr="0066109C" w:rsidRDefault="00893159" w:rsidP="00BF6907">
            <w:pPr>
              <w:pStyle w:val="NormalWeb"/>
              <w:spacing w:before="0" w:beforeAutospacing="0" w:after="0" w:afterAutospacing="0"/>
              <w:rPr>
                <w:b/>
              </w:rPr>
            </w:pPr>
            <w:r w:rsidRPr="0066109C">
              <w:rPr>
                <w:b/>
              </w:rPr>
              <w:t>% change (2023-24 Actual to 2024-25 BE)</w:t>
            </w:r>
          </w:p>
        </w:tc>
      </w:tr>
      <w:tr w:rsidR="0066109C" w:rsidRPr="0066109C" w:rsidTr="00890950">
        <w:tc>
          <w:tcPr>
            <w:tcW w:w="1856" w:type="dxa"/>
          </w:tcPr>
          <w:p w:rsidR="009873B8" w:rsidRPr="0066109C" w:rsidRDefault="009873B8" w:rsidP="00BF6907">
            <w:pPr>
              <w:pStyle w:val="NormalWeb"/>
              <w:spacing w:before="0" w:beforeAutospacing="0" w:after="0" w:afterAutospacing="0"/>
            </w:pPr>
            <w:r w:rsidRPr="0066109C">
              <w:t xml:space="preserve">Food </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2,72,802</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1,97,350</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2,11,814</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2,05,250</w:t>
            </w:r>
          </w:p>
        </w:tc>
        <w:tc>
          <w:tcPr>
            <w:tcW w:w="152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-3.1%</w:t>
            </w:r>
          </w:p>
        </w:tc>
      </w:tr>
      <w:tr w:rsidR="0066109C" w:rsidRPr="0066109C" w:rsidTr="00890950">
        <w:tc>
          <w:tcPr>
            <w:tcW w:w="1856" w:type="dxa"/>
          </w:tcPr>
          <w:p w:rsidR="009873B8" w:rsidRPr="0066109C" w:rsidRDefault="009873B8" w:rsidP="00BF6907">
            <w:pPr>
              <w:pStyle w:val="NormalWeb"/>
              <w:spacing w:before="0" w:beforeAutospacing="0" w:after="0" w:afterAutospacing="0"/>
            </w:pPr>
            <w:r w:rsidRPr="0066109C">
              <w:t xml:space="preserve">Fertilizer </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2,51,339</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1,75,100</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1,89,487</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1,64,000</w:t>
            </w:r>
          </w:p>
        </w:tc>
        <w:tc>
          <w:tcPr>
            <w:tcW w:w="152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-13.5%</w:t>
            </w:r>
          </w:p>
        </w:tc>
      </w:tr>
      <w:tr w:rsidR="0066109C" w:rsidRPr="0066109C" w:rsidTr="00890950">
        <w:tc>
          <w:tcPr>
            <w:tcW w:w="1856" w:type="dxa"/>
          </w:tcPr>
          <w:p w:rsidR="009873B8" w:rsidRPr="0066109C" w:rsidRDefault="009873B8" w:rsidP="00BF6907">
            <w:pPr>
              <w:pStyle w:val="NormalWeb"/>
              <w:spacing w:before="0" w:beforeAutospacing="0" w:after="0" w:afterAutospacing="0"/>
            </w:pPr>
            <w:r w:rsidRPr="0066109C">
              <w:t xml:space="preserve">Interest </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41,676</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27,565</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23,980</w:t>
            </w:r>
          </w:p>
        </w:tc>
        <w:tc>
          <w:tcPr>
            <w:tcW w:w="155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29,550</w:t>
            </w:r>
          </w:p>
        </w:tc>
        <w:tc>
          <w:tcPr>
            <w:tcW w:w="1520" w:type="dxa"/>
            <w:vAlign w:val="center"/>
          </w:tcPr>
          <w:p w:rsidR="009873B8" w:rsidRPr="0066109C" w:rsidRDefault="009873B8" w:rsidP="00BF6907">
            <w:pPr>
              <w:pStyle w:val="Default"/>
              <w:jc w:val="center"/>
              <w:rPr>
                <w:rFonts w:ascii="Times New Roman" w:hAnsi="Times New Roman" w:cs="Times New Roman"/>
                <w:color w:val="auto"/>
              </w:rPr>
            </w:pPr>
            <w:r w:rsidRPr="0066109C">
              <w:rPr>
                <w:rFonts w:ascii="Times New Roman" w:hAnsi="Times New Roman" w:cs="Times New Roman"/>
                <w:color w:val="auto"/>
              </w:rPr>
              <w:t>23.2%</w:t>
            </w:r>
          </w:p>
        </w:tc>
      </w:tr>
      <w:tr w:rsidR="0066109C" w:rsidRPr="0066109C" w:rsidTr="00890950">
        <w:tc>
          <w:tcPr>
            <w:tcW w:w="1856" w:type="dxa"/>
          </w:tcPr>
          <w:p w:rsidR="00082C4F" w:rsidRPr="0066109C" w:rsidRDefault="00082C4F" w:rsidP="00BF6907">
            <w:pPr>
              <w:pStyle w:val="NormalWeb"/>
              <w:spacing w:before="0" w:beforeAutospacing="0" w:after="0" w:afterAutospacing="0"/>
            </w:pPr>
            <w:r w:rsidRPr="0066109C">
              <w:t xml:space="preserve">LPG Subsidy </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6,817</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2,257</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12,240</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11,925</w:t>
            </w:r>
          </w:p>
        </w:tc>
        <w:tc>
          <w:tcPr>
            <w:tcW w:w="152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-2.6%</w:t>
            </w:r>
          </w:p>
        </w:tc>
      </w:tr>
      <w:tr w:rsidR="0066109C" w:rsidRPr="0066109C" w:rsidTr="00890950">
        <w:tc>
          <w:tcPr>
            <w:tcW w:w="1856" w:type="dxa"/>
          </w:tcPr>
          <w:p w:rsidR="00082C4F" w:rsidRPr="0066109C" w:rsidRDefault="00082C4F" w:rsidP="00BF6907">
            <w:pPr>
              <w:pStyle w:val="NormalWeb"/>
              <w:spacing w:before="0" w:beforeAutospacing="0" w:after="0" w:afterAutospacing="0"/>
            </w:pPr>
            <w:r w:rsidRPr="0066109C">
              <w:t xml:space="preserve">Others </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5,281</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812</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3,090</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17,698</w:t>
            </w:r>
          </w:p>
        </w:tc>
        <w:tc>
          <w:tcPr>
            <w:tcW w:w="152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color w:val="auto"/>
              </w:rPr>
              <w:t>472.6%</w:t>
            </w:r>
          </w:p>
        </w:tc>
      </w:tr>
      <w:tr w:rsidR="0066109C" w:rsidRPr="0066109C" w:rsidTr="00890950">
        <w:tc>
          <w:tcPr>
            <w:tcW w:w="1856" w:type="dxa"/>
          </w:tcPr>
          <w:p w:rsidR="00082C4F" w:rsidRPr="0066109C" w:rsidRDefault="00082C4F" w:rsidP="00BF6907">
            <w:pPr>
              <w:pStyle w:val="Default"/>
              <w:rPr>
                <w:rFonts w:ascii="Times New Roman" w:hAnsi="Times New Roman" w:cs="Times New Roman"/>
                <w:color w:val="auto"/>
              </w:rPr>
            </w:pPr>
            <w:r w:rsidRPr="0066109C">
              <w:rPr>
                <w:rFonts w:ascii="Times New Roman" w:hAnsi="Times New Roman" w:cs="Times New Roman"/>
                <w:iCs/>
                <w:color w:val="auto"/>
              </w:rPr>
              <w:t>of which allocation to Price Stabilization Fund</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iCs/>
                <w:color w:val="auto"/>
              </w:rPr>
              <w:t>0</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iCs/>
                <w:color w:val="auto"/>
              </w:rPr>
              <w:t>0</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iCs/>
                <w:color w:val="auto"/>
              </w:rPr>
              <w:t>0</w:t>
            </w:r>
          </w:p>
        </w:tc>
        <w:tc>
          <w:tcPr>
            <w:tcW w:w="1550" w:type="dxa"/>
            <w:vAlign w:val="center"/>
          </w:tcPr>
          <w:p w:rsidR="00082C4F" w:rsidRPr="0066109C" w:rsidRDefault="00082C4F" w:rsidP="00BF6907">
            <w:pPr>
              <w:pStyle w:val="Default"/>
              <w:jc w:val="center"/>
              <w:rPr>
                <w:rFonts w:ascii="Times New Roman" w:hAnsi="Times New Roman" w:cs="Times New Roman"/>
                <w:color w:val="auto"/>
              </w:rPr>
            </w:pPr>
            <w:r w:rsidRPr="0066109C">
              <w:rPr>
                <w:rFonts w:ascii="Times New Roman" w:hAnsi="Times New Roman" w:cs="Times New Roman"/>
                <w:iCs/>
                <w:color w:val="auto"/>
              </w:rPr>
              <w:t>10,000</w:t>
            </w:r>
          </w:p>
        </w:tc>
        <w:tc>
          <w:tcPr>
            <w:tcW w:w="1520" w:type="dxa"/>
            <w:vAlign w:val="center"/>
          </w:tcPr>
          <w:p w:rsidR="00082C4F" w:rsidRPr="0066109C" w:rsidRDefault="00082C4F" w:rsidP="00BF6907">
            <w:pPr>
              <w:pStyle w:val="Default"/>
              <w:jc w:val="center"/>
              <w:rPr>
                <w:rFonts w:ascii="Times New Roman" w:hAnsi="Times New Roman" w:cs="Times New Roman"/>
                <w:color w:val="auto"/>
              </w:rPr>
            </w:pPr>
          </w:p>
        </w:tc>
      </w:tr>
      <w:tr w:rsidR="0066109C" w:rsidRPr="0066109C" w:rsidTr="00BF6907">
        <w:trPr>
          <w:trHeight w:val="561"/>
        </w:trPr>
        <w:tc>
          <w:tcPr>
            <w:tcW w:w="1856" w:type="dxa"/>
            <w:vAlign w:val="center"/>
          </w:tcPr>
          <w:p w:rsidR="00082C4F" w:rsidRPr="0066109C" w:rsidRDefault="00082C4F" w:rsidP="00BF6907">
            <w:pPr>
              <w:pStyle w:val="NormalWeb"/>
              <w:spacing w:before="0" w:beforeAutospacing="0" w:after="0" w:afterAutospacing="0"/>
              <w:jc w:val="center"/>
              <w:rPr>
                <w:b/>
              </w:rPr>
            </w:pPr>
            <w:r w:rsidRPr="0066109C">
              <w:rPr>
                <w:b/>
              </w:rPr>
              <w:t>Total</w:t>
            </w:r>
          </w:p>
        </w:tc>
        <w:tc>
          <w:tcPr>
            <w:tcW w:w="1550" w:type="dxa"/>
            <w:vAlign w:val="center"/>
          </w:tcPr>
          <w:p w:rsidR="00082C4F" w:rsidRPr="0066109C" w:rsidRDefault="00082C4F" w:rsidP="00BF6907">
            <w:pPr>
              <w:jc w:val="center"/>
              <w:rPr>
                <w:rFonts w:ascii="Times New Roman" w:hAnsi="Times New Roman" w:cs="Times New Roman"/>
                <w:b/>
                <w:sz w:val="24"/>
                <w:szCs w:val="24"/>
              </w:rPr>
            </w:pPr>
            <w:r w:rsidRPr="0066109C">
              <w:rPr>
                <w:rFonts w:ascii="Times New Roman" w:eastAsia="Times New Roman" w:hAnsi="Times New Roman" w:cs="Times New Roman"/>
                <w:b/>
                <w:sz w:val="24"/>
                <w:szCs w:val="24"/>
              </w:rPr>
              <w:t>5,77,916</w:t>
            </w:r>
          </w:p>
        </w:tc>
        <w:tc>
          <w:tcPr>
            <w:tcW w:w="1550" w:type="dxa"/>
            <w:vAlign w:val="center"/>
          </w:tcPr>
          <w:p w:rsidR="00082C4F" w:rsidRPr="0066109C" w:rsidRDefault="00082C4F" w:rsidP="00BF6907">
            <w:pPr>
              <w:jc w:val="center"/>
              <w:rPr>
                <w:rFonts w:ascii="Times New Roman" w:hAnsi="Times New Roman" w:cs="Times New Roman"/>
                <w:b/>
                <w:sz w:val="24"/>
                <w:szCs w:val="24"/>
              </w:rPr>
            </w:pPr>
            <w:r w:rsidRPr="0066109C">
              <w:rPr>
                <w:rFonts w:ascii="Times New Roman" w:eastAsia="Times New Roman" w:hAnsi="Times New Roman" w:cs="Times New Roman"/>
                <w:b/>
                <w:sz w:val="24"/>
                <w:szCs w:val="24"/>
              </w:rPr>
              <w:t>4,03,084</w:t>
            </w:r>
          </w:p>
        </w:tc>
        <w:tc>
          <w:tcPr>
            <w:tcW w:w="1550" w:type="dxa"/>
            <w:vAlign w:val="center"/>
          </w:tcPr>
          <w:p w:rsidR="00082C4F" w:rsidRPr="0066109C" w:rsidRDefault="00082C4F" w:rsidP="00BF6907">
            <w:pPr>
              <w:jc w:val="center"/>
              <w:rPr>
                <w:rFonts w:ascii="Times New Roman" w:hAnsi="Times New Roman" w:cs="Times New Roman"/>
                <w:b/>
                <w:sz w:val="24"/>
                <w:szCs w:val="24"/>
              </w:rPr>
            </w:pPr>
            <w:r w:rsidRPr="0066109C">
              <w:rPr>
                <w:rFonts w:ascii="Times New Roman" w:eastAsia="Times New Roman" w:hAnsi="Times New Roman" w:cs="Times New Roman"/>
                <w:b/>
                <w:sz w:val="24"/>
                <w:szCs w:val="24"/>
              </w:rPr>
              <w:t>4,40,612</w:t>
            </w:r>
          </w:p>
        </w:tc>
        <w:tc>
          <w:tcPr>
            <w:tcW w:w="1550" w:type="dxa"/>
            <w:vAlign w:val="center"/>
          </w:tcPr>
          <w:p w:rsidR="00BF6907" w:rsidRPr="0066109C" w:rsidRDefault="00BF6907" w:rsidP="00BF6907">
            <w:pPr>
              <w:jc w:val="center"/>
              <w:rPr>
                <w:rFonts w:ascii="Times New Roman" w:eastAsia="Times New Roman" w:hAnsi="Times New Roman" w:cs="Times New Roman"/>
                <w:b/>
                <w:sz w:val="24"/>
                <w:szCs w:val="24"/>
              </w:rPr>
            </w:pPr>
          </w:p>
          <w:p w:rsidR="00AB5396" w:rsidRPr="0066109C" w:rsidRDefault="00AB5396" w:rsidP="00BF6907">
            <w:pPr>
              <w:jc w:val="center"/>
              <w:rPr>
                <w:rFonts w:ascii="Times New Roman" w:eastAsia="Times New Roman" w:hAnsi="Times New Roman" w:cs="Times New Roman"/>
                <w:b/>
                <w:sz w:val="24"/>
                <w:szCs w:val="24"/>
              </w:rPr>
            </w:pPr>
            <w:r w:rsidRPr="0066109C">
              <w:rPr>
                <w:rFonts w:ascii="Times New Roman" w:eastAsia="Times New Roman" w:hAnsi="Times New Roman" w:cs="Times New Roman"/>
                <w:b/>
                <w:sz w:val="24"/>
                <w:szCs w:val="24"/>
              </w:rPr>
              <w:t>4,38,423</w:t>
            </w:r>
          </w:p>
          <w:p w:rsidR="00082C4F" w:rsidRPr="0066109C" w:rsidRDefault="00082C4F" w:rsidP="00BF6907">
            <w:pPr>
              <w:pStyle w:val="NormalWeb"/>
              <w:spacing w:before="0" w:beforeAutospacing="0" w:after="0" w:afterAutospacing="0"/>
              <w:jc w:val="center"/>
              <w:rPr>
                <w:b/>
              </w:rPr>
            </w:pPr>
          </w:p>
        </w:tc>
        <w:tc>
          <w:tcPr>
            <w:tcW w:w="1520" w:type="dxa"/>
            <w:vAlign w:val="center"/>
          </w:tcPr>
          <w:p w:rsidR="00082C4F" w:rsidRPr="0066109C" w:rsidRDefault="00AB5396" w:rsidP="00BF6907">
            <w:pPr>
              <w:pStyle w:val="NormalWeb"/>
              <w:spacing w:before="0" w:beforeAutospacing="0" w:after="0" w:afterAutospacing="0"/>
              <w:jc w:val="center"/>
              <w:rPr>
                <w:b/>
              </w:rPr>
            </w:pPr>
            <w:r w:rsidRPr="0066109C">
              <w:rPr>
                <w:b/>
              </w:rPr>
              <w:t>-0.5%</w:t>
            </w:r>
          </w:p>
        </w:tc>
      </w:tr>
    </w:tbl>
    <w:p w:rsidR="007E3EF8" w:rsidRPr="0066109C" w:rsidRDefault="00B95484" w:rsidP="00EA48A5">
      <w:pPr>
        <w:pStyle w:val="NormalWeb"/>
        <w:shd w:val="clear" w:color="auto" w:fill="FFFFFF"/>
        <w:spacing w:before="0" w:beforeAutospacing="0" w:after="0" w:afterAutospacing="0"/>
      </w:pPr>
      <w:r w:rsidRPr="0066109C">
        <w:rPr>
          <w:b/>
        </w:rPr>
        <w:t>Source:</w:t>
      </w:r>
      <w:r w:rsidRPr="0066109C">
        <w:t xml:space="preserve"> </w:t>
      </w:r>
      <w:r w:rsidR="00540396" w:rsidRPr="0066109C">
        <w:t>Expenditure Budget, Union Budget 2024-25, Controller General of Accounts; PRS.</w:t>
      </w:r>
    </w:p>
    <w:p w:rsidR="00FD1183" w:rsidRPr="0066109C" w:rsidRDefault="00993FB0" w:rsidP="00FD1183">
      <w:pPr>
        <w:pStyle w:val="NormalWeb"/>
        <w:shd w:val="clear" w:color="auto" w:fill="FFFFFF"/>
        <w:spacing w:before="0" w:beforeAutospacing="0" w:after="0" w:afterAutospacing="0" w:line="360" w:lineRule="auto"/>
        <w:ind w:firstLine="720"/>
        <w:jc w:val="both"/>
      </w:pPr>
      <w:r w:rsidRPr="0066109C">
        <w:t xml:space="preserve">Table Number 4 indicates that the allocation for food subsidies in 2024-25 is projected at Rs 2,05,250 crore, reflecting a 3.1% reduction compared to the actual spending in 2023-24. An increased food subsidy was allocated in the budgets for 2021-22 and 2022-23. </w:t>
      </w:r>
      <w:r w:rsidR="00FD1183" w:rsidRPr="0066109C">
        <w:t xml:space="preserve">The Union Budget for 2024-2025 allocates expenditures amounting to 4,384.23 crores. </w:t>
      </w:r>
    </w:p>
    <w:p w:rsidR="00446D6F" w:rsidRPr="0066109C" w:rsidRDefault="00446D6F" w:rsidP="00FD1183">
      <w:pPr>
        <w:pStyle w:val="NormalWeb"/>
        <w:shd w:val="clear" w:color="auto" w:fill="FFFFFF"/>
        <w:spacing w:before="0" w:beforeAutospacing="0" w:after="0" w:afterAutospacing="0" w:line="360" w:lineRule="auto"/>
        <w:ind w:firstLine="720"/>
        <w:jc w:val="center"/>
        <w:rPr>
          <w:b/>
        </w:rPr>
      </w:pPr>
      <w:r w:rsidRPr="0066109C">
        <w:rPr>
          <w:b/>
        </w:rPr>
        <w:t>Table Number- 5</w:t>
      </w:r>
    </w:p>
    <w:p w:rsidR="00446D6F" w:rsidRPr="0066109C" w:rsidRDefault="00446D6F" w:rsidP="00446D6F">
      <w:pPr>
        <w:pStyle w:val="NormalWeb"/>
        <w:shd w:val="clear" w:color="auto" w:fill="FFFFFF"/>
        <w:spacing w:before="0" w:beforeAutospacing="0" w:after="0" w:afterAutospacing="0"/>
        <w:jc w:val="center"/>
        <w:rPr>
          <w:b/>
        </w:rPr>
      </w:pPr>
      <w:r w:rsidRPr="0066109C">
        <w:rPr>
          <w:b/>
        </w:rPr>
        <w:t>Scheme wise allocation in 2024-25 (Rs crore)</w:t>
      </w:r>
    </w:p>
    <w:tbl>
      <w:tblPr>
        <w:tblStyle w:val="TableGrid"/>
        <w:tblW w:w="0" w:type="auto"/>
        <w:tblLook w:val="04A0" w:firstRow="1" w:lastRow="0" w:firstColumn="1" w:lastColumn="0" w:noHBand="0" w:noVBand="1"/>
      </w:tblPr>
      <w:tblGrid>
        <w:gridCol w:w="1848"/>
        <w:gridCol w:w="1498"/>
        <w:gridCol w:w="1517"/>
        <w:gridCol w:w="1498"/>
        <w:gridCol w:w="1517"/>
        <w:gridCol w:w="1472"/>
      </w:tblGrid>
      <w:tr w:rsidR="0066109C" w:rsidRPr="0066109C" w:rsidTr="00852F66">
        <w:tc>
          <w:tcPr>
            <w:tcW w:w="1856"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 xml:space="preserve">Particulars </w:t>
            </w:r>
          </w:p>
        </w:tc>
        <w:tc>
          <w:tcPr>
            <w:tcW w:w="1550"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 xml:space="preserve">Actual </w:t>
            </w:r>
          </w:p>
          <w:p w:rsidR="00446D6F" w:rsidRPr="0066109C" w:rsidRDefault="00446D6F" w:rsidP="00514F9D">
            <w:pPr>
              <w:pStyle w:val="NormalWeb"/>
              <w:spacing w:before="0" w:beforeAutospacing="0" w:after="0" w:afterAutospacing="0"/>
              <w:rPr>
                <w:b/>
                <w:sz w:val="22"/>
                <w:szCs w:val="22"/>
              </w:rPr>
            </w:pPr>
            <w:r w:rsidRPr="0066109C">
              <w:rPr>
                <w:b/>
                <w:sz w:val="22"/>
                <w:szCs w:val="22"/>
              </w:rPr>
              <w:t>2022-2023</w:t>
            </w:r>
          </w:p>
        </w:tc>
        <w:tc>
          <w:tcPr>
            <w:tcW w:w="1550"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Budgeted 2023-2024</w:t>
            </w:r>
          </w:p>
        </w:tc>
        <w:tc>
          <w:tcPr>
            <w:tcW w:w="1550"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Actual 2023-2024</w:t>
            </w:r>
          </w:p>
        </w:tc>
        <w:tc>
          <w:tcPr>
            <w:tcW w:w="1550"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Budgeted 2024-2025</w:t>
            </w:r>
          </w:p>
        </w:tc>
        <w:tc>
          <w:tcPr>
            <w:tcW w:w="1520" w:type="dxa"/>
          </w:tcPr>
          <w:p w:rsidR="00446D6F" w:rsidRPr="0066109C" w:rsidRDefault="00446D6F" w:rsidP="00514F9D">
            <w:pPr>
              <w:pStyle w:val="NormalWeb"/>
              <w:spacing w:before="0" w:beforeAutospacing="0" w:after="0" w:afterAutospacing="0"/>
              <w:rPr>
                <w:b/>
                <w:sz w:val="22"/>
                <w:szCs w:val="22"/>
              </w:rPr>
            </w:pPr>
            <w:r w:rsidRPr="0066109C">
              <w:rPr>
                <w:b/>
                <w:sz w:val="22"/>
                <w:szCs w:val="22"/>
              </w:rPr>
              <w:t>% change (2023-24 Actual to 2024-25 BE)</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MGNREGS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90,806</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60,000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86,000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86,000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0%</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Pradhan Mantri Awas Yojana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73,615</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79,590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54,103</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84,671</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56.5%</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Jal Jeevan Mission/National Rural Drinking Water Mission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54,700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70,000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70,000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70,163</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0.2%</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PM-KISAN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58,254</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60,000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60,000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60,000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0%</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proofErr w:type="spellStart"/>
            <w:r w:rsidRPr="0066109C">
              <w:rPr>
                <w:rFonts w:ascii="Times New Roman" w:hAnsi="Times New Roman" w:cs="Times New Roman"/>
                <w:color w:val="auto"/>
                <w:sz w:val="22"/>
                <w:szCs w:val="22"/>
              </w:rPr>
              <w:t>Samagra</w:t>
            </w:r>
            <w:proofErr w:type="spellEnd"/>
            <w:r w:rsidRPr="0066109C">
              <w:rPr>
                <w:rFonts w:ascii="Times New Roman" w:hAnsi="Times New Roman" w:cs="Times New Roman"/>
                <w:color w:val="auto"/>
                <w:sz w:val="22"/>
                <w:szCs w:val="22"/>
              </w:rPr>
              <w:t xml:space="preserve"> Shiksha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32,515</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37,453</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33,000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37,500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13.6%</w:t>
            </w:r>
          </w:p>
        </w:tc>
      </w:tr>
      <w:tr w:rsidR="0066109C" w:rsidRPr="0066109C" w:rsidTr="00540396">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National Health Mission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31,279</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29,085</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31,551</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36,000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14.1%</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lastRenderedPageBreak/>
              <w:t xml:space="preserve">Modified Interest Subvention Scheme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17,998</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23,000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18,500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22,600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22.2%</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Saksham Anganwadi and POSHAN 2.0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19,876</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20,554</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21,523</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21,200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-1.5%</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Pradhan Mantri Gram Sadak Yojana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18,783</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19,000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17,000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19,000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11.8%</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National Livelihood Mission-</w:t>
            </w:r>
            <w:proofErr w:type="spellStart"/>
            <w:r w:rsidRPr="0066109C">
              <w:rPr>
                <w:rFonts w:ascii="Times New Roman" w:hAnsi="Times New Roman" w:cs="Times New Roman"/>
                <w:color w:val="auto"/>
                <w:sz w:val="22"/>
                <w:szCs w:val="22"/>
              </w:rPr>
              <w:t>Ajeevika</w:t>
            </w:r>
            <w:proofErr w:type="spellEnd"/>
            <w:r w:rsidRPr="0066109C">
              <w:rPr>
                <w:rFonts w:ascii="Times New Roman" w:hAnsi="Times New Roman" w:cs="Times New Roman"/>
                <w:color w:val="auto"/>
                <w:sz w:val="22"/>
                <w:szCs w:val="22"/>
              </w:rPr>
              <w:t xml:space="preserve">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11,536</w:t>
            </w:r>
          </w:p>
        </w:tc>
        <w:tc>
          <w:tcPr>
            <w:tcW w:w="1550" w:type="dxa"/>
            <w:vAlign w:val="center"/>
          </w:tcPr>
          <w:p w:rsidR="00446D6F" w:rsidRPr="0066109C" w:rsidRDefault="00446D6F" w:rsidP="0066109C">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14,129</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14,129</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15,047</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6.5%</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Pradhan Mantri Fasal Bima Yojana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10,296</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13,625</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15,000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14,600</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-2.7%</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Reform Linked Distribution Scheme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2,738</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12,072</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10,400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12,585</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21.0%</w:t>
            </w:r>
          </w:p>
        </w:tc>
      </w:tr>
      <w:tr w:rsidR="0066109C" w:rsidRPr="0066109C" w:rsidTr="00540396">
        <w:trPr>
          <w:trHeight w:val="561"/>
        </w:trPr>
        <w:tc>
          <w:tcPr>
            <w:tcW w:w="1856" w:type="dxa"/>
          </w:tcPr>
          <w:p w:rsidR="00446D6F" w:rsidRPr="0066109C" w:rsidRDefault="00446D6F" w:rsidP="00514F9D">
            <w:pPr>
              <w:pStyle w:val="Default"/>
              <w:rPr>
                <w:rFonts w:ascii="Times New Roman" w:hAnsi="Times New Roman" w:cs="Times New Roman"/>
                <w:color w:val="auto"/>
                <w:sz w:val="22"/>
                <w:szCs w:val="22"/>
              </w:rPr>
            </w:pPr>
            <w:r w:rsidRPr="0066109C">
              <w:rPr>
                <w:rFonts w:ascii="Times New Roman" w:hAnsi="Times New Roman" w:cs="Times New Roman"/>
                <w:color w:val="auto"/>
                <w:sz w:val="22"/>
                <w:szCs w:val="22"/>
              </w:rPr>
              <w:t xml:space="preserve">Pradhan Mantri Poshan Shakti Nirman (PM POSHAN) </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12,681</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11,600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10,000</w:t>
            </w:r>
          </w:p>
        </w:tc>
        <w:tc>
          <w:tcPr>
            <w:tcW w:w="155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12,467</w:t>
            </w:r>
          </w:p>
        </w:tc>
        <w:tc>
          <w:tcPr>
            <w:tcW w:w="1520" w:type="dxa"/>
            <w:vAlign w:val="center"/>
          </w:tcPr>
          <w:p w:rsidR="00446D6F" w:rsidRPr="0066109C" w:rsidRDefault="00446D6F" w:rsidP="00540396">
            <w:pPr>
              <w:pStyle w:val="Default"/>
              <w:jc w:val="center"/>
              <w:rPr>
                <w:rFonts w:ascii="Times New Roman" w:hAnsi="Times New Roman" w:cs="Times New Roman"/>
                <w:color w:val="auto"/>
                <w:sz w:val="22"/>
                <w:szCs w:val="22"/>
              </w:rPr>
            </w:pPr>
            <w:r w:rsidRPr="0066109C">
              <w:rPr>
                <w:rFonts w:ascii="Times New Roman" w:hAnsi="Times New Roman" w:cs="Times New Roman"/>
                <w:color w:val="auto"/>
                <w:sz w:val="22"/>
                <w:szCs w:val="22"/>
              </w:rPr>
              <w:t>24.7%</w:t>
            </w:r>
          </w:p>
        </w:tc>
      </w:tr>
    </w:tbl>
    <w:p w:rsidR="007E3EF8" w:rsidRPr="0066109C" w:rsidRDefault="00446D6F" w:rsidP="00DD2497">
      <w:pPr>
        <w:pStyle w:val="NormalWeb"/>
        <w:shd w:val="clear" w:color="auto" w:fill="FFFFFF"/>
        <w:spacing w:before="120" w:beforeAutospacing="0" w:after="240" w:afterAutospacing="0"/>
      </w:pPr>
      <w:r w:rsidRPr="0066109C">
        <w:rPr>
          <w:b/>
        </w:rPr>
        <w:t>Sources:</w:t>
      </w:r>
      <w:r w:rsidRPr="0066109C">
        <w:t xml:space="preserve"> Expenditure Profile, Union Budget 2024-25; PRS.</w:t>
      </w:r>
    </w:p>
    <w:p w:rsidR="00A90763" w:rsidRPr="0066109C" w:rsidRDefault="00A90763" w:rsidP="00A90763">
      <w:pPr>
        <w:pStyle w:val="NormalWeb"/>
        <w:shd w:val="clear" w:color="auto" w:fill="FFFFFF"/>
        <w:spacing w:before="0" w:beforeAutospacing="0" w:after="0" w:afterAutospacing="0" w:line="360" w:lineRule="auto"/>
        <w:ind w:firstLine="720"/>
        <w:jc w:val="both"/>
      </w:pPr>
      <w:r w:rsidRPr="0066109C">
        <w:t>Table Number 5 delineates the scheme-wise allocation for 2024-25, indicating that MGNREGS receives the largest allocation at Rs 86,000 crore. This figure corresponds to the updated forecast for 2023-24. In 2023-24, the allocation for the scheme is projected to rise by 43% compared to the budget projection. In the fiscal year 2024-25, the Pradhan Mantri Awas Yojana receives the second largest allocation of Rs 84,671 crore, reflecting a 56.5% increase from the revised projection of 2023-24. In 2023-24, the spending for the project is anticipated to be 32% lower than the budget estimates. This was primarily due to the rural component underperforming relative to initial projections. The allocation for 2024-25 is Rs 5,038 crore (6.4%) greater than the budget estimates for 2023-24 due to an increased allocation for the urban component of the scheme.</w:t>
      </w:r>
    </w:p>
    <w:p w:rsidR="00FA01F6" w:rsidRPr="0066109C" w:rsidRDefault="00FA01F6" w:rsidP="0066109C">
      <w:pPr>
        <w:pStyle w:val="NormalWeb"/>
        <w:shd w:val="clear" w:color="auto" w:fill="FFFFFF"/>
        <w:spacing w:before="0" w:beforeAutospacing="0" w:after="0" w:line="360" w:lineRule="auto"/>
        <w:jc w:val="both"/>
        <w:rPr>
          <w:b/>
        </w:rPr>
      </w:pPr>
      <w:r w:rsidRPr="0066109C">
        <w:rPr>
          <w:b/>
        </w:rPr>
        <w:t>Budget Highlights</w:t>
      </w:r>
    </w:p>
    <w:p w:rsidR="00FA01F6" w:rsidRPr="0066109C" w:rsidRDefault="00FA01F6" w:rsidP="00FA01F6">
      <w:pPr>
        <w:pStyle w:val="NormalWeb"/>
        <w:shd w:val="clear" w:color="auto" w:fill="FFFFFF"/>
        <w:spacing w:before="0" w:beforeAutospacing="0" w:after="0" w:line="360" w:lineRule="auto"/>
        <w:ind w:firstLine="720"/>
        <w:jc w:val="both"/>
      </w:pPr>
      <w:r w:rsidRPr="0066109C">
        <w:rPr>
          <w:b/>
        </w:rPr>
        <w:t xml:space="preserve">Expenditure: </w:t>
      </w:r>
      <w:r w:rsidRPr="0066109C">
        <w:t xml:space="preserve">The government is projected to allocate Rs 48,20,512 crore in 2024-25, reflecting an 8.5% increase over the actual expenditure of 2023-24. Interest payments constitute 24% of total expenditure and 37% of revenue receipts. In 2024-25, receipts (excluding borrowings) are projected to be Rs 32,07,200 crore, reflecting a 15% increase compared to the </w:t>
      </w:r>
      <w:r w:rsidRPr="0066109C">
        <w:lastRenderedPageBreak/>
        <w:t>collections in 2023-24. Tax revenue, a significant component of the collections, is anticipated to rise by 11% compared to the receipts in 2023-24.  The government projects a nominal GDP growth rate of 10.5% for 2024-25, encompassing both real growth and inflation. The revenue deficit for 2024-25 is projected to be 1.8% of GDP. This figure is inferior to the real revenue deficit of 2.6% of GDP for the fiscal year 2023-24. The fiscal deficit for 2024-25 is aimed at 4.9% of GDP, a reduction from the actual fiscal deficit of 5.6% of GDP in 2023-24.</w:t>
      </w:r>
    </w:p>
    <w:p w:rsidR="00FA01F6" w:rsidRPr="0066109C" w:rsidRDefault="00FA01F6" w:rsidP="00224B81">
      <w:pPr>
        <w:pStyle w:val="NormalWeb"/>
        <w:shd w:val="clear" w:color="auto" w:fill="FFFFFF"/>
        <w:spacing w:before="0" w:beforeAutospacing="0" w:after="0" w:line="360" w:lineRule="auto"/>
        <w:ind w:firstLine="720"/>
        <w:jc w:val="both"/>
      </w:pPr>
      <w:r w:rsidRPr="0066109C">
        <w:rPr>
          <w:b/>
        </w:rPr>
        <w:t>New Initiatives</w:t>
      </w:r>
      <w:r w:rsidRPr="0066109C">
        <w:t>: An allocation of Rs 62,593 crore has been designated for the Department of Economic Affairs for new initiatives (details unavailable). The allocation pertains to capital spending and constitutes 6.8% of the total capital expenditures.</w:t>
      </w:r>
      <w:r w:rsidRPr="0066109C">
        <w:rPr>
          <w:b/>
        </w:rPr>
        <w:t xml:space="preserve"> </w:t>
      </w:r>
    </w:p>
    <w:p w:rsidR="00F17CDA" w:rsidRPr="0066109C" w:rsidRDefault="00F17CDA" w:rsidP="00FA01F6">
      <w:pPr>
        <w:pStyle w:val="NormalWeb"/>
        <w:shd w:val="clear" w:color="auto" w:fill="FFFFFF"/>
        <w:spacing w:before="0" w:beforeAutospacing="0" w:after="0" w:afterAutospacing="0" w:line="360" w:lineRule="auto"/>
        <w:jc w:val="both"/>
        <w:rPr>
          <w:b/>
        </w:rPr>
      </w:pPr>
      <w:r w:rsidRPr="0066109C">
        <w:rPr>
          <w:b/>
        </w:rPr>
        <w:t xml:space="preserve">Conclusion </w:t>
      </w:r>
    </w:p>
    <w:p w:rsidR="00FA01F6" w:rsidRPr="0066109C" w:rsidRDefault="00FA01F6" w:rsidP="00FA01F6">
      <w:pPr>
        <w:pStyle w:val="NormalWeb"/>
        <w:shd w:val="clear" w:color="auto" w:fill="FFFFFF"/>
        <w:spacing w:before="0" w:beforeAutospacing="0" w:after="0" w:afterAutospacing="0" w:line="360" w:lineRule="auto"/>
        <w:ind w:firstLine="720"/>
        <w:jc w:val="both"/>
        <w:rPr>
          <w:rFonts w:eastAsiaTheme="minorEastAsia"/>
        </w:rPr>
      </w:pPr>
      <w:r w:rsidRPr="0066109C">
        <w:rPr>
          <w:rFonts w:eastAsiaTheme="minorEastAsia"/>
        </w:rPr>
        <w:t xml:space="preserve">The budget prioritized 'employment' and 'Ease of Doing Business' in India, featuring policies like a thorough review of the Income-tax Act, an amnesty policy for income tax, restricted reassessment reopening, and incentives for enterprises to generate jobs. It also recommended a streamlined structure for Foreign Direct Investment and Overseas Investment, facilitating foreign investments and the utilization of the Indian Rupee for international transactions. Focusing on the Budget topic, Finance Minister </w:t>
      </w:r>
      <w:proofErr w:type="spellStart"/>
      <w:r w:rsidRPr="0066109C">
        <w:rPr>
          <w:rFonts w:eastAsiaTheme="minorEastAsia"/>
        </w:rPr>
        <w:t>Smt</w:t>
      </w:r>
      <w:proofErr w:type="spellEnd"/>
      <w:r w:rsidRPr="0066109C">
        <w:rPr>
          <w:rFonts w:eastAsiaTheme="minorEastAsia"/>
        </w:rPr>
        <w:t xml:space="preserve"> Sitharaman stated that, looking into the full year and beyond, this budget emphasizes employment, skill development, MSMEs, and the middle class. She unveiled the Prime Minister's plan comprising five projects designed to promote employment, skill development, and additional possibilities for 4.1 crore youngsters over a five-year span, with a government allocation of ₹2 lakh crore. This year, ₹1.48 lakh crore has been designated for education, employment, and skill development.</w:t>
      </w:r>
    </w:p>
    <w:p w:rsidR="00B2072D" w:rsidRPr="0066109C" w:rsidRDefault="002D73AE" w:rsidP="00FA01F6">
      <w:pPr>
        <w:pStyle w:val="NormalWeb"/>
        <w:shd w:val="clear" w:color="auto" w:fill="FFFFFF"/>
        <w:spacing w:before="0" w:beforeAutospacing="0" w:after="240" w:afterAutospacing="0"/>
        <w:rPr>
          <w:b/>
        </w:rPr>
      </w:pPr>
      <w:r w:rsidRPr="0066109C">
        <w:rPr>
          <w:b/>
        </w:rPr>
        <w:t xml:space="preserve">Reference </w:t>
      </w:r>
    </w:p>
    <w:p w:rsidR="002D73AE" w:rsidRPr="0066109C" w:rsidRDefault="002D73AE" w:rsidP="00B83A39">
      <w:pPr>
        <w:shd w:val="clear" w:color="auto" w:fill="FFFFFF"/>
        <w:spacing w:after="0" w:line="360" w:lineRule="auto"/>
        <w:jc w:val="both"/>
        <w:rPr>
          <w:rFonts w:ascii="Times New Roman" w:eastAsia="Times New Roman" w:hAnsi="Times New Roman" w:cs="Times New Roman"/>
          <w:b/>
          <w:iCs/>
          <w:sz w:val="24"/>
          <w:szCs w:val="24"/>
        </w:rPr>
      </w:pPr>
      <w:r w:rsidRPr="0066109C">
        <w:rPr>
          <w:rFonts w:ascii="Times New Roman" w:eastAsia="Times New Roman" w:hAnsi="Times New Roman" w:cs="Times New Roman"/>
          <w:b/>
          <w:iCs/>
          <w:sz w:val="24"/>
          <w:szCs w:val="24"/>
        </w:rPr>
        <w:t xml:space="preserve">Website </w:t>
      </w:r>
    </w:p>
    <w:p w:rsidR="009E77BA" w:rsidRPr="0066109C" w:rsidRDefault="00513031" w:rsidP="00513031">
      <w:pPr>
        <w:pStyle w:val="ListParagraph"/>
        <w:numPr>
          <w:ilvl w:val="0"/>
          <w:numId w:val="2"/>
        </w:numPr>
        <w:shd w:val="clear" w:color="auto" w:fill="FFFFFF"/>
        <w:spacing w:after="0" w:line="360" w:lineRule="auto"/>
        <w:jc w:val="both"/>
        <w:rPr>
          <w:rFonts w:ascii="Times New Roman" w:eastAsia="Times New Roman" w:hAnsi="Times New Roman" w:cs="Times New Roman"/>
          <w:sz w:val="24"/>
          <w:szCs w:val="24"/>
        </w:rPr>
      </w:pPr>
      <w:r w:rsidRPr="0066109C">
        <w:rPr>
          <w:rFonts w:ascii="Times New Roman" w:eastAsia="Times New Roman" w:hAnsi="Times New Roman" w:cs="Times New Roman"/>
          <w:sz w:val="24"/>
          <w:szCs w:val="24"/>
        </w:rPr>
        <w:t>https://www.india-briefing.com/news/indias-union-budget-2024-25-key-announcements-33723.html/#:~:text=Effective%20capital%20expenditure%20is%20estimated,trillion%20(US%24575%20billion)</w:t>
      </w:r>
      <w:r w:rsidR="009E77BA" w:rsidRPr="0066109C">
        <w:rPr>
          <w:rFonts w:ascii="Times New Roman" w:eastAsia="Times New Roman" w:hAnsi="Times New Roman" w:cs="Times New Roman"/>
          <w:sz w:val="24"/>
          <w:szCs w:val="24"/>
        </w:rPr>
        <w:t>.</w:t>
      </w:r>
    </w:p>
    <w:p w:rsidR="00513031" w:rsidRPr="0066109C" w:rsidRDefault="00783B6E" w:rsidP="00513031">
      <w:pPr>
        <w:pStyle w:val="ListParagraph"/>
        <w:numPr>
          <w:ilvl w:val="0"/>
          <w:numId w:val="2"/>
        </w:numPr>
        <w:shd w:val="clear" w:color="auto" w:fill="FFFFFF"/>
        <w:spacing w:after="0" w:line="360" w:lineRule="auto"/>
        <w:jc w:val="both"/>
        <w:rPr>
          <w:rFonts w:ascii="Times New Roman" w:eastAsia="Times New Roman" w:hAnsi="Times New Roman" w:cs="Times New Roman"/>
          <w:sz w:val="24"/>
          <w:szCs w:val="24"/>
        </w:rPr>
      </w:pPr>
      <w:r w:rsidRPr="0066109C">
        <w:rPr>
          <w:rFonts w:ascii="Times New Roman" w:eastAsia="Times New Roman" w:hAnsi="Times New Roman" w:cs="Times New Roman"/>
          <w:sz w:val="24"/>
          <w:szCs w:val="24"/>
        </w:rPr>
        <w:t>https://www.pib.gov.in/PressReleasePage.aspx?PRID=2035618#:~:text=The%20Finance%20Minister%20informed%20that,4.9%20per%20cent%20of%20GDP</w:t>
      </w:r>
      <w:r w:rsidR="00182275" w:rsidRPr="0066109C">
        <w:rPr>
          <w:rFonts w:ascii="Times New Roman" w:eastAsia="Times New Roman" w:hAnsi="Times New Roman" w:cs="Times New Roman"/>
          <w:sz w:val="24"/>
          <w:szCs w:val="24"/>
        </w:rPr>
        <w:t>.</w:t>
      </w:r>
    </w:p>
    <w:p w:rsidR="00783B6E" w:rsidRPr="0066109C" w:rsidRDefault="00FB434C" w:rsidP="00513031">
      <w:pPr>
        <w:pStyle w:val="ListParagraph"/>
        <w:numPr>
          <w:ilvl w:val="0"/>
          <w:numId w:val="2"/>
        </w:numPr>
        <w:shd w:val="clear" w:color="auto" w:fill="FFFFFF"/>
        <w:spacing w:after="0" w:line="360" w:lineRule="auto"/>
        <w:jc w:val="both"/>
        <w:rPr>
          <w:rFonts w:ascii="Times New Roman" w:eastAsia="Times New Roman" w:hAnsi="Times New Roman" w:cs="Times New Roman"/>
          <w:sz w:val="24"/>
          <w:szCs w:val="24"/>
        </w:rPr>
      </w:pPr>
      <w:r w:rsidRPr="0066109C">
        <w:rPr>
          <w:rFonts w:ascii="Times New Roman" w:eastAsia="Times New Roman" w:hAnsi="Times New Roman" w:cs="Times New Roman"/>
          <w:sz w:val="24"/>
          <w:szCs w:val="24"/>
        </w:rPr>
        <w:t xml:space="preserve">https://kpmg.com/in/en/home/services/tax/india-union-budget-2024-25.html </w:t>
      </w:r>
    </w:p>
    <w:p w:rsidR="00FB434C" w:rsidRPr="0066109C" w:rsidRDefault="00FB434C" w:rsidP="00FB434C">
      <w:pPr>
        <w:shd w:val="clear" w:color="auto" w:fill="FFFFFF"/>
        <w:spacing w:after="0" w:line="360" w:lineRule="auto"/>
        <w:jc w:val="both"/>
        <w:rPr>
          <w:rFonts w:ascii="Times New Roman" w:eastAsia="Times New Roman" w:hAnsi="Times New Roman" w:cs="Times New Roman"/>
          <w:b/>
          <w:sz w:val="24"/>
          <w:szCs w:val="24"/>
        </w:rPr>
      </w:pPr>
      <w:r w:rsidRPr="0066109C">
        <w:rPr>
          <w:rFonts w:ascii="Times New Roman" w:eastAsia="Times New Roman" w:hAnsi="Times New Roman" w:cs="Times New Roman"/>
          <w:b/>
          <w:sz w:val="24"/>
          <w:szCs w:val="24"/>
        </w:rPr>
        <w:t xml:space="preserve">Journals </w:t>
      </w:r>
    </w:p>
    <w:p w:rsidR="000A11CF" w:rsidRPr="0066109C" w:rsidRDefault="000A11CF" w:rsidP="000A11CF">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lastRenderedPageBreak/>
        <w:t>Hitesh I. Bhatia (2016). Decoding the structure of India’s union budget.</w:t>
      </w:r>
      <w:r w:rsidR="00F27E26" w:rsidRPr="0066109C">
        <w:rPr>
          <w:rFonts w:ascii="Times New Roman" w:hAnsi="Times New Roman" w:cs="Times New Roman"/>
          <w:sz w:val="24"/>
          <w:szCs w:val="24"/>
        </w:rPr>
        <w:t xml:space="preserve"> </w:t>
      </w:r>
      <w:r w:rsidRPr="0066109C">
        <w:rPr>
          <w:rFonts w:ascii="Times New Roman" w:hAnsi="Times New Roman" w:cs="Times New Roman"/>
          <w:sz w:val="24"/>
          <w:szCs w:val="24"/>
        </w:rPr>
        <w:t>Journal of Commerce and Accounting Research Volume 5 Issue 1, pp 23-30.</w:t>
      </w:r>
    </w:p>
    <w:p w:rsidR="000A11CF" w:rsidRPr="0066109C" w:rsidRDefault="000A11CF" w:rsidP="000A11CF">
      <w:pPr>
        <w:pStyle w:val="Heading2"/>
        <w:numPr>
          <w:ilvl w:val="0"/>
          <w:numId w:val="6"/>
        </w:numPr>
        <w:shd w:val="clear" w:color="auto" w:fill="FFFFFF"/>
        <w:spacing w:before="0" w:beforeAutospacing="0" w:after="0" w:afterAutospacing="0" w:line="360" w:lineRule="auto"/>
        <w:rPr>
          <w:b w:val="0"/>
          <w:sz w:val="24"/>
          <w:szCs w:val="24"/>
        </w:rPr>
      </w:pPr>
      <w:r w:rsidRPr="0066109C">
        <w:rPr>
          <w:b w:val="0"/>
          <w:sz w:val="24"/>
          <w:szCs w:val="24"/>
        </w:rPr>
        <w:t>Kirti Makwana</w:t>
      </w:r>
      <w:r w:rsidRPr="0066109C">
        <w:rPr>
          <w:b w:val="0"/>
          <w:bCs w:val="0"/>
          <w:sz w:val="24"/>
          <w:szCs w:val="24"/>
        </w:rPr>
        <w:t xml:space="preserve"> (2024). </w:t>
      </w:r>
      <w:r w:rsidRPr="0066109C">
        <w:rPr>
          <w:b w:val="0"/>
          <w:sz w:val="24"/>
          <w:szCs w:val="24"/>
        </w:rPr>
        <w:t xml:space="preserve">A Textual Data Analysis of the Union Budget of India. </w:t>
      </w:r>
      <w:r w:rsidRPr="0066109C">
        <w:rPr>
          <w:b w:val="0"/>
          <w:bCs w:val="0"/>
          <w:sz w:val="24"/>
          <w:szCs w:val="24"/>
          <w:shd w:val="clear" w:color="auto" w:fill="FFFFFF"/>
        </w:rPr>
        <w:t>Indian Journal of Science and Technology, Volume</w:t>
      </w:r>
      <w:r w:rsidRPr="0066109C">
        <w:rPr>
          <w:b w:val="0"/>
          <w:sz w:val="24"/>
          <w:szCs w:val="24"/>
          <w:shd w:val="clear" w:color="auto" w:fill="FFFFFF"/>
        </w:rPr>
        <w:t>: 17, </w:t>
      </w:r>
      <w:r w:rsidRPr="0066109C">
        <w:rPr>
          <w:b w:val="0"/>
          <w:bCs w:val="0"/>
          <w:sz w:val="24"/>
          <w:szCs w:val="24"/>
          <w:shd w:val="clear" w:color="auto" w:fill="FFFFFF"/>
        </w:rPr>
        <w:t>Issue</w:t>
      </w:r>
      <w:r w:rsidRPr="0066109C">
        <w:rPr>
          <w:b w:val="0"/>
          <w:sz w:val="24"/>
          <w:szCs w:val="24"/>
          <w:shd w:val="clear" w:color="auto" w:fill="FFFFFF"/>
        </w:rPr>
        <w:t>: 5, </w:t>
      </w:r>
      <w:r w:rsidRPr="0066109C">
        <w:rPr>
          <w:b w:val="0"/>
          <w:bCs w:val="0"/>
          <w:sz w:val="24"/>
          <w:szCs w:val="24"/>
          <w:shd w:val="clear" w:color="auto" w:fill="FFFFFF"/>
        </w:rPr>
        <w:t>Pages</w:t>
      </w:r>
      <w:r w:rsidRPr="0066109C">
        <w:rPr>
          <w:b w:val="0"/>
          <w:sz w:val="24"/>
          <w:szCs w:val="24"/>
          <w:shd w:val="clear" w:color="auto" w:fill="FFFFFF"/>
        </w:rPr>
        <w:t>: 478-486.</w:t>
      </w:r>
    </w:p>
    <w:p w:rsidR="000A11CF" w:rsidRPr="0066109C" w:rsidRDefault="000A11CF" w:rsidP="000A11CF">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66109C">
        <w:rPr>
          <w:rFonts w:ascii="Times New Roman" w:hAnsi="Times New Roman" w:cs="Times New Roman"/>
          <w:sz w:val="24"/>
          <w:szCs w:val="24"/>
        </w:rPr>
        <w:t>Neelam Kaushal (2021). Communicating Five-Year Budgets for the Indian Economy: Comparative Text and Sentiment Analysis, Journal of Content, Community &amp; Communication, Vol. 14, p 133-144.</w:t>
      </w:r>
    </w:p>
    <w:p w:rsidR="000A11CF" w:rsidRPr="0066109C" w:rsidRDefault="000A11CF" w:rsidP="000A11CF">
      <w:pPr>
        <w:pStyle w:val="ListParagraph"/>
        <w:numPr>
          <w:ilvl w:val="0"/>
          <w:numId w:val="6"/>
        </w:numPr>
        <w:shd w:val="clear" w:color="auto" w:fill="FFFFFF"/>
        <w:spacing w:after="0" w:line="360" w:lineRule="auto"/>
        <w:jc w:val="both"/>
        <w:rPr>
          <w:rFonts w:ascii="Times New Roman" w:hAnsi="Times New Roman" w:cs="Times New Roman"/>
          <w:bCs/>
          <w:sz w:val="24"/>
          <w:szCs w:val="24"/>
        </w:rPr>
      </w:pPr>
      <w:r w:rsidRPr="0066109C">
        <w:rPr>
          <w:rFonts w:ascii="Times New Roman" w:hAnsi="Times New Roman" w:cs="Times New Roman"/>
          <w:bCs/>
          <w:sz w:val="24"/>
          <w:szCs w:val="24"/>
        </w:rPr>
        <w:t xml:space="preserve">Ramalingam and Kamaraj (2023). Implementation </w:t>
      </w:r>
      <w:r w:rsidR="00F27E26" w:rsidRPr="0066109C">
        <w:rPr>
          <w:rFonts w:ascii="Times New Roman" w:hAnsi="Times New Roman" w:cs="Times New Roman"/>
          <w:bCs/>
          <w:sz w:val="24"/>
          <w:szCs w:val="24"/>
        </w:rPr>
        <w:t>of</w:t>
      </w:r>
      <w:r w:rsidRPr="0066109C">
        <w:rPr>
          <w:rFonts w:ascii="Times New Roman" w:hAnsi="Times New Roman" w:cs="Times New Roman"/>
          <w:bCs/>
          <w:sz w:val="24"/>
          <w:szCs w:val="24"/>
        </w:rPr>
        <w:t xml:space="preserve"> Indian Union Budget 2023-2024- An Overview. </w:t>
      </w:r>
      <w:proofErr w:type="spellStart"/>
      <w:r w:rsidRPr="0066109C">
        <w:rPr>
          <w:rFonts w:ascii="Times New Roman" w:hAnsi="Times New Roman" w:cs="Times New Roman"/>
          <w:bCs/>
          <w:sz w:val="24"/>
          <w:szCs w:val="24"/>
        </w:rPr>
        <w:t>Dogo</w:t>
      </w:r>
      <w:proofErr w:type="spellEnd"/>
      <w:r w:rsidRPr="0066109C">
        <w:rPr>
          <w:rFonts w:ascii="Times New Roman" w:hAnsi="Times New Roman" w:cs="Times New Roman"/>
          <w:bCs/>
          <w:sz w:val="24"/>
          <w:szCs w:val="24"/>
        </w:rPr>
        <w:t xml:space="preserve"> </w:t>
      </w:r>
      <w:proofErr w:type="spellStart"/>
      <w:r w:rsidRPr="0066109C">
        <w:rPr>
          <w:rFonts w:ascii="Times New Roman" w:hAnsi="Times New Roman" w:cs="Times New Roman"/>
          <w:bCs/>
          <w:sz w:val="24"/>
          <w:szCs w:val="24"/>
        </w:rPr>
        <w:t>Rangsang</w:t>
      </w:r>
      <w:proofErr w:type="spellEnd"/>
      <w:r w:rsidRPr="0066109C">
        <w:rPr>
          <w:rFonts w:ascii="Times New Roman" w:hAnsi="Times New Roman" w:cs="Times New Roman"/>
          <w:bCs/>
          <w:sz w:val="24"/>
          <w:szCs w:val="24"/>
        </w:rPr>
        <w:t xml:space="preserve"> Research Journal, Vol-13, Issue-2, No. 5, pp 166-170.</w:t>
      </w:r>
    </w:p>
    <w:p w:rsidR="000A11CF" w:rsidRPr="0066109C" w:rsidRDefault="000A11CF" w:rsidP="000A11CF">
      <w:pPr>
        <w:shd w:val="clear" w:color="auto" w:fill="FFFFFF"/>
        <w:spacing w:after="0" w:line="360" w:lineRule="auto"/>
        <w:jc w:val="both"/>
        <w:rPr>
          <w:rFonts w:ascii="Times New Roman" w:hAnsi="Times New Roman" w:cs="Times New Roman"/>
          <w:sz w:val="24"/>
          <w:szCs w:val="24"/>
        </w:rPr>
      </w:pPr>
    </w:p>
    <w:p w:rsidR="00282F5E" w:rsidRPr="0066109C" w:rsidRDefault="00282F5E" w:rsidP="00FB434C">
      <w:pPr>
        <w:shd w:val="clear" w:color="auto" w:fill="FFFFFF"/>
        <w:spacing w:after="0" w:line="360" w:lineRule="auto"/>
        <w:jc w:val="both"/>
        <w:rPr>
          <w:rFonts w:ascii="Times New Roman" w:eastAsia="Times New Roman" w:hAnsi="Times New Roman" w:cs="Times New Roman"/>
          <w:sz w:val="24"/>
          <w:szCs w:val="24"/>
        </w:rPr>
      </w:pPr>
    </w:p>
    <w:p w:rsidR="00513031" w:rsidRPr="0066109C" w:rsidRDefault="00513031" w:rsidP="00B83A39">
      <w:pPr>
        <w:shd w:val="clear" w:color="auto" w:fill="FFFFFF"/>
        <w:spacing w:after="0" w:line="360" w:lineRule="auto"/>
        <w:jc w:val="both"/>
        <w:rPr>
          <w:rFonts w:ascii="Times New Roman" w:eastAsia="Times New Roman" w:hAnsi="Times New Roman" w:cs="Times New Roman"/>
          <w:sz w:val="24"/>
          <w:szCs w:val="24"/>
        </w:rPr>
      </w:pPr>
    </w:p>
    <w:p w:rsidR="009E77BA" w:rsidRPr="0066109C" w:rsidRDefault="009E77BA" w:rsidP="00B83A39">
      <w:pPr>
        <w:spacing w:line="360" w:lineRule="auto"/>
        <w:jc w:val="both"/>
        <w:rPr>
          <w:rFonts w:ascii="Times New Roman" w:hAnsi="Times New Roman" w:cs="Times New Roman"/>
        </w:rPr>
      </w:pPr>
    </w:p>
    <w:sectPr w:rsidR="009E77BA" w:rsidRPr="0066109C" w:rsidSect="00454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26F4"/>
    <w:multiLevelType w:val="hybridMultilevel"/>
    <w:tmpl w:val="5750F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D1D31"/>
    <w:multiLevelType w:val="hybridMultilevel"/>
    <w:tmpl w:val="4DAC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3721E"/>
    <w:multiLevelType w:val="hybridMultilevel"/>
    <w:tmpl w:val="66AA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16DAC"/>
    <w:multiLevelType w:val="hybridMultilevel"/>
    <w:tmpl w:val="934421B6"/>
    <w:lvl w:ilvl="0" w:tplc="FA66C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CF43DE"/>
    <w:multiLevelType w:val="hybridMultilevel"/>
    <w:tmpl w:val="609A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74455"/>
    <w:multiLevelType w:val="hybridMultilevel"/>
    <w:tmpl w:val="4CB8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068309">
    <w:abstractNumId w:val="2"/>
  </w:num>
  <w:num w:numId="2" w16cid:durableId="1710059710">
    <w:abstractNumId w:val="5"/>
  </w:num>
  <w:num w:numId="3" w16cid:durableId="2057655978">
    <w:abstractNumId w:val="1"/>
  </w:num>
  <w:num w:numId="4" w16cid:durableId="278994936">
    <w:abstractNumId w:val="4"/>
  </w:num>
  <w:num w:numId="5" w16cid:durableId="902527222">
    <w:abstractNumId w:val="3"/>
  </w:num>
  <w:num w:numId="6" w16cid:durableId="40665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A"/>
    <w:rsid w:val="00004FB9"/>
    <w:rsid w:val="00017830"/>
    <w:rsid w:val="00075277"/>
    <w:rsid w:val="00082C4F"/>
    <w:rsid w:val="000A11CF"/>
    <w:rsid w:val="000D5C97"/>
    <w:rsid w:val="000D7CA7"/>
    <w:rsid w:val="00100A74"/>
    <w:rsid w:val="00100E9F"/>
    <w:rsid w:val="001261F8"/>
    <w:rsid w:val="001634C0"/>
    <w:rsid w:val="00182275"/>
    <w:rsid w:val="001E1AA8"/>
    <w:rsid w:val="001F01DE"/>
    <w:rsid w:val="001F2B38"/>
    <w:rsid w:val="0022279D"/>
    <w:rsid w:val="00224B81"/>
    <w:rsid w:val="00242871"/>
    <w:rsid w:val="00251DF6"/>
    <w:rsid w:val="00282F5E"/>
    <w:rsid w:val="002C53DA"/>
    <w:rsid w:val="002D3ABE"/>
    <w:rsid w:val="002D5172"/>
    <w:rsid w:val="002D73AE"/>
    <w:rsid w:val="002E4F75"/>
    <w:rsid w:val="00307C3B"/>
    <w:rsid w:val="00344D10"/>
    <w:rsid w:val="00354D9F"/>
    <w:rsid w:val="00355EF2"/>
    <w:rsid w:val="00371990"/>
    <w:rsid w:val="00382B23"/>
    <w:rsid w:val="003B2D1F"/>
    <w:rsid w:val="003E5AAF"/>
    <w:rsid w:val="00414835"/>
    <w:rsid w:val="004165AB"/>
    <w:rsid w:val="00431D25"/>
    <w:rsid w:val="00446D6F"/>
    <w:rsid w:val="004547A9"/>
    <w:rsid w:val="00483277"/>
    <w:rsid w:val="004902B4"/>
    <w:rsid w:val="004A26B9"/>
    <w:rsid w:val="004D5670"/>
    <w:rsid w:val="00513031"/>
    <w:rsid w:val="00514F9D"/>
    <w:rsid w:val="00540396"/>
    <w:rsid w:val="00570225"/>
    <w:rsid w:val="00587277"/>
    <w:rsid w:val="005A53E0"/>
    <w:rsid w:val="005F0560"/>
    <w:rsid w:val="00611E78"/>
    <w:rsid w:val="00654688"/>
    <w:rsid w:val="0066109C"/>
    <w:rsid w:val="00664016"/>
    <w:rsid w:val="00681F99"/>
    <w:rsid w:val="00694F7D"/>
    <w:rsid w:val="006B018F"/>
    <w:rsid w:val="006C7A26"/>
    <w:rsid w:val="006E1466"/>
    <w:rsid w:val="006E4698"/>
    <w:rsid w:val="0077732D"/>
    <w:rsid w:val="00783B6E"/>
    <w:rsid w:val="007B33A7"/>
    <w:rsid w:val="007E27CD"/>
    <w:rsid w:val="007E3EF8"/>
    <w:rsid w:val="00833F53"/>
    <w:rsid w:val="008462B4"/>
    <w:rsid w:val="00851A55"/>
    <w:rsid w:val="00864664"/>
    <w:rsid w:val="00890950"/>
    <w:rsid w:val="00893159"/>
    <w:rsid w:val="00902518"/>
    <w:rsid w:val="009832DD"/>
    <w:rsid w:val="009873B8"/>
    <w:rsid w:val="00990095"/>
    <w:rsid w:val="00993FB0"/>
    <w:rsid w:val="009D019F"/>
    <w:rsid w:val="009E77BA"/>
    <w:rsid w:val="009F349D"/>
    <w:rsid w:val="00A318BD"/>
    <w:rsid w:val="00A350E5"/>
    <w:rsid w:val="00A5330F"/>
    <w:rsid w:val="00A73E2A"/>
    <w:rsid w:val="00A90763"/>
    <w:rsid w:val="00AB5396"/>
    <w:rsid w:val="00B12F53"/>
    <w:rsid w:val="00B1522C"/>
    <w:rsid w:val="00B2072D"/>
    <w:rsid w:val="00B66202"/>
    <w:rsid w:val="00B83A39"/>
    <w:rsid w:val="00B912C6"/>
    <w:rsid w:val="00B95484"/>
    <w:rsid w:val="00BB7A1A"/>
    <w:rsid w:val="00BF2433"/>
    <w:rsid w:val="00BF6907"/>
    <w:rsid w:val="00C07BA4"/>
    <w:rsid w:val="00C20635"/>
    <w:rsid w:val="00C33F8C"/>
    <w:rsid w:val="00C504C6"/>
    <w:rsid w:val="00C5124C"/>
    <w:rsid w:val="00C521B4"/>
    <w:rsid w:val="00C66F69"/>
    <w:rsid w:val="00CB2691"/>
    <w:rsid w:val="00CC6263"/>
    <w:rsid w:val="00CD24B1"/>
    <w:rsid w:val="00D04932"/>
    <w:rsid w:val="00D1736F"/>
    <w:rsid w:val="00D42984"/>
    <w:rsid w:val="00D4445D"/>
    <w:rsid w:val="00D533B3"/>
    <w:rsid w:val="00D556F3"/>
    <w:rsid w:val="00D976C0"/>
    <w:rsid w:val="00DB23D3"/>
    <w:rsid w:val="00DB34C6"/>
    <w:rsid w:val="00DD2497"/>
    <w:rsid w:val="00DD2A18"/>
    <w:rsid w:val="00DE79E7"/>
    <w:rsid w:val="00E11A9F"/>
    <w:rsid w:val="00E247E8"/>
    <w:rsid w:val="00E251F4"/>
    <w:rsid w:val="00E352F9"/>
    <w:rsid w:val="00E4372B"/>
    <w:rsid w:val="00E4394A"/>
    <w:rsid w:val="00E54BEF"/>
    <w:rsid w:val="00E74AA4"/>
    <w:rsid w:val="00E76EAE"/>
    <w:rsid w:val="00EA48A5"/>
    <w:rsid w:val="00EA680D"/>
    <w:rsid w:val="00EC24B3"/>
    <w:rsid w:val="00EF195C"/>
    <w:rsid w:val="00F17CDA"/>
    <w:rsid w:val="00F23757"/>
    <w:rsid w:val="00F27E26"/>
    <w:rsid w:val="00F93973"/>
    <w:rsid w:val="00FA01F6"/>
    <w:rsid w:val="00FA58B5"/>
    <w:rsid w:val="00FB434C"/>
    <w:rsid w:val="00FD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F31A"/>
  <w15:docId w15:val="{A4D6109C-FA9B-4000-ADBE-F7B25E7F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A9"/>
  </w:style>
  <w:style w:type="paragraph" w:styleId="Heading2">
    <w:name w:val="heading 2"/>
    <w:basedOn w:val="Normal"/>
    <w:link w:val="Heading2Char"/>
    <w:uiPriority w:val="9"/>
    <w:qFormat/>
    <w:rsid w:val="000A1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7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77BA"/>
    <w:rPr>
      <w:i/>
      <w:iCs/>
    </w:rPr>
  </w:style>
  <w:style w:type="character" w:styleId="Hyperlink">
    <w:name w:val="Hyperlink"/>
    <w:basedOn w:val="DefaultParagraphFont"/>
    <w:uiPriority w:val="99"/>
    <w:unhideWhenUsed/>
    <w:rsid w:val="009E77BA"/>
    <w:rPr>
      <w:color w:val="0000FF" w:themeColor="hyperlink"/>
      <w:u w:val="single"/>
    </w:rPr>
  </w:style>
  <w:style w:type="character" w:customStyle="1" w:styleId="nowrap">
    <w:name w:val="nowrap"/>
    <w:basedOn w:val="DefaultParagraphFont"/>
    <w:rsid w:val="00DD2497"/>
  </w:style>
  <w:style w:type="table" w:styleId="TableGrid">
    <w:name w:val="Table Grid"/>
    <w:basedOn w:val="TableNormal"/>
    <w:uiPriority w:val="59"/>
    <w:rsid w:val="00C33F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873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3031"/>
    <w:pPr>
      <w:ind w:left="720"/>
      <w:contextualSpacing/>
    </w:pPr>
  </w:style>
  <w:style w:type="character" w:customStyle="1" w:styleId="Heading2Char">
    <w:name w:val="Heading 2 Char"/>
    <w:basedOn w:val="DefaultParagraphFont"/>
    <w:link w:val="Heading2"/>
    <w:uiPriority w:val="9"/>
    <w:rsid w:val="000A11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30">
      <w:bodyDiv w:val="1"/>
      <w:marLeft w:val="0"/>
      <w:marRight w:val="0"/>
      <w:marTop w:val="0"/>
      <w:marBottom w:val="0"/>
      <w:divBdr>
        <w:top w:val="none" w:sz="0" w:space="0" w:color="auto"/>
        <w:left w:val="none" w:sz="0" w:space="0" w:color="auto"/>
        <w:bottom w:val="none" w:sz="0" w:space="0" w:color="auto"/>
        <w:right w:val="none" w:sz="0" w:space="0" w:color="auto"/>
      </w:divBdr>
    </w:div>
    <w:div w:id="89666772">
      <w:bodyDiv w:val="1"/>
      <w:marLeft w:val="0"/>
      <w:marRight w:val="0"/>
      <w:marTop w:val="0"/>
      <w:marBottom w:val="0"/>
      <w:divBdr>
        <w:top w:val="none" w:sz="0" w:space="0" w:color="auto"/>
        <w:left w:val="none" w:sz="0" w:space="0" w:color="auto"/>
        <w:bottom w:val="none" w:sz="0" w:space="0" w:color="auto"/>
        <w:right w:val="none" w:sz="0" w:space="0" w:color="auto"/>
      </w:divBdr>
    </w:div>
    <w:div w:id="133908062">
      <w:bodyDiv w:val="1"/>
      <w:marLeft w:val="0"/>
      <w:marRight w:val="0"/>
      <w:marTop w:val="0"/>
      <w:marBottom w:val="0"/>
      <w:divBdr>
        <w:top w:val="none" w:sz="0" w:space="0" w:color="auto"/>
        <w:left w:val="none" w:sz="0" w:space="0" w:color="auto"/>
        <w:bottom w:val="none" w:sz="0" w:space="0" w:color="auto"/>
        <w:right w:val="none" w:sz="0" w:space="0" w:color="auto"/>
      </w:divBdr>
    </w:div>
    <w:div w:id="205021951">
      <w:bodyDiv w:val="1"/>
      <w:marLeft w:val="0"/>
      <w:marRight w:val="0"/>
      <w:marTop w:val="0"/>
      <w:marBottom w:val="0"/>
      <w:divBdr>
        <w:top w:val="none" w:sz="0" w:space="0" w:color="auto"/>
        <w:left w:val="none" w:sz="0" w:space="0" w:color="auto"/>
        <w:bottom w:val="none" w:sz="0" w:space="0" w:color="auto"/>
        <w:right w:val="none" w:sz="0" w:space="0" w:color="auto"/>
      </w:divBdr>
    </w:div>
    <w:div w:id="240987283">
      <w:bodyDiv w:val="1"/>
      <w:marLeft w:val="0"/>
      <w:marRight w:val="0"/>
      <w:marTop w:val="0"/>
      <w:marBottom w:val="0"/>
      <w:divBdr>
        <w:top w:val="none" w:sz="0" w:space="0" w:color="auto"/>
        <w:left w:val="none" w:sz="0" w:space="0" w:color="auto"/>
        <w:bottom w:val="none" w:sz="0" w:space="0" w:color="auto"/>
        <w:right w:val="none" w:sz="0" w:space="0" w:color="auto"/>
      </w:divBdr>
    </w:div>
    <w:div w:id="342123450">
      <w:bodyDiv w:val="1"/>
      <w:marLeft w:val="0"/>
      <w:marRight w:val="0"/>
      <w:marTop w:val="0"/>
      <w:marBottom w:val="0"/>
      <w:divBdr>
        <w:top w:val="none" w:sz="0" w:space="0" w:color="auto"/>
        <w:left w:val="none" w:sz="0" w:space="0" w:color="auto"/>
        <w:bottom w:val="none" w:sz="0" w:space="0" w:color="auto"/>
        <w:right w:val="none" w:sz="0" w:space="0" w:color="auto"/>
      </w:divBdr>
    </w:div>
    <w:div w:id="355275021">
      <w:bodyDiv w:val="1"/>
      <w:marLeft w:val="0"/>
      <w:marRight w:val="0"/>
      <w:marTop w:val="0"/>
      <w:marBottom w:val="0"/>
      <w:divBdr>
        <w:top w:val="none" w:sz="0" w:space="0" w:color="auto"/>
        <w:left w:val="none" w:sz="0" w:space="0" w:color="auto"/>
        <w:bottom w:val="none" w:sz="0" w:space="0" w:color="auto"/>
        <w:right w:val="none" w:sz="0" w:space="0" w:color="auto"/>
      </w:divBdr>
    </w:div>
    <w:div w:id="654840697">
      <w:bodyDiv w:val="1"/>
      <w:marLeft w:val="0"/>
      <w:marRight w:val="0"/>
      <w:marTop w:val="0"/>
      <w:marBottom w:val="0"/>
      <w:divBdr>
        <w:top w:val="none" w:sz="0" w:space="0" w:color="auto"/>
        <w:left w:val="none" w:sz="0" w:space="0" w:color="auto"/>
        <w:bottom w:val="none" w:sz="0" w:space="0" w:color="auto"/>
        <w:right w:val="none" w:sz="0" w:space="0" w:color="auto"/>
      </w:divBdr>
    </w:div>
    <w:div w:id="864295168">
      <w:bodyDiv w:val="1"/>
      <w:marLeft w:val="0"/>
      <w:marRight w:val="0"/>
      <w:marTop w:val="0"/>
      <w:marBottom w:val="0"/>
      <w:divBdr>
        <w:top w:val="none" w:sz="0" w:space="0" w:color="auto"/>
        <w:left w:val="none" w:sz="0" w:space="0" w:color="auto"/>
        <w:bottom w:val="none" w:sz="0" w:space="0" w:color="auto"/>
        <w:right w:val="none" w:sz="0" w:space="0" w:color="auto"/>
      </w:divBdr>
    </w:div>
    <w:div w:id="957297740">
      <w:bodyDiv w:val="1"/>
      <w:marLeft w:val="0"/>
      <w:marRight w:val="0"/>
      <w:marTop w:val="0"/>
      <w:marBottom w:val="0"/>
      <w:divBdr>
        <w:top w:val="none" w:sz="0" w:space="0" w:color="auto"/>
        <w:left w:val="none" w:sz="0" w:space="0" w:color="auto"/>
        <w:bottom w:val="none" w:sz="0" w:space="0" w:color="auto"/>
        <w:right w:val="none" w:sz="0" w:space="0" w:color="auto"/>
      </w:divBdr>
    </w:div>
    <w:div w:id="1032926411">
      <w:bodyDiv w:val="1"/>
      <w:marLeft w:val="0"/>
      <w:marRight w:val="0"/>
      <w:marTop w:val="0"/>
      <w:marBottom w:val="0"/>
      <w:divBdr>
        <w:top w:val="none" w:sz="0" w:space="0" w:color="auto"/>
        <w:left w:val="none" w:sz="0" w:space="0" w:color="auto"/>
        <w:bottom w:val="none" w:sz="0" w:space="0" w:color="auto"/>
        <w:right w:val="none" w:sz="0" w:space="0" w:color="auto"/>
      </w:divBdr>
    </w:div>
    <w:div w:id="1104113096">
      <w:bodyDiv w:val="1"/>
      <w:marLeft w:val="0"/>
      <w:marRight w:val="0"/>
      <w:marTop w:val="0"/>
      <w:marBottom w:val="0"/>
      <w:divBdr>
        <w:top w:val="none" w:sz="0" w:space="0" w:color="auto"/>
        <w:left w:val="none" w:sz="0" w:space="0" w:color="auto"/>
        <w:bottom w:val="none" w:sz="0" w:space="0" w:color="auto"/>
        <w:right w:val="none" w:sz="0" w:space="0" w:color="auto"/>
      </w:divBdr>
    </w:div>
    <w:div w:id="1122528820">
      <w:bodyDiv w:val="1"/>
      <w:marLeft w:val="0"/>
      <w:marRight w:val="0"/>
      <w:marTop w:val="0"/>
      <w:marBottom w:val="0"/>
      <w:divBdr>
        <w:top w:val="none" w:sz="0" w:space="0" w:color="auto"/>
        <w:left w:val="none" w:sz="0" w:space="0" w:color="auto"/>
        <w:bottom w:val="none" w:sz="0" w:space="0" w:color="auto"/>
        <w:right w:val="none" w:sz="0" w:space="0" w:color="auto"/>
      </w:divBdr>
    </w:div>
    <w:div w:id="1132139726">
      <w:bodyDiv w:val="1"/>
      <w:marLeft w:val="0"/>
      <w:marRight w:val="0"/>
      <w:marTop w:val="0"/>
      <w:marBottom w:val="0"/>
      <w:divBdr>
        <w:top w:val="none" w:sz="0" w:space="0" w:color="auto"/>
        <w:left w:val="none" w:sz="0" w:space="0" w:color="auto"/>
        <w:bottom w:val="none" w:sz="0" w:space="0" w:color="auto"/>
        <w:right w:val="none" w:sz="0" w:space="0" w:color="auto"/>
      </w:divBdr>
    </w:div>
    <w:div w:id="1305424907">
      <w:bodyDiv w:val="1"/>
      <w:marLeft w:val="0"/>
      <w:marRight w:val="0"/>
      <w:marTop w:val="0"/>
      <w:marBottom w:val="0"/>
      <w:divBdr>
        <w:top w:val="none" w:sz="0" w:space="0" w:color="auto"/>
        <w:left w:val="none" w:sz="0" w:space="0" w:color="auto"/>
        <w:bottom w:val="none" w:sz="0" w:space="0" w:color="auto"/>
        <w:right w:val="none" w:sz="0" w:space="0" w:color="auto"/>
      </w:divBdr>
    </w:div>
    <w:div w:id="1312367783">
      <w:bodyDiv w:val="1"/>
      <w:marLeft w:val="0"/>
      <w:marRight w:val="0"/>
      <w:marTop w:val="0"/>
      <w:marBottom w:val="0"/>
      <w:divBdr>
        <w:top w:val="none" w:sz="0" w:space="0" w:color="auto"/>
        <w:left w:val="none" w:sz="0" w:space="0" w:color="auto"/>
        <w:bottom w:val="none" w:sz="0" w:space="0" w:color="auto"/>
        <w:right w:val="none" w:sz="0" w:space="0" w:color="auto"/>
      </w:divBdr>
    </w:div>
    <w:div w:id="1423919152">
      <w:bodyDiv w:val="1"/>
      <w:marLeft w:val="0"/>
      <w:marRight w:val="0"/>
      <w:marTop w:val="0"/>
      <w:marBottom w:val="0"/>
      <w:divBdr>
        <w:top w:val="none" w:sz="0" w:space="0" w:color="auto"/>
        <w:left w:val="none" w:sz="0" w:space="0" w:color="auto"/>
        <w:bottom w:val="none" w:sz="0" w:space="0" w:color="auto"/>
        <w:right w:val="none" w:sz="0" w:space="0" w:color="auto"/>
      </w:divBdr>
    </w:div>
    <w:div w:id="1466771978">
      <w:bodyDiv w:val="1"/>
      <w:marLeft w:val="0"/>
      <w:marRight w:val="0"/>
      <w:marTop w:val="0"/>
      <w:marBottom w:val="0"/>
      <w:divBdr>
        <w:top w:val="none" w:sz="0" w:space="0" w:color="auto"/>
        <w:left w:val="none" w:sz="0" w:space="0" w:color="auto"/>
        <w:bottom w:val="none" w:sz="0" w:space="0" w:color="auto"/>
        <w:right w:val="none" w:sz="0" w:space="0" w:color="auto"/>
      </w:divBdr>
    </w:div>
    <w:div w:id="1499075294">
      <w:bodyDiv w:val="1"/>
      <w:marLeft w:val="0"/>
      <w:marRight w:val="0"/>
      <w:marTop w:val="0"/>
      <w:marBottom w:val="0"/>
      <w:divBdr>
        <w:top w:val="none" w:sz="0" w:space="0" w:color="auto"/>
        <w:left w:val="none" w:sz="0" w:space="0" w:color="auto"/>
        <w:bottom w:val="none" w:sz="0" w:space="0" w:color="auto"/>
        <w:right w:val="none" w:sz="0" w:space="0" w:color="auto"/>
      </w:divBdr>
    </w:div>
    <w:div w:id="1522813306">
      <w:bodyDiv w:val="1"/>
      <w:marLeft w:val="0"/>
      <w:marRight w:val="0"/>
      <w:marTop w:val="0"/>
      <w:marBottom w:val="0"/>
      <w:divBdr>
        <w:top w:val="none" w:sz="0" w:space="0" w:color="auto"/>
        <w:left w:val="none" w:sz="0" w:space="0" w:color="auto"/>
        <w:bottom w:val="none" w:sz="0" w:space="0" w:color="auto"/>
        <w:right w:val="none" w:sz="0" w:space="0" w:color="auto"/>
      </w:divBdr>
    </w:div>
    <w:div w:id="1534614691">
      <w:bodyDiv w:val="1"/>
      <w:marLeft w:val="0"/>
      <w:marRight w:val="0"/>
      <w:marTop w:val="0"/>
      <w:marBottom w:val="0"/>
      <w:divBdr>
        <w:top w:val="none" w:sz="0" w:space="0" w:color="auto"/>
        <w:left w:val="none" w:sz="0" w:space="0" w:color="auto"/>
        <w:bottom w:val="none" w:sz="0" w:space="0" w:color="auto"/>
        <w:right w:val="none" w:sz="0" w:space="0" w:color="auto"/>
      </w:divBdr>
    </w:div>
    <w:div w:id="1651128168">
      <w:bodyDiv w:val="1"/>
      <w:marLeft w:val="0"/>
      <w:marRight w:val="0"/>
      <w:marTop w:val="0"/>
      <w:marBottom w:val="0"/>
      <w:divBdr>
        <w:top w:val="none" w:sz="0" w:space="0" w:color="auto"/>
        <w:left w:val="none" w:sz="0" w:space="0" w:color="auto"/>
        <w:bottom w:val="none" w:sz="0" w:space="0" w:color="auto"/>
        <w:right w:val="none" w:sz="0" w:space="0" w:color="auto"/>
      </w:divBdr>
    </w:div>
    <w:div w:id="1661230833">
      <w:bodyDiv w:val="1"/>
      <w:marLeft w:val="0"/>
      <w:marRight w:val="0"/>
      <w:marTop w:val="0"/>
      <w:marBottom w:val="0"/>
      <w:divBdr>
        <w:top w:val="none" w:sz="0" w:space="0" w:color="auto"/>
        <w:left w:val="none" w:sz="0" w:space="0" w:color="auto"/>
        <w:bottom w:val="none" w:sz="0" w:space="0" w:color="auto"/>
        <w:right w:val="none" w:sz="0" w:space="0" w:color="auto"/>
      </w:divBdr>
    </w:div>
    <w:div w:id="1674184359">
      <w:bodyDiv w:val="1"/>
      <w:marLeft w:val="0"/>
      <w:marRight w:val="0"/>
      <w:marTop w:val="0"/>
      <w:marBottom w:val="0"/>
      <w:divBdr>
        <w:top w:val="none" w:sz="0" w:space="0" w:color="auto"/>
        <w:left w:val="none" w:sz="0" w:space="0" w:color="auto"/>
        <w:bottom w:val="none" w:sz="0" w:space="0" w:color="auto"/>
        <w:right w:val="none" w:sz="0" w:space="0" w:color="auto"/>
      </w:divBdr>
    </w:div>
    <w:div w:id="1723288672">
      <w:bodyDiv w:val="1"/>
      <w:marLeft w:val="0"/>
      <w:marRight w:val="0"/>
      <w:marTop w:val="0"/>
      <w:marBottom w:val="0"/>
      <w:divBdr>
        <w:top w:val="none" w:sz="0" w:space="0" w:color="auto"/>
        <w:left w:val="none" w:sz="0" w:space="0" w:color="auto"/>
        <w:bottom w:val="none" w:sz="0" w:space="0" w:color="auto"/>
        <w:right w:val="none" w:sz="0" w:space="0" w:color="auto"/>
      </w:divBdr>
    </w:div>
    <w:div w:id="1889948345">
      <w:bodyDiv w:val="1"/>
      <w:marLeft w:val="0"/>
      <w:marRight w:val="0"/>
      <w:marTop w:val="0"/>
      <w:marBottom w:val="0"/>
      <w:divBdr>
        <w:top w:val="none" w:sz="0" w:space="0" w:color="auto"/>
        <w:left w:val="none" w:sz="0" w:space="0" w:color="auto"/>
        <w:bottom w:val="none" w:sz="0" w:space="0" w:color="auto"/>
        <w:right w:val="none" w:sz="0" w:space="0" w:color="auto"/>
      </w:divBdr>
    </w:div>
    <w:div w:id="1979794710">
      <w:bodyDiv w:val="1"/>
      <w:marLeft w:val="0"/>
      <w:marRight w:val="0"/>
      <w:marTop w:val="0"/>
      <w:marBottom w:val="0"/>
      <w:divBdr>
        <w:top w:val="none" w:sz="0" w:space="0" w:color="auto"/>
        <w:left w:val="none" w:sz="0" w:space="0" w:color="auto"/>
        <w:bottom w:val="none" w:sz="0" w:space="0" w:color="auto"/>
        <w:right w:val="none" w:sz="0" w:space="0" w:color="auto"/>
      </w:divBdr>
    </w:div>
    <w:div w:id="2063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Kamaraj R</cp:lastModifiedBy>
  <cp:revision>2</cp:revision>
  <dcterms:created xsi:type="dcterms:W3CDTF">2024-11-21T09:24:00Z</dcterms:created>
  <dcterms:modified xsi:type="dcterms:W3CDTF">2024-11-21T09:24:00Z</dcterms:modified>
</cp:coreProperties>
</file>