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84" w:rsidRDefault="00985C84" w:rsidP="00985C84">
      <w:pPr>
        <w:jc w:val="center"/>
        <w:rPr>
          <w:b/>
          <w:sz w:val="30"/>
          <w:szCs w:val="30"/>
        </w:rPr>
      </w:pPr>
      <w:proofErr w:type="spellStart"/>
      <w:r>
        <w:rPr>
          <w:b/>
          <w:sz w:val="30"/>
          <w:szCs w:val="30"/>
        </w:rPr>
        <w:t>Neoadjuvant</w:t>
      </w:r>
      <w:proofErr w:type="spellEnd"/>
      <w:r>
        <w:rPr>
          <w:b/>
          <w:sz w:val="30"/>
          <w:szCs w:val="30"/>
        </w:rPr>
        <w:t xml:space="preserve"> chemotherapy followed by concurrent </w:t>
      </w:r>
      <w:proofErr w:type="spellStart"/>
      <w:r>
        <w:rPr>
          <w:b/>
          <w:sz w:val="30"/>
          <w:szCs w:val="30"/>
        </w:rPr>
        <w:t>chemoradiotherapy</w:t>
      </w:r>
      <w:proofErr w:type="spellEnd"/>
      <w:r>
        <w:rPr>
          <w:b/>
          <w:sz w:val="30"/>
          <w:szCs w:val="30"/>
        </w:rPr>
        <w:t xml:space="preserve"> for </w:t>
      </w:r>
      <w:proofErr w:type="spellStart"/>
      <w:r>
        <w:rPr>
          <w:b/>
          <w:sz w:val="30"/>
          <w:szCs w:val="30"/>
        </w:rPr>
        <w:t>locoregionally</w:t>
      </w:r>
      <w:proofErr w:type="spellEnd"/>
      <w:r>
        <w:rPr>
          <w:b/>
          <w:sz w:val="30"/>
          <w:szCs w:val="30"/>
        </w:rPr>
        <w:t xml:space="preserve"> advanced nasopharyngeal carcinoma: </w:t>
      </w:r>
    </w:p>
    <w:p w:rsidR="00985C84" w:rsidRDefault="00985C84" w:rsidP="00985C84">
      <w:pPr>
        <w:jc w:val="center"/>
        <w:rPr>
          <w:b/>
          <w:sz w:val="30"/>
          <w:szCs w:val="30"/>
        </w:rPr>
      </w:pPr>
      <w:r>
        <w:rPr>
          <w:b/>
          <w:sz w:val="30"/>
          <w:szCs w:val="30"/>
        </w:rPr>
        <w:t xml:space="preserve">The national institute of oncology’s </w:t>
      </w:r>
      <w:r w:rsidR="0050118E">
        <w:rPr>
          <w:b/>
          <w:sz w:val="30"/>
          <w:szCs w:val="30"/>
        </w:rPr>
        <w:t>experience, RABAT</w:t>
      </w:r>
      <w:r>
        <w:rPr>
          <w:b/>
          <w:sz w:val="30"/>
          <w:szCs w:val="30"/>
        </w:rPr>
        <w:t xml:space="preserve">, Morocco </w:t>
      </w:r>
    </w:p>
    <w:p w:rsidR="003103E6" w:rsidRPr="00985C84" w:rsidRDefault="003103E6" w:rsidP="003103E6">
      <w:pPr>
        <w:jc w:val="center"/>
        <w:rPr>
          <w:b/>
          <w:bCs/>
          <w:sz w:val="28"/>
          <w:szCs w:val="28"/>
        </w:rPr>
      </w:pPr>
    </w:p>
    <w:p w:rsidR="003103E6" w:rsidRDefault="003103E6" w:rsidP="003103E6">
      <w:pPr>
        <w:jc w:val="center"/>
        <w:rPr>
          <w:color w:val="000000"/>
        </w:rPr>
      </w:pPr>
      <w:r>
        <w:rPr>
          <w:rStyle w:val="mdc-typography--body1"/>
          <w:rFonts w:ascii="Arial" w:hAnsi="Arial" w:cs="Arial"/>
          <w:color w:val="000000"/>
          <w:spacing w:val="7"/>
          <w:u w:val="single"/>
        </w:rPr>
        <w:t>Sara Abdou</w:t>
      </w:r>
      <w:r>
        <w:rPr>
          <w:color w:val="000000"/>
          <w:vertAlign w:val="superscript"/>
        </w:rPr>
        <w:t>1,2</w:t>
      </w:r>
      <w:r>
        <w:rPr>
          <w:rStyle w:val="mdc-typography--body1"/>
          <w:rFonts w:ascii="Arial" w:hAnsi="Arial" w:cs="Arial"/>
          <w:color w:val="000000"/>
          <w:spacing w:val="7"/>
        </w:rPr>
        <w:t xml:space="preserve">,  </w:t>
      </w:r>
      <w:proofErr w:type="spellStart"/>
      <w:r>
        <w:rPr>
          <w:rStyle w:val="mdc-typography--body1"/>
          <w:rFonts w:ascii="Arial" w:hAnsi="Arial" w:cs="Arial"/>
          <w:color w:val="000000"/>
          <w:spacing w:val="7"/>
        </w:rPr>
        <w:t>Mouna</w:t>
      </w:r>
      <w:proofErr w:type="spellEnd"/>
      <w:r>
        <w:rPr>
          <w:rStyle w:val="mdc-typography--body1"/>
          <w:rFonts w:ascii="Arial" w:hAnsi="Arial" w:cs="Arial"/>
          <w:color w:val="000000"/>
          <w:spacing w:val="7"/>
        </w:rPr>
        <w:t xml:space="preserve"> Taouchikht</w:t>
      </w:r>
      <w:r>
        <w:rPr>
          <w:color w:val="000000"/>
          <w:vertAlign w:val="superscript"/>
        </w:rPr>
        <w:t>1,2</w:t>
      </w:r>
      <w:r>
        <w:rPr>
          <w:rStyle w:val="mdc-typography--body1"/>
          <w:rFonts w:ascii="Arial" w:hAnsi="Arial" w:cs="Arial"/>
          <w:color w:val="000000"/>
          <w:spacing w:val="7"/>
        </w:rPr>
        <w:t>, </w:t>
      </w:r>
      <w:proofErr w:type="spellStart"/>
      <w:r>
        <w:rPr>
          <w:rStyle w:val="mdc-typography--body1"/>
          <w:rFonts w:ascii="Arial" w:hAnsi="Arial" w:cs="Arial"/>
          <w:color w:val="000000"/>
          <w:spacing w:val="7"/>
        </w:rPr>
        <w:t>Houda</w:t>
      </w:r>
      <w:proofErr w:type="spellEnd"/>
      <w:r>
        <w:rPr>
          <w:rStyle w:val="mdc-typography--body1"/>
          <w:rFonts w:ascii="Arial" w:hAnsi="Arial" w:cs="Arial"/>
          <w:color w:val="000000"/>
          <w:spacing w:val="7"/>
        </w:rPr>
        <w:t xml:space="preserve"> Fares</w:t>
      </w:r>
      <w:r>
        <w:rPr>
          <w:color w:val="000000"/>
          <w:vertAlign w:val="superscript"/>
        </w:rPr>
        <w:t>1,2</w:t>
      </w:r>
      <w:r>
        <w:rPr>
          <w:rStyle w:val="mdc-typography--body1"/>
          <w:rFonts w:ascii="Arial" w:hAnsi="Arial" w:cs="Arial"/>
          <w:color w:val="000000"/>
          <w:spacing w:val="7"/>
        </w:rPr>
        <w:t>, </w:t>
      </w:r>
      <w:proofErr w:type="spellStart"/>
      <w:r>
        <w:rPr>
          <w:rStyle w:val="mdc-typography--body1"/>
          <w:rFonts w:ascii="Arial" w:hAnsi="Arial" w:cs="Arial"/>
          <w:color w:val="000000"/>
          <w:spacing w:val="7"/>
        </w:rPr>
        <w:t>Imane</w:t>
      </w:r>
      <w:proofErr w:type="spellEnd"/>
      <w:r>
        <w:rPr>
          <w:rStyle w:val="mdc-typography--body1"/>
          <w:rFonts w:ascii="Arial" w:hAnsi="Arial" w:cs="Arial"/>
          <w:color w:val="000000"/>
          <w:spacing w:val="7"/>
        </w:rPr>
        <w:t xml:space="preserve"> Hassnaoui</w:t>
      </w:r>
      <w:r>
        <w:rPr>
          <w:color w:val="000000"/>
          <w:vertAlign w:val="superscript"/>
        </w:rPr>
        <w:t>1,2</w:t>
      </w:r>
      <w:r>
        <w:rPr>
          <w:rStyle w:val="mdc-typography--body1"/>
          <w:rFonts w:ascii="Arial" w:hAnsi="Arial" w:cs="Arial"/>
          <w:color w:val="000000"/>
          <w:spacing w:val="7"/>
        </w:rPr>
        <w:t>, Edith Tatiana Ngbwa</w:t>
      </w:r>
      <w:r>
        <w:rPr>
          <w:color w:val="000000"/>
          <w:vertAlign w:val="superscript"/>
        </w:rPr>
        <w:t>1,2</w:t>
      </w:r>
      <w:r>
        <w:rPr>
          <w:rStyle w:val="mdc-typography--body1"/>
          <w:rFonts w:ascii="Arial" w:hAnsi="Arial" w:cs="Arial"/>
          <w:color w:val="000000"/>
          <w:spacing w:val="7"/>
        </w:rPr>
        <w:t>, </w:t>
      </w:r>
      <w:proofErr w:type="spellStart"/>
      <w:r>
        <w:rPr>
          <w:rStyle w:val="mdc-typography--body1"/>
          <w:rFonts w:ascii="Arial" w:hAnsi="Arial" w:cs="Arial"/>
          <w:color w:val="000000"/>
          <w:spacing w:val="7"/>
        </w:rPr>
        <w:t>Karima</w:t>
      </w:r>
      <w:proofErr w:type="spellEnd"/>
      <w:r>
        <w:rPr>
          <w:rStyle w:val="mdc-typography--body1"/>
          <w:rFonts w:ascii="Arial" w:hAnsi="Arial" w:cs="Arial"/>
          <w:color w:val="000000"/>
          <w:spacing w:val="7"/>
        </w:rPr>
        <w:t xml:space="preserve"> Nouni</w:t>
      </w:r>
      <w:r>
        <w:rPr>
          <w:color w:val="000000"/>
          <w:vertAlign w:val="superscript"/>
        </w:rPr>
        <w:t>1,2</w:t>
      </w:r>
      <w:r>
        <w:rPr>
          <w:rStyle w:val="mdc-typography--body1"/>
          <w:rFonts w:ascii="Arial" w:hAnsi="Arial" w:cs="Arial"/>
          <w:color w:val="000000"/>
          <w:spacing w:val="7"/>
        </w:rPr>
        <w:t>, Amine Lachgar</w:t>
      </w:r>
      <w:r>
        <w:rPr>
          <w:color w:val="000000"/>
          <w:vertAlign w:val="superscript"/>
        </w:rPr>
        <w:t>1,2</w:t>
      </w:r>
      <w:r>
        <w:rPr>
          <w:rStyle w:val="mdc-typography--body1"/>
          <w:rFonts w:ascii="Arial" w:hAnsi="Arial" w:cs="Arial"/>
          <w:color w:val="000000"/>
          <w:spacing w:val="7"/>
        </w:rPr>
        <w:t>, </w:t>
      </w:r>
      <w:proofErr w:type="spellStart"/>
      <w:r>
        <w:rPr>
          <w:rStyle w:val="mdc-typography--body1"/>
          <w:rFonts w:ascii="Arial" w:hAnsi="Arial" w:cs="Arial"/>
          <w:color w:val="000000"/>
          <w:spacing w:val="7"/>
        </w:rPr>
        <w:t>Hanan</w:t>
      </w:r>
      <w:proofErr w:type="spellEnd"/>
      <w:r>
        <w:rPr>
          <w:rStyle w:val="mdc-typography--body1"/>
          <w:rFonts w:ascii="Arial" w:hAnsi="Arial" w:cs="Arial"/>
          <w:color w:val="000000"/>
          <w:spacing w:val="7"/>
        </w:rPr>
        <w:t xml:space="preserve"> Elkacemi</w:t>
      </w:r>
      <w:r>
        <w:rPr>
          <w:color w:val="000000"/>
          <w:vertAlign w:val="superscript"/>
        </w:rPr>
        <w:t>1,2</w:t>
      </w:r>
      <w:r>
        <w:rPr>
          <w:rStyle w:val="mdc-typography--body1"/>
          <w:rFonts w:ascii="Arial" w:hAnsi="Arial" w:cs="Arial"/>
          <w:color w:val="000000"/>
          <w:spacing w:val="7"/>
        </w:rPr>
        <w:t>, </w:t>
      </w:r>
      <w:proofErr w:type="spellStart"/>
      <w:r>
        <w:rPr>
          <w:rStyle w:val="mdc-typography--body1"/>
          <w:rFonts w:ascii="Arial" w:hAnsi="Arial" w:cs="Arial"/>
          <w:color w:val="000000"/>
          <w:spacing w:val="7"/>
        </w:rPr>
        <w:t>Tayeb</w:t>
      </w:r>
      <w:proofErr w:type="spellEnd"/>
      <w:r>
        <w:rPr>
          <w:rStyle w:val="mdc-typography--body1"/>
          <w:rFonts w:ascii="Arial" w:hAnsi="Arial" w:cs="Arial"/>
          <w:color w:val="000000"/>
          <w:spacing w:val="7"/>
        </w:rPr>
        <w:t xml:space="preserve"> Kebdani</w:t>
      </w:r>
      <w:r>
        <w:rPr>
          <w:color w:val="000000"/>
          <w:vertAlign w:val="superscript"/>
        </w:rPr>
        <w:t>1,2</w:t>
      </w:r>
      <w:r>
        <w:rPr>
          <w:rStyle w:val="mdc-typography--body1"/>
          <w:rFonts w:ascii="Arial" w:hAnsi="Arial" w:cs="Arial"/>
          <w:color w:val="000000"/>
          <w:spacing w:val="7"/>
        </w:rPr>
        <w:t>, Khalid Hassouni</w:t>
      </w:r>
      <w:r>
        <w:rPr>
          <w:color w:val="000000"/>
          <w:vertAlign w:val="superscript"/>
        </w:rPr>
        <w:t>1,2</w:t>
      </w:r>
    </w:p>
    <w:p w:rsidR="003103E6" w:rsidRDefault="003103E6" w:rsidP="003103E6">
      <w:pPr>
        <w:jc w:val="center"/>
        <w:rPr>
          <w:color w:val="000000"/>
        </w:rPr>
      </w:pPr>
      <w:r>
        <w:rPr>
          <w:color w:val="000000"/>
          <w:vertAlign w:val="superscript"/>
        </w:rPr>
        <w:t>1</w:t>
      </w:r>
      <w:r>
        <w:rPr>
          <w:rStyle w:val="mdc-typography--body1"/>
          <w:rFonts w:ascii="Arial" w:hAnsi="Arial" w:cs="Arial"/>
          <w:color w:val="000000"/>
          <w:spacing w:val="7"/>
        </w:rPr>
        <w:t>national oncology institute, radiotherapy, RABAT, Morocco. </w:t>
      </w:r>
      <w:r>
        <w:rPr>
          <w:color w:val="000000"/>
          <w:vertAlign w:val="superscript"/>
        </w:rPr>
        <w:t>2</w:t>
      </w:r>
      <w:r>
        <w:rPr>
          <w:rStyle w:val="mdc-typography--body1"/>
          <w:rFonts w:ascii="Arial" w:hAnsi="Arial" w:cs="Arial"/>
          <w:color w:val="000000"/>
          <w:spacing w:val="7"/>
        </w:rPr>
        <w:t>faculty of medicine and pharmacy, medicine, RABAT, Morocco</w:t>
      </w:r>
    </w:p>
    <w:p w:rsidR="003103E6" w:rsidRPr="0011695B" w:rsidRDefault="003103E6" w:rsidP="003103E6">
      <w:pPr>
        <w:pStyle w:val="Default"/>
        <w:rPr>
          <w:lang w:val="en-US"/>
        </w:rPr>
      </w:pPr>
    </w:p>
    <w:p w:rsidR="003103E6" w:rsidRPr="00BF30BB" w:rsidRDefault="003103E6" w:rsidP="003103E6">
      <w:pPr>
        <w:pStyle w:val="calibri"/>
        <w:rPr>
          <w:rFonts w:ascii="Calibri" w:hAnsi="Calibri" w:cs="Calibri"/>
          <w:b/>
          <w:bCs/>
          <w:color w:val="000000"/>
          <w:sz w:val="22"/>
          <w:szCs w:val="22"/>
          <w:lang w:val="en-US"/>
        </w:rPr>
      </w:pPr>
      <w:r w:rsidRPr="00BF30BB">
        <w:rPr>
          <w:rFonts w:ascii="Calibri" w:hAnsi="Calibri" w:cs="Calibri"/>
          <w:b/>
          <w:bCs/>
          <w:color w:val="000000"/>
          <w:sz w:val="22"/>
          <w:szCs w:val="22"/>
          <w:lang w:val="en-US"/>
        </w:rPr>
        <w:t xml:space="preserve">Purpose/Objective: </w:t>
      </w:r>
    </w:p>
    <w:p w:rsidR="001A6477" w:rsidRDefault="001A6477" w:rsidP="001A6477">
      <w:pPr>
        <w:pStyle w:val="calibri"/>
        <w:rPr>
          <w:rFonts w:ascii="Calibri" w:hAnsi="Calibri" w:cs="Calibri"/>
          <w:color w:val="000000"/>
          <w:sz w:val="22"/>
          <w:szCs w:val="22"/>
          <w:lang w:val="en-US"/>
        </w:rPr>
      </w:pPr>
      <w:proofErr w:type="spellStart"/>
      <w:r w:rsidRPr="008C610A">
        <w:rPr>
          <w:rFonts w:ascii="Calibri" w:hAnsi="Calibri" w:cs="Calibri"/>
          <w:color w:val="000000"/>
          <w:sz w:val="22"/>
          <w:szCs w:val="22"/>
          <w:lang w:val="en-US"/>
        </w:rPr>
        <w:t>Neoadjuvant</w:t>
      </w:r>
      <w:proofErr w:type="spellEnd"/>
      <w:r w:rsidRPr="008C610A">
        <w:rPr>
          <w:rFonts w:ascii="Calibri" w:hAnsi="Calibri" w:cs="Calibri"/>
          <w:color w:val="000000"/>
          <w:sz w:val="22"/>
          <w:szCs w:val="22"/>
          <w:lang w:val="en-US"/>
        </w:rPr>
        <w:t xml:space="preserve"> chemotherapy followed by concurrent </w:t>
      </w:r>
      <w:proofErr w:type="spellStart"/>
      <w:r w:rsidRPr="008C610A">
        <w:rPr>
          <w:rFonts w:ascii="Calibri" w:hAnsi="Calibri" w:cs="Calibri"/>
          <w:color w:val="000000"/>
          <w:sz w:val="22"/>
          <w:szCs w:val="22"/>
          <w:lang w:val="en-US"/>
        </w:rPr>
        <w:t>chemoradiotherapy</w:t>
      </w:r>
      <w:proofErr w:type="spellEnd"/>
      <w:r w:rsidRPr="008C610A">
        <w:rPr>
          <w:rFonts w:ascii="Calibri" w:hAnsi="Calibri" w:cs="Calibri"/>
          <w:color w:val="000000"/>
          <w:sz w:val="22"/>
          <w:szCs w:val="22"/>
          <w:lang w:val="en-US"/>
        </w:rPr>
        <w:t xml:space="preserve"> (NAC-CCRT) is </w:t>
      </w:r>
      <w:r>
        <w:rPr>
          <w:rFonts w:ascii="Calibri" w:hAnsi="Calibri" w:cs="Calibri"/>
          <w:color w:val="000000"/>
          <w:sz w:val="22"/>
          <w:szCs w:val="22"/>
          <w:lang w:val="en-US"/>
        </w:rPr>
        <w:t>a standard</w:t>
      </w:r>
      <w:r w:rsidRPr="008C610A">
        <w:rPr>
          <w:rFonts w:ascii="Calibri" w:hAnsi="Calibri" w:cs="Calibri"/>
          <w:color w:val="000000"/>
          <w:sz w:val="22"/>
          <w:szCs w:val="22"/>
          <w:lang w:val="en-US"/>
        </w:rPr>
        <w:t xml:space="preserve"> strategy for decreasing tumor size and controlling </w:t>
      </w:r>
      <w:proofErr w:type="spellStart"/>
      <w:r w:rsidRPr="008C610A">
        <w:rPr>
          <w:rFonts w:ascii="Calibri" w:hAnsi="Calibri" w:cs="Calibri"/>
          <w:color w:val="000000"/>
          <w:sz w:val="22"/>
          <w:szCs w:val="22"/>
          <w:lang w:val="en-US"/>
        </w:rPr>
        <w:t>micrometastases</w:t>
      </w:r>
      <w:proofErr w:type="spellEnd"/>
      <w:r>
        <w:rPr>
          <w:rFonts w:ascii="Calibri" w:hAnsi="Calibri" w:cs="Calibri"/>
          <w:color w:val="000000"/>
          <w:sz w:val="22"/>
          <w:szCs w:val="22"/>
          <w:lang w:val="en-US"/>
        </w:rPr>
        <w:t xml:space="preserve"> before main treatment for patients with locally </w:t>
      </w:r>
      <w:proofErr w:type="gramStart"/>
      <w:r>
        <w:rPr>
          <w:rFonts w:ascii="Calibri" w:hAnsi="Calibri" w:cs="Calibri"/>
          <w:color w:val="000000"/>
          <w:sz w:val="22"/>
          <w:szCs w:val="22"/>
          <w:lang w:val="en-US"/>
        </w:rPr>
        <w:t>advanced  nasopharyngeal</w:t>
      </w:r>
      <w:proofErr w:type="gramEnd"/>
      <w:r>
        <w:rPr>
          <w:rFonts w:ascii="Calibri" w:hAnsi="Calibri" w:cs="Calibri"/>
          <w:color w:val="000000"/>
          <w:sz w:val="22"/>
          <w:szCs w:val="22"/>
          <w:lang w:val="en-US"/>
        </w:rPr>
        <w:t xml:space="preserve"> carcinoma. </w:t>
      </w:r>
    </w:p>
    <w:p w:rsidR="003103E6" w:rsidRPr="001A6477" w:rsidRDefault="001A6477" w:rsidP="001A6477">
      <w:r>
        <w:t xml:space="preserve">The aim of our study is to determine the recurrence free survival and overall survival, and </w:t>
      </w:r>
      <w:r w:rsidR="003103E6" w:rsidRPr="0011695B">
        <w:rPr>
          <w:rFonts w:ascii="Calibri" w:hAnsi="Calibri" w:cs="Calibri"/>
          <w:color w:val="000000"/>
          <w:lang w:val="en-US"/>
        </w:rPr>
        <w:t xml:space="preserve">to investigate the occurrence of radiotherapy-induced </w:t>
      </w:r>
      <w:proofErr w:type="spellStart"/>
      <w:r w:rsidR="003103E6" w:rsidRPr="0011695B">
        <w:rPr>
          <w:rFonts w:ascii="Calibri" w:hAnsi="Calibri" w:cs="Calibri"/>
          <w:color w:val="000000"/>
          <w:lang w:val="en-US"/>
        </w:rPr>
        <w:t>mucositis</w:t>
      </w:r>
      <w:proofErr w:type="spellEnd"/>
      <w:r w:rsidR="003103E6" w:rsidRPr="0011695B">
        <w:rPr>
          <w:rFonts w:ascii="Calibri" w:hAnsi="Calibri" w:cs="Calibri"/>
          <w:color w:val="000000"/>
          <w:lang w:val="en-US"/>
        </w:rPr>
        <w:t xml:space="preserve"> and </w:t>
      </w:r>
      <w:proofErr w:type="spellStart"/>
      <w:r w:rsidR="003103E6" w:rsidRPr="0011695B">
        <w:rPr>
          <w:rFonts w:ascii="Calibri" w:hAnsi="Calibri" w:cs="Calibri"/>
          <w:color w:val="000000"/>
          <w:lang w:val="en-US"/>
        </w:rPr>
        <w:t>radiodermatitis</w:t>
      </w:r>
      <w:proofErr w:type="spellEnd"/>
      <w:r w:rsidR="003103E6" w:rsidRPr="0011695B">
        <w:rPr>
          <w:rFonts w:ascii="Calibri" w:hAnsi="Calibri" w:cs="Calibri"/>
          <w:color w:val="000000"/>
          <w:lang w:val="en-US"/>
        </w:rPr>
        <w:t xml:space="preserve"> in patients with nasopharyngeal carcinoma, as well as to identify factors influencing </w:t>
      </w:r>
      <w:proofErr w:type="spellStart"/>
      <w:r w:rsidR="003103E6" w:rsidRPr="0011695B">
        <w:rPr>
          <w:rFonts w:ascii="Calibri" w:hAnsi="Calibri" w:cs="Calibri"/>
          <w:color w:val="000000"/>
          <w:lang w:val="en-US"/>
        </w:rPr>
        <w:t>mucositis</w:t>
      </w:r>
      <w:proofErr w:type="spellEnd"/>
      <w:r w:rsidR="003103E6" w:rsidRPr="0011695B">
        <w:rPr>
          <w:rFonts w:ascii="Calibri" w:hAnsi="Calibri" w:cs="Calibri"/>
          <w:color w:val="000000"/>
          <w:lang w:val="en-US"/>
        </w:rPr>
        <w:t xml:space="preserve"> severity and patient outcomes.</w:t>
      </w:r>
    </w:p>
    <w:p w:rsidR="00985C84" w:rsidRDefault="003103E6" w:rsidP="003103E6">
      <w:pPr>
        <w:pStyle w:val="calibri"/>
        <w:rPr>
          <w:rFonts w:ascii="Calibri" w:hAnsi="Calibri" w:cs="Calibri"/>
          <w:color w:val="000000"/>
          <w:sz w:val="22"/>
          <w:szCs w:val="22"/>
          <w:lang w:val="en-US"/>
        </w:rPr>
      </w:pPr>
      <w:r w:rsidRPr="00985C84">
        <w:rPr>
          <w:rFonts w:ascii="Calibri" w:hAnsi="Calibri" w:cs="Calibri"/>
          <w:b/>
          <w:bCs/>
          <w:color w:val="000000"/>
          <w:sz w:val="22"/>
          <w:szCs w:val="22"/>
          <w:lang w:val="en-US"/>
        </w:rPr>
        <w:t>Material/Methods</w:t>
      </w:r>
      <w:r w:rsidRPr="0011695B">
        <w:rPr>
          <w:rFonts w:ascii="Calibri" w:hAnsi="Calibri" w:cs="Calibri"/>
          <w:color w:val="000000"/>
          <w:sz w:val="22"/>
          <w:szCs w:val="22"/>
          <w:lang w:val="en-US"/>
        </w:rPr>
        <w:t>:</w:t>
      </w:r>
    </w:p>
    <w:p w:rsidR="003103E6" w:rsidRDefault="003103E6" w:rsidP="003103E6">
      <w:pPr>
        <w:pStyle w:val="calibri"/>
        <w:rPr>
          <w:rFonts w:ascii="Calibri" w:hAnsi="Calibri" w:cs="Calibri"/>
          <w:color w:val="000000"/>
          <w:sz w:val="22"/>
          <w:szCs w:val="22"/>
          <w:lang w:val="en-US"/>
        </w:rPr>
      </w:pPr>
      <w:r w:rsidRPr="0011695B">
        <w:rPr>
          <w:rFonts w:ascii="Calibri" w:hAnsi="Calibri" w:cs="Calibri"/>
          <w:color w:val="000000"/>
          <w:sz w:val="22"/>
          <w:szCs w:val="22"/>
          <w:lang w:val="en-US"/>
        </w:rPr>
        <w:t xml:space="preserve"> A retrospective analysis </w:t>
      </w:r>
      <w:proofErr w:type="gramStart"/>
      <w:r w:rsidRPr="0011695B">
        <w:rPr>
          <w:rFonts w:ascii="Calibri" w:hAnsi="Calibri" w:cs="Calibri"/>
          <w:color w:val="000000"/>
          <w:sz w:val="22"/>
          <w:szCs w:val="22"/>
          <w:lang w:val="en-US"/>
        </w:rPr>
        <w:t>was conducted</w:t>
      </w:r>
      <w:proofErr w:type="gramEnd"/>
      <w:r w:rsidRPr="0011695B">
        <w:rPr>
          <w:rFonts w:ascii="Calibri" w:hAnsi="Calibri" w:cs="Calibri"/>
          <w:color w:val="000000"/>
          <w:sz w:val="22"/>
          <w:szCs w:val="22"/>
          <w:lang w:val="en-US"/>
        </w:rPr>
        <w:t xml:space="preserve"> on nasopharyngeal cancer patients treated with VMAT (Volumetric Modulated Arc Therapy) at the Institute of Oncology RABAT between January 2018 and December 2021. Treatment included radiotherapy with or without concurrent systemic therapy.</w:t>
      </w:r>
    </w:p>
    <w:p w:rsidR="007F3ADE" w:rsidRDefault="007F3ADE" w:rsidP="007F3ADE">
      <w:pPr>
        <w:rPr>
          <w:color w:val="040C28"/>
        </w:rPr>
      </w:pPr>
      <w:r>
        <w:t xml:space="preserve">Our study focused on </w:t>
      </w:r>
      <w:proofErr w:type="spellStart"/>
      <w:proofErr w:type="gramStart"/>
      <w:r>
        <w:t>non metastatic</w:t>
      </w:r>
      <w:proofErr w:type="spellEnd"/>
      <w:proofErr w:type="gramEnd"/>
      <w:r>
        <w:t xml:space="preserve"> patients with </w:t>
      </w:r>
      <w:proofErr w:type="spellStart"/>
      <w:r>
        <w:t>locoregionally</w:t>
      </w:r>
      <w:proofErr w:type="spellEnd"/>
      <w:r>
        <w:t xml:space="preserve"> advanced nasopharyngeal carcinoma: T3-T4 with positive nodes</w:t>
      </w:r>
      <w:r>
        <w:rPr>
          <w:color w:val="040C28"/>
        </w:rPr>
        <w:t>.</w:t>
      </w:r>
    </w:p>
    <w:p w:rsidR="007F3ADE" w:rsidRDefault="007F3ADE" w:rsidP="007F3ADE">
      <w:pPr>
        <w:rPr>
          <w:color w:val="040C28"/>
        </w:rPr>
      </w:pPr>
      <w:r>
        <w:rPr>
          <w:color w:val="040C28"/>
        </w:rPr>
        <w:t xml:space="preserve">Treated by induction chemotherapy and concurrent </w:t>
      </w:r>
      <w:proofErr w:type="spellStart"/>
      <w:proofErr w:type="gramStart"/>
      <w:r>
        <w:rPr>
          <w:color w:val="040C28"/>
        </w:rPr>
        <w:t>chemoradiotherapy</w:t>
      </w:r>
      <w:proofErr w:type="spellEnd"/>
      <w:r>
        <w:rPr>
          <w:color w:val="040C28"/>
        </w:rPr>
        <w:t xml:space="preserve"> .</w:t>
      </w:r>
      <w:proofErr w:type="gramEnd"/>
    </w:p>
    <w:p w:rsidR="007F3ADE" w:rsidRDefault="007F3ADE" w:rsidP="007F3ADE">
      <w:pPr>
        <w:rPr>
          <w:color w:val="040C28"/>
        </w:rPr>
      </w:pPr>
      <w:r>
        <w:rPr>
          <w:color w:val="040C28"/>
        </w:rPr>
        <w:t xml:space="preserve">For the induction chemotherapy, patients received </w:t>
      </w:r>
      <w:proofErr w:type="spellStart"/>
      <w:r>
        <w:rPr>
          <w:color w:val="040C28"/>
        </w:rPr>
        <w:t>cisplatin</w:t>
      </w:r>
      <w:proofErr w:type="spellEnd"/>
      <w:r>
        <w:rPr>
          <w:color w:val="040C28"/>
        </w:rPr>
        <w:t xml:space="preserve"> associated to gemcitabine for three cycles.</w:t>
      </w:r>
    </w:p>
    <w:p w:rsidR="007F3ADE" w:rsidRDefault="007F3ADE" w:rsidP="007F3ADE">
      <w:pPr>
        <w:rPr>
          <w:color w:val="040C28"/>
        </w:rPr>
      </w:pPr>
      <w:r>
        <w:rPr>
          <w:color w:val="040C28"/>
        </w:rPr>
        <w:t xml:space="preserve">In concurrent </w:t>
      </w:r>
      <w:proofErr w:type="spellStart"/>
      <w:r>
        <w:rPr>
          <w:color w:val="040C28"/>
        </w:rPr>
        <w:t>chemoradiotherapy</w:t>
      </w:r>
      <w:proofErr w:type="spellEnd"/>
      <w:r>
        <w:rPr>
          <w:color w:val="040C28"/>
        </w:rPr>
        <w:t xml:space="preserve">, total dose was 69,96-70 </w:t>
      </w:r>
      <w:proofErr w:type="spellStart"/>
      <w:r>
        <w:rPr>
          <w:color w:val="040C28"/>
        </w:rPr>
        <w:t>Gray</w:t>
      </w:r>
      <w:proofErr w:type="spellEnd"/>
      <w:r>
        <w:rPr>
          <w:color w:val="040C28"/>
        </w:rPr>
        <w:t xml:space="preserve"> in 33-35 fractions 5 days a week using Volumetric Modulated Arc Therapy (VMAT) plus </w:t>
      </w:r>
      <w:proofErr w:type="spellStart"/>
      <w:r>
        <w:rPr>
          <w:color w:val="040C28"/>
        </w:rPr>
        <w:t>cisplatin</w:t>
      </w:r>
      <w:proofErr w:type="spellEnd"/>
      <w:r>
        <w:rPr>
          <w:color w:val="040C28"/>
        </w:rPr>
        <w:t xml:space="preserve"> weekly at a dose of 40 mg per square meter of body surface.</w:t>
      </w:r>
    </w:p>
    <w:p w:rsidR="007F3ADE" w:rsidRDefault="007F3ADE" w:rsidP="007F3ADE">
      <w:pPr>
        <w:rPr>
          <w:color w:val="040C28"/>
        </w:rPr>
      </w:pPr>
      <w:r>
        <w:rPr>
          <w:color w:val="040C28"/>
        </w:rPr>
        <w:t>Treatment, side effects, loco-regional and distant control and overall survival were collected.</w:t>
      </w:r>
    </w:p>
    <w:p w:rsidR="003F2262" w:rsidRPr="0013640C" w:rsidRDefault="00454460" w:rsidP="0013640C">
      <w:pPr>
        <w:rPr>
          <w:color w:val="040C28"/>
          <w:lang w:val="en-US"/>
        </w:rPr>
      </w:pPr>
      <w:proofErr w:type="spellStart"/>
      <w:r w:rsidRPr="0013640C">
        <w:rPr>
          <w:color w:val="040C28"/>
          <w:lang w:val="en-US"/>
        </w:rPr>
        <w:t>Toxicites</w:t>
      </w:r>
      <w:proofErr w:type="spellEnd"/>
      <w:r w:rsidRPr="0013640C">
        <w:rPr>
          <w:color w:val="040C28"/>
          <w:lang w:val="en-US"/>
        </w:rPr>
        <w:t xml:space="preserve"> were defined according to the common terminology criteria for adverse events </w:t>
      </w:r>
      <w:proofErr w:type="gramStart"/>
      <w:r w:rsidRPr="0013640C">
        <w:rPr>
          <w:color w:val="040C28"/>
          <w:lang w:val="en-US"/>
        </w:rPr>
        <w:t>( CTCAE</w:t>
      </w:r>
      <w:proofErr w:type="gramEnd"/>
      <w:r w:rsidRPr="0013640C">
        <w:rPr>
          <w:color w:val="040C28"/>
          <w:lang w:val="en-US"/>
        </w:rPr>
        <w:t>) version 5.0.</w:t>
      </w:r>
    </w:p>
    <w:p w:rsidR="003F2262" w:rsidRPr="0013640C" w:rsidRDefault="00454460" w:rsidP="0013640C">
      <w:pPr>
        <w:rPr>
          <w:color w:val="040C28"/>
          <w:lang w:val="en-US"/>
        </w:rPr>
      </w:pPr>
      <w:r w:rsidRPr="0013640C">
        <w:rPr>
          <w:color w:val="040C28"/>
          <w:lang w:val="en-US"/>
        </w:rPr>
        <w:t>Patients were under weekly surveillance</w:t>
      </w:r>
      <w:r w:rsidR="0013640C">
        <w:rPr>
          <w:color w:val="040C28"/>
          <w:lang w:val="en-US"/>
        </w:rPr>
        <w:t>.</w:t>
      </w:r>
    </w:p>
    <w:p w:rsidR="003103E6" w:rsidRPr="0011695B" w:rsidRDefault="003103E6" w:rsidP="003103E6">
      <w:pPr>
        <w:pStyle w:val="calibri"/>
        <w:rPr>
          <w:rFonts w:ascii="Calibri" w:hAnsi="Calibri" w:cs="Calibri"/>
          <w:color w:val="000000"/>
          <w:sz w:val="22"/>
          <w:szCs w:val="22"/>
          <w:lang w:val="en-US"/>
        </w:rPr>
      </w:pPr>
    </w:p>
    <w:p w:rsidR="00985C84" w:rsidRPr="00985C84" w:rsidRDefault="003103E6" w:rsidP="003103E6">
      <w:pPr>
        <w:pStyle w:val="calibri"/>
        <w:rPr>
          <w:rFonts w:ascii="Calibri" w:hAnsi="Calibri" w:cs="Calibri"/>
          <w:b/>
          <w:bCs/>
          <w:color w:val="000000"/>
          <w:sz w:val="22"/>
          <w:szCs w:val="22"/>
          <w:lang w:val="en-US"/>
        </w:rPr>
      </w:pPr>
      <w:r w:rsidRPr="00985C84">
        <w:rPr>
          <w:rFonts w:ascii="Calibri" w:hAnsi="Calibri" w:cs="Calibri"/>
          <w:b/>
          <w:bCs/>
          <w:color w:val="000000"/>
          <w:sz w:val="22"/>
          <w:szCs w:val="22"/>
          <w:lang w:val="en-US"/>
        </w:rPr>
        <w:t xml:space="preserve">Results: </w:t>
      </w:r>
    </w:p>
    <w:p w:rsidR="0050118E" w:rsidRDefault="0050118E" w:rsidP="003F2238">
      <w:pPr>
        <w:pStyle w:val="calibri"/>
        <w:rPr>
          <w:rFonts w:ascii="Calibri" w:hAnsi="Calibri" w:cs="Calibri"/>
          <w:color w:val="000000"/>
          <w:sz w:val="22"/>
          <w:szCs w:val="22"/>
          <w:lang w:val="en-US"/>
        </w:rPr>
      </w:pPr>
      <w:proofErr w:type="gramStart"/>
      <w:r w:rsidRPr="0011695B">
        <w:rPr>
          <w:rFonts w:ascii="Calibri" w:hAnsi="Calibri" w:cs="Calibri"/>
          <w:color w:val="000000"/>
          <w:sz w:val="22"/>
          <w:szCs w:val="22"/>
          <w:lang w:val="en-US"/>
        </w:rPr>
        <w:t>257</w:t>
      </w:r>
      <w:proofErr w:type="gramEnd"/>
      <w:r w:rsidR="003103E6" w:rsidRPr="0011695B">
        <w:rPr>
          <w:rFonts w:ascii="Calibri" w:hAnsi="Calibri" w:cs="Calibri"/>
          <w:color w:val="000000"/>
          <w:sz w:val="22"/>
          <w:szCs w:val="22"/>
          <w:lang w:val="en-US"/>
        </w:rPr>
        <w:t xml:space="preserve"> patients were included</w:t>
      </w:r>
      <w:r w:rsidR="003F2238">
        <w:rPr>
          <w:rFonts w:ascii="Calibri" w:hAnsi="Calibri" w:cs="Calibri"/>
          <w:color w:val="000000"/>
          <w:sz w:val="22"/>
          <w:szCs w:val="22"/>
          <w:lang w:val="en-US"/>
        </w:rPr>
        <w:t xml:space="preserve"> in the study</w:t>
      </w:r>
      <w:r w:rsidR="003103E6" w:rsidRPr="0011695B">
        <w:rPr>
          <w:rFonts w:ascii="Calibri" w:hAnsi="Calibri" w:cs="Calibri"/>
          <w:color w:val="000000"/>
          <w:sz w:val="22"/>
          <w:szCs w:val="22"/>
          <w:lang w:val="en-US"/>
        </w:rPr>
        <w:t xml:space="preserve">, comprising 21% elderly and 79% young individuals, with no significant differences in AJCC stage 8th edition distribution. </w:t>
      </w:r>
    </w:p>
    <w:p w:rsidR="0050118E" w:rsidRDefault="0050118E" w:rsidP="003103E6">
      <w:pPr>
        <w:pStyle w:val="calibri"/>
        <w:rPr>
          <w:rFonts w:ascii="Calibri" w:hAnsi="Calibri" w:cs="Calibri"/>
          <w:color w:val="000000"/>
          <w:sz w:val="22"/>
          <w:szCs w:val="22"/>
          <w:lang w:val="en-US"/>
        </w:rPr>
      </w:pPr>
      <w:r w:rsidRPr="0050118E">
        <w:rPr>
          <w:rFonts w:ascii="Calibri" w:hAnsi="Calibri" w:cs="Calibri"/>
          <w:color w:val="000000"/>
          <w:sz w:val="22"/>
          <w:szCs w:val="22"/>
          <w:lang w:val="en-US"/>
        </w:rPr>
        <w:t>We had 61</w:t>
      </w:r>
      <w:proofErr w:type="gramStart"/>
      <w:r w:rsidRPr="0050118E">
        <w:rPr>
          <w:rFonts w:ascii="Calibri" w:hAnsi="Calibri" w:cs="Calibri"/>
          <w:color w:val="000000"/>
          <w:sz w:val="22"/>
          <w:szCs w:val="22"/>
          <w:lang w:val="en-US"/>
        </w:rPr>
        <w:t>,4</w:t>
      </w:r>
      <w:proofErr w:type="gramEnd"/>
      <w:r w:rsidRPr="0050118E">
        <w:rPr>
          <w:rFonts w:ascii="Calibri" w:hAnsi="Calibri" w:cs="Calibri"/>
          <w:color w:val="000000"/>
          <w:sz w:val="22"/>
          <w:szCs w:val="22"/>
          <w:lang w:val="en-US"/>
        </w:rPr>
        <w:t xml:space="preserve">% of men </w:t>
      </w:r>
      <w:proofErr w:type="spellStart"/>
      <w:r w:rsidRPr="0050118E">
        <w:rPr>
          <w:rFonts w:ascii="Calibri" w:hAnsi="Calibri" w:cs="Calibri"/>
          <w:color w:val="000000"/>
          <w:sz w:val="22"/>
          <w:szCs w:val="22"/>
          <w:lang w:val="en-US"/>
        </w:rPr>
        <w:t>vs</w:t>
      </w:r>
      <w:proofErr w:type="spellEnd"/>
      <w:r w:rsidRPr="0050118E">
        <w:rPr>
          <w:rFonts w:ascii="Calibri" w:hAnsi="Calibri" w:cs="Calibri"/>
          <w:color w:val="000000"/>
          <w:sz w:val="22"/>
          <w:szCs w:val="22"/>
          <w:lang w:val="en-US"/>
        </w:rPr>
        <w:t xml:space="preserve"> 38,6% of women</w:t>
      </w:r>
      <w:r w:rsidRPr="0011695B">
        <w:rPr>
          <w:rFonts w:ascii="Calibri" w:hAnsi="Calibri" w:cs="Calibri"/>
          <w:color w:val="000000"/>
          <w:sz w:val="22"/>
          <w:szCs w:val="22"/>
          <w:lang w:val="en-US"/>
        </w:rPr>
        <w:t xml:space="preserve"> </w:t>
      </w:r>
      <w:r w:rsidR="003103E6" w:rsidRPr="0011695B">
        <w:rPr>
          <w:rFonts w:ascii="Calibri" w:hAnsi="Calibri" w:cs="Calibri"/>
          <w:color w:val="000000"/>
          <w:sz w:val="22"/>
          <w:szCs w:val="22"/>
          <w:lang w:val="en-US"/>
        </w:rPr>
        <w:t xml:space="preserve">and comorbidities were present in 15% of cases. </w:t>
      </w:r>
    </w:p>
    <w:p w:rsidR="0050118E" w:rsidRDefault="003103E6" w:rsidP="003103E6">
      <w:pPr>
        <w:pStyle w:val="calibri"/>
        <w:rPr>
          <w:rFonts w:ascii="Calibri" w:hAnsi="Calibri" w:cs="Calibri"/>
          <w:color w:val="000000"/>
          <w:sz w:val="22"/>
          <w:szCs w:val="22"/>
          <w:lang w:val="en-US"/>
        </w:rPr>
      </w:pPr>
      <w:r w:rsidRPr="0011695B">
        <w:rPr>
          <w:rFonts w:ascii="Calibri" w:hAnsi="Calibri" w:cs="Calibri"/>
          <w:color w:val="000000"/>
          <w:sz w:val="22"/>
          <w:szCs w:val="22"/>
          <w:lang w:val="en-US"/>
        </w:rPr>
        <w:t xml:space="preserve">Undifferentiated nasopharyngeal carcinoma (UCNT) accounted for 87% of histological types. </w:t>
      </w:r>
    </w:p>
    <w:p w:rsidR="003F2238" w:rsidRDefault="003F2238" w:rsidP="003F2238">
      <w:pPr>
        <w:pStyle w:val="calibri"/>
        <w:rPr>
          <w:rFonts w:ascii="Calibri" w:hAnsi="Calibri" w:cs="Calibri"/>
          <w:color w:val="000000"/>
          <w:sz w:val="22"/>
          <w:szCs w:val="22"/>
          <w:lang w:val="en-US"/>
        </w:rPr>
      </w:pPr>
      <w:r w:rsidRPr="0011695B">
        <w:rPr>
          <w:rFonts w:ascii="Calibri" w:hAnsi="Calibri" w:cs="Calibri"/>
          <w:color w:val="000000"/>
          <w:sz w:val="22"/>
          <w:szCs w:val="22"/>
          <w:lang w:val="en-US"/>
        </w:rPr>
        <w:t>Tumor staging revealed T1 in 11%, T2 in 33%, T3 in 24%, and T4 in 32% of cases.</w:t>
      </w:r>
    </w:p>
    <w:p w:rsidR="0050118E" w:rsidRDefault="003103E6" w:rsidP="003F2238">
      <w:pPr>
        <w:pStyle w:val="calibri"/>
        <w:rPr>
          <w:rFonts w:ascii="Calibri" w:hAnsi="Calibri" w:cs="Calibri"/>
          <w:color w:val="000000"/>
          <w:sz w:val="22"/>
          <w:szCs w:val="22"/>
          <w:lang w:val="en-US"/>
        </w:rPr>
      </w:pPr>
      <w:r w:rsidRPr="0011695B">
        <w:rPr>
          <w:rFonts w:ascii="Calibri" w:hAnsi="Calibri" w:cs="Calibri"/>
          <w:color w:val="000000"/>
          <w:sz w:val="22"/>
          <w:szCs w:val="22"/>
          <w:lang w:val="en-US"/>
        </w:rPr>
        <w:t xml:space="preserve">Lymph node involvement </w:t>
      </w:r>
      <w:proofErr w:type="gramStart"/>
      <w:r w:rsidRPr="0011695B">
        <w:rPr>
          <w:rFonts w:ascii="Calibri" w:hAnsi="Calibri" w:cs="Calibri"/>
          <w:color w:val="000000"/>
          <w:sz w:val="22"/>
          <w:szCs w:val="22"/>
          <w:lang w:val="en-US"/>
        </w:rPr>
        <w:t>was classified</w:t>
      </w:r>
      <w:proofErr w:type="gramEnd"/>
      <w:r w:rsidRPr="0011695B">
        <w:rPr>
          <w:rFonts w:ascii="Calibri" w:hAnsi="Calibri" w:cs="Calibri"/>
          <w:color w:val="000000"/>
          <w:sz w:val="22"/>
          <w:szCs w:val="22"/>
          <w:lang w:val="en-US"/>
        </w:rPr>
        <w:t xml:space="preserve"> as N0 in 15%, N1 in 38%, N2 in 37%, and N3 in 10% of patients. </w:t>
      </w:r>
    </w:p>
    <w:p w:rsidR="003F2238" w:rsidRPr="003F2238" w:rsidRDefault="003103E6" w:rsidP="003F2238">
      <w:pPr>
        <w:rPr>
          <w:color w:val="040C28"/>
        </w:rPr>
      </w:pPr>
      <w:r w:rsidRPr="0011695B">
        <w:rPr>
          <w:rFonts w:ascii="Calibri" w:hAnsi="Calibri" w:cs="Calibri"/>
          <w:color w:val="000000"/>
          <w:lang w:val="en-US"/>
        </w:rPr>
        <w:t xml:space="preserve">Treatment modalities included </w:t>
      </w:r>
      <w:proofErr w:type="spellStart"/>
      <w:r w:rsidRPr="0011695B">
        <w:rPr>
          <w:rFonts w:ascii="Calibri" w:hAnsi="Calibri" w:cs="Calibri"/>
          <w:color w:val="000000"/>
          <w:lang w:val="en-US"/>
        </w:rPr>
        <w:t>neoadjuvant</w:t>
      </w:r>
      <w:proofErr w:type="spellEnd"/>
      <w:r w:rsidRPr="0011695B">
        <w:rPr>
          <w:rFonts w:ascii="Calibri" w:hAnsi="Calibri" w:cs="Calibri"/>
          <w:color w:val="000000"/>
          <w:lang w:val="en-US"/>
        </w:rPr>
        <w:t xml:space="preserve"> chemotherapy followed by concurrent </w:t>
      </w:r>
      <w:proofErr w:type="spellStart"/>
      <w:proofErr w:type="gramStart"/>
      <w:r w:rsidRPr="0011695B">
        <w:rPr>
          <w:rFonts w:ascii="Calibri" w:hAnsi="Calibri" w:cs="Calibri"/>
          <w:color w:val="000000"/>
          <w:lang w:val="en-US"/>
        </w:rPr>
        <w:t>chemoradiotherapy</w:t>
      </w:r>
      <w:proofErr w:type="spellEnd"/>
      <w:r w:rsidRPr="0011695B">
        <w:rPr>
          <w:rFonts w:ascii="Calibri" w:hAnsi="Calibri" w:cs="Calibri"/>
          <w:color w:val="000000"/>
          <w:lang w:val="en-US"/>
        </w:rPr>
        <w:t xml:space="preserve"> </w:t>
      </w:r>
      <w:r w:rsidR="003F2238">
        <w:rPr>
          <w:rFonts w:ascii="Calibri" w:hAnsi="Calibri" w:cs="Calibri"/>
          <w:color w:val="000000"/>
          <w:lang w:val="en-US"/>
        </w:rPr>
        <w:t xml:space="preserve"> using</w:t>
      </w:r>
      <w:proofErr w:type="gramEnd"/>
      <w:r w:rsidR="003F2238">
        <w:rPr>
          <w:rFonts w:ascii="Calibri" w:hAnsi="Calibri" w:cs="Calibri"/>
          <w:color w:val="000000"/>
          <w:lang w:val="en-US"/>
        </w:rPr>
        <w:t xml:space="preserve"> </w:t>
      </w:r>
      <w:proofErr w:type="spellStart"/>
      <w:r w:rsidR="003F2238">
        <w:rPr>
          <w:color w:val="040C28"/>
        </w:rPr>
        <w:t>cisplatin</w:t>
      </w:r>
      <w:proofErr w:type="spellEnd"/>
      <w:r w:rsidR="003F2238">
        <w:rPr>
          <w:color w:val="040C28"/>
        </w:rPr>
        <w:t xml:space="preserve"> associated to gemcitabine for three cycles </w:t>
      </w:r>
      <w:r w:rsidRPr="0011695B">
        <w:rPr>
          <w:rFonts w:ascii="Calibri" w:hAnsi="Calibri" w:cs="Calibri"/>
          <w:color w:val="000000"/>
          <w:lang w:val="en-US"/>
        </w:rPr>
        <w:t xml:space="preserve">in 86% of patients and concurrent </w:t>
      </w:r>
      <w:proofErr w:type="spellStart"/>
      <w:r w:rsidRPr="0011695B">
        <w:rPr>
          <w:rFonts w:ascii="Calibri" w:hAnsi="Calibri" w:cs="Calibri"/>
          <w:color w:val="000000"/>
          <w:lang w:val="en-US"/>
        </w:rPr>
        <w:t>chemoradiotherapy</w:t>
      </w:r>
      <w:proofErr w:type="spellEnd"/>
      <w:r w:rsidRPr="0011695B">
        <w:rPr>
          <w:rFonts w:ascii="Calibri" w:hAnsi="Calibri" w:cs="Calibri"/>
          <w:color w:val="000000"/>
          <w:lang w:val="en-US"/>
        </w:rPr>
        <w:t xml:space="preserve"> alone in 14%. </w:t>
      </w:r>
    </w:p>
    <w:p w:rsidR="003103E6" w:rsidRPr="0011695B" w:rsidRDefault="003103E6" w:rsidP="00C537EA">
      <w:pPr>
        <w:pStyle w:val="calibri"/>
        <w:rPr>
          <w:rFonts w:ascii="Calibri" w:hAnsi="Calibri" w:cs="Calibri"/>
          <w:color w:val="000000"/>
          <w:sz w:val="22"/>
          <w:szCs w:val="22"/>
          <w:lang w:val="en-US"/>
        </w:rPr>
      </w:pPr>
      <w:r w:rsidRPr="0011695B">
        <w:rPr>
          <w:rFonts w:ascii="Calibri" w:hAnsi="Calibri" w:cs="Calibri"/>
          <w:color w:val="000000"/>
          <w:sz w:val="22"/>
          <w:szCs w:val="22"/>
          <w:lang w:val="en-US"/>
        </w:rPr>
        <w:t xml:space="preserve">Radiotherapy </w:t>
      </w:r>
      <w:proofErr w:type="gramStart"/>
      <w:r w:rsidRPr="0011695B">
        <w:rPr>
          <w:rFonts w:ascii="Calibri" w:hAnsi="Calibri" w:cs="Calibri"/>
          <w:color w:val="000000"/>
          <w:sz w:val="22"/>
          <w:szCs w:val="22"/>
          <w:lang w:val="en-US"/>
        </w:rPr>
        <w:t>was administered</w:t>
      </w:r>
      <w:proofErr w:type="gramEnd"/>
      <w:r w:rsidRPr="0011695B">
        <w:rPr>
          <w:rFonts w:ascii="Calibri" w:hAnsi="Calibri" w:cs="Calibri"/>
          <w:color w:val="000000"/>
          <w:sz w:val="22"/>
          <w:szCs w:val="22"/>
          <w:lang w:val="en-US"/>
        </w:rPr>
        <w:t xml:space="preserve"> using VMAT technique, </w:t>
      </w:r>
      <w:r w:rsidR="00BA3B17" w:rsidRPr="0011695B">
        <w:rPr>
          <w:rFonts w:ascii="Calibri" w:hAnsi="Calibri" w:cs="Calibri"/>
          <w:color w:val="000000"/>
          <w:sz w:val="22"/>
          <w:szCs w:val="22"/>
          <w:lang w:val="en-US"/>
        </w:rPr>
        <w:t>delivering</w:t>
      </w:r>
      <w:r w:rsidR="00BA3B17">
        <w:rPr>
          <w:rFonts w:ascii="Calibri" w:hAnsi="Calibri" w:cs="Calibri"/>
          <w:color w:val="000000"/>
          <w:sz w:val="22"/>
          <w:szCs w:val="22"/>
          <w:lang w:val="en-US"/>
        </w:rPr>
        <w:t xml:space="preserve"> </w:t>
      </w:r>
      <w:r w:rsidR="00BA3B17" w:rsidRPr="00C537EA">
        <w:rPr>
          <w:rFonts w:ascii="Calibri" w:hAnsi="Calibri" w:cs="Calibri"/>
          <w:color w:val="000000"/>
          <w:sz w:val="22"/>
          <w:szCs w:val="22"/>
          <w:lang w:val="en-US"/>
        </w:rPr>
        <w:t>a</w:t>
      </w:r>
      <w:r w:rsidR="00C537EA" w:rsidRPr="00C537EA">
        <w:rPr>
          <w:rFonts w:ascii="Calibri" w:hAnsi="Calibri" w:cs="Calibri"/>
          <w:color w:val="000000"/>
          <w:sz w:val="22"/>
          <w:szCs w:val="22"/>
          <w:lang w:val="en-US"/>
        </w:rPr>
        <w:t xml:space="preserve"> total </w:t>
      </w:r>
      <w:r w:rsidR="00BA3B17" w:rsidRPr="00C537EA">
        <w:rPr>
          <w:rFonts w:ascii="Calibri" w:hAnsi="Calibri" w:cs="Calibri"/>
          <w:color w:val="000000"/>
          <w:sz w:val="22"/>
          <w:szCs w:val="22"/>
          <w:lang w:val="en-US"/>
        </w:rPr>
        <w:t>dose 69, 96</w:t>
      </w:r>
      <w:r w:rsidR="00C537EA" w:rsidRPr="00C537EA">
        <w:rPr>
          <w:rFonts w:ascii="Calibri" w:hAnsi="Calibri" w:cs="Calibri"/>
          <w:color w:val="000000"/>
          <w:sz w:val="22"/>
          <w:szCs w:val="22"/>
          <w:lang w:val="en-US"/>
        </w:rPr>
        <w:t>-70 Gray in 33-35 fractions 5 days a week using Volumetric Modulated Arc Therapy (VMAT</w:t>
      </w:r>
      <w:r w:rsidR="00BA3B17" w:rsidRPr="00C537EA">
        <w:rPr>
          <w:rFonts w:ascii="Calibri" w:hAnsi="Calibri" w:cs="Calibri"/>
          <w:color w:val="000000"/>
          <w:sz w:val="22"/>
          <w:szCs w:val="22"/>
          <w:lang w:val="en-US"/>
        </w:rPr>
        <w:t>)</w:t>
      </w:r>
      <w:r w:rsidR="00BA3B17" w:rsidRPr="0011695B">
        <w:rPr>
          <w:rFonts w:ascii="Calibri" w:hAnsi="Calibri" w:cs="Calibri"/>
          <w:color w:val="000000"/>
          <w:sz w:val="22"/>
          <w:szCs w:val="22"/>
          <w:lang w:val="en-US"/>
        </w:rPr>
        <w:t>,</w:t>
      </w:r>
      <w:r w:rsidR="00C537EA">
        <w:rPr>
          <w:rFonts w:ascii="Calibri" w:hAnsi="Calibri" w:cs="Calibri"/>
          <w:color w:val="000000"/>
          <w:sz w:val="22"/>
          <w:szCs w:val="22"/>
          <w:lang w:val="en-US"/>
        </w:rPr>
        <w:t xml:space="preserve"> </w:t>
      </w:r>
      <w:r w:rsidRPr="0011695B">
        <w:rPr>
          <w:rFonts w:ascii="Calibri" w:hAnsi="Calibri" w:cs="Calibri"/>
          <w:color w:val="000000"/>
          <w:sz w:val="22"/>
          <w:szCs w:val="22"/>
          <w:lang w:val="en-US"/>
        </w:rPr>
        <w:t xml:space="preserve">concurrently with weekly </w:t>
      </w:r>
      <w:proofErr w:type="spellStart"/>
      <w:r w:rsidRPr="0011695B">
        <w:rPr>
          <w:rFonts w:ascii="Calibri" w:hAnsi="Calibri" w:cs="Calibri"/>
          <w:color w:val="000000"/>
          <w:sz w:val="22"/>
          <w:szCs w:val="22"/>
          <w:lang w:val="en-US"/>
        </w:rPr>
        <w:t>cisplatin</w:t>
      </w:r>
      <w:proofErr w:type="spellEnd"/>
      <w:r w:rsidRPr="0011695B">
        <w:rPr>
          <w:rFonts w:ascii="Calibri" w:hAnsi="Calibri" w:cs="Calibri"/>
          <w:color w:val="000000"/>
          <w:sz w:val="22"/>
          <w:szCs w:val="22"/>
          <w:lang w:val="en-US"/>
        </w:rPr>
        <w:t xml:space="preserve"> (40mg/m2/week).</w:t>
      </w:r>
    </w:p>
    <w:p w:rsidR="00270BA7" w:rsidRDefault="00270BA7" w:rsidP="00BA3B17">
      <w:pPr>
        <w:pStyle w:val="calibri"/>
        <w:rPr>
          <w:rFonts w:ascii="Calibri" w:hAnsi="Calibri" w:cs="Calibri"/>
          <w:color w:val="000000"/>
          <w:sz w:val="22"/>
          <w:szCs w:val="22"/>
          <w:lang w:val="en-US"/>
        </w:rPr>
      </w:pPr>
      <w:r>
        <w:rPr>
          <w:rFonts w:ascii="Calibri" w:hAnsi="Calibri" w:cs="Calibri"/>
          <w:color w:val="000000"/>
          <w:sz w:val="22"/>
          <w:szCs w:val="22"/>
          <w:lang w:val="en-US"/>
        </w:rPr>
        <w:t>Acute t</w:t>
      </w:r>
      <w:r w:rsidR="003103E6" w:rsidRPr="0011695B">
        <w:rPr>
          <w:rFonts w:ascii="Calibri" w:hAnsi="Calibri" w:cs="Calibri"/>
          <w:color w:val="000000"/>
          <w:sz w:val="22"/>
          <w:szCs w:val="22"/>
          <w:lang w:val="en-US"/>
        </w:rPr>
        <w:t xml:space="preserve">oxicities reported in 42% of patients, with higher incidences of </w:t>
      </w:r>
      <w:proofErr w:type="spellStart"/>
      <w:r w:rsidR="003103E6" w:rsidRPr="0011695B">
        <w:rPr>
          <w:rFonts w:ascii="Calibri" w:hAnsi="Calibri" w:cs="Calibri"/>
          <w:color w:val="000000"/>
          <w:sz w:val="22"/>
          <w:szCs w:val="22"/>
          <w:lang w:val="en-US"/>
        </w:rPr>
        <w:t>radiomucositis</w:t>
      </w:r>
      <w:proofErr w:type="spellEnd"/>
      <w:r w:rsidR="003103E6" w:rsidRPr="0011695B">
        <w:rPr>
          <w:rFonts w:ascii="Calibri" w:hAnsi="Calibri" w:cs="Calibri"/>
          <w:color w:val="000000"/>
          <w:sz w:val="22"/>
          <w:szCs w:val="22"/>
          <w:lang w:val="en-US"/>
        </w:rPr>
        <w:t xml:space="preserve"> Grade 2 and 3 observed in N3 lymph node status (20%) and in patients with larger GTV size (25%).</w:t>
      </w:r>
    </w:p>
    <w:p w:rsidR="00270BA7" w:rsidRDefault="003103E6" w:rsidP="003103E6">
      <w:pPr>
        <w:pStyle w:val="calibri"/>
        <w:rPr>
          <w:rFonts w:ascii="Calibri" w:hAnsi="Calibri" w:cs="Calibri"/>
          <w:color w:val="000000"/>
          <w:sz w:val="22"/>
          <w:szCs w:val="22"/>
          <w:lang w:val="en-US"/>
        </w:rPr>
      </w:pPr>
      <w:r w:rsidRPr="0011695B">
        <w:rPr>
          <w:rFonts w:ascii="Calibri" w:hAnsi="Calibri" w:cs="Calibri"/>
          <w:color w:val="000000"/>
          <w:sz w:val="22"/>
          <w:szCs w:val="22"/>
          <w:lang w:val="en-US"/>
        </w:rPr>
        <w:t xml:space="preserve">Late toxicities included grade 1-2 </w:t>
      </w:r>
      <w:proofErr w:type="spellStart"/>
      <w:r w:rsidRPr="0011695B">
        <w:rPr>
          <w:rFonts w:ascii="Calibri" w:hAnsi="Calibri" w:cs="Calibri"/>
          <w:color w:val="000000"/>
          <w:sz w:val="22"/>
          <w:szCs w:val="22"/>
          <w:lang w:val="en-US"/>
        </w:rPr>
        <w:t>xerostomia</w:t>
      </w:r>
      <w:proofErr w:type="spellEnd"/>
      <w:r w:rsidRPr="0011695B">
        <w:rPr>
          <w:rFonts w:ascii="Calibri" w:hAnsi="Calibri" w:cs="Calibri"/>
          <w:color w:val="000000"/>
          <w:sz w:val="22"/>
          <w:szCs w:val="22"/>
          <w:lang w:val="en-US"/>
        </w:rPr>
        <w:t xml:space="preserve"> in 45% of patients and grade </w:t>
      </w:r>
      <w:proofErr w:type="gramStart"/>
      <w:r w:rsidRPr="0011695B">
        <w:rPr>
          <w:rFonts w:ascii="Calibri" w:hAnsi="Calibri" w:cs="Calibri"/>
          <w:color w:val="000000"/>
          <w:sz w:val="22"/>
          <w:szCs w:val="22"/>
          <w:lang w:val="en-US"/>
        </w:rPr>
        <w:t>1</w:t>
      </w:r>
      <w:proofErr w:type="gramEnd"/>
      <w:r w:rsidRPr="0011695B">
        <w:rPr>
          <w:rFonts w:ascii="Calibri" w:hAnsi="Calibri" w:cs="Calibri"/>
          <w:color w:val="000000"/>
          <w:sz w:val="22"/>
          <w:szCs w:val="22"/>
          <w:lang w:val="en-US"/>
        </w:rPr>
        <w:t xml:space="preserve"> skin fibrosis in 15%.</w:t>
      </w:r>
    </w:p>
    <w:p w:rsidR="00191137" w:rsidRDefault="003103E6" w:rsidP="003103E6">
      <w:pPr>
        <w:pStyle w:val="calibri"/>
        <w:rPr>
          <w:rFonts w:ascii="Calibri" w:hAnsi="Calibri" w:cs="Calibri"/>
          <w:color w:val="000000"/>
          <w:sz w:val="22"/>
          <w:szCs w:val="22"/>
          <w:lang w:val="en-US"/>
        </w:rPr>
      </w:pPr>
      <w:r w:rsidRPr="0011695B">
        <w:rPr>
          <w:rFonts w:ascii="Calibri" w:hAnsi="Calibri" w:cs="Calibri"/>
          <w:color w:val="000000"/>
          <w:sz w:val="22"/>
          <w:szCs w:val="22"/>
          <w:lang w:val="en-US"/>
        </w:rPr>
        <w:t xml:space="preserve"> Oral and esophageal </w:t>
      </w:r>
      <w:proofErr w:type="spellStart"/>
      <w:r w:rsidRPr="0011695B">
        <w:rPr>
          <w:rFonts w:ascii="Calibri" w:hAnsi="Calibri" w:cs="Calibri"/>
          <w:color w:val="000000"/>
          <w:sz w:val="22"/>
          <w:szCs w:val="22"/>
          <w:lang w:val="en-US"/>
        </w:rPr>
        <w:t>mucositis</w:t>
      </w:r>
      <w:proofErr w:type="spellEnd"/>
      <w:r w:rsidRPr="0011695B">
        <w:rPr>
          <w:rFonts w:ascii="Calibri" w:hAnsi="Calibri" w:cs="Calibri"/>
          <w:color w:val="000000"/>
          <w:sz w:val="22"/>
          <w:szCs w:val="22"/>
          <w:lang w:val="en-US"/>
        </w:rPr>
        <w:t xml:space="preserve"> resulted in pain, dysphagia, and weight loss, with 33% of patients losing more than 8 kg</w:t>
      </w:r>
      <w:proofErr w:type="gramStart"/>
      <w:r w:rsidRPr="0011695B">
        <w:rPr>
          <w:rFonts w:ascii="Calibri" w:hAnsi="Calibri" w:cs="Calibri"/>
          <w:color w:val="000000"/>
          <w:sz w:val="22"/>
          <w:szCs w:val="22"/>
          <w:lang w:val="en-US"/>
        </w:rPr>
        <w:t>,</w:t>
      </w:r>
      <w:r w:rsidR="00191137">
        <w:rPr>
          <w:rFonts w:ascii="Calibri" w:hAnsi="Calibri" w:cs="Calibri"/>
          <w:color w:val="000000"/>
          <w:sz w:val="22"/>
          <w:szCs w:val="22"/>
          <w:lang w:val="en-US"/>
        </w:rPr>
        <w:t xml:space="preserve"> </w:t>
      </w:r>
      <w:r w:rsidRPr="0011695B">
        <w:rPr>
          <w:rFonts w:ascii="Calibri" w:hAnsi="Calibri" w:cs="Calibri"/>
          <w:color w:val="000000"/>
          <w:sz w:val="22"/>
          <w:szCs w:val="22"/>
          <w:lang w:val="en-US"/>
        </w:rPr>
        <w:t xml:space="preserve"> 56</w:t>
      </w:r>
      <w:proofErr w:type="gramEnd"/>
      <w:r w:rsidRPr="0011695B">
        <w:rPr>
          <w:rFonts w:ascii="Calibri" w:hAnsi="Calibri" w:cs="Calibri"/>
          <w:color w:val="000000"/>
          <w:sz w:val="22"/>
          <w:szCs w:val="22"/>
          <w:lang w:val="en-US"/>
        </w:rPr>
        <w:t xml:space="preserve">% losing between 3 and 8 kg, and only 11% losing less than 3 kg. </w:t>
      </w:r>
    </w:p>
    <w:p w:rsidR="00191137" w:rsidRDefault="00BA3B17" w:rsidP="003103E6">
      <w:pPr>
        <w:pStyle w:val="calibri"/>
        <w:rPr>
          <w:rFonts w:ascii="Calibri" w:hAnsi="Calibri" w:cs="Calibri"/>
          <w:color w:val="000000"/>
          <w:sz w:val="22"/>
          <w:szCs w:val="22"/>
          <w:lang w:val="en-US"/>
        </w:rPr>
      </w:pPr>
      <w:r>
        <w:rPr>
          <w:rFonts w:ascii="Calibri" w:hAnsi="Calibri" w:cs="Calibri"/>
          <w:color w:val="000000"/>
          <w:sz w:val="22"/>
          <w:szCs w:val="22"/>
          <w:lang w:val="en-US"/>
        </w:rPr>
        <w:t xml:space="preserve"> </w:t>
      </w:r>
      <w:proofErr w:type="gramStart"/>
      <w:r w:rsidR="003103E6" w:rsidRPr="0011695B">
        <w:rPr>
          <w:rFonts w:ascii="Calibri" w:hAnsi="Calibri" w:cs="Calibri"/>
          <w:color w:val="000000"/>
          <w:sz w:val="22"/>
          <w:szCs w:val="22"/>
          <w:lang w:val="en-US"/>
        </w:rPr>
        <w:t>3</w:t>
      </w:r>
      <w:proofErr w:type="gramEnd"/>
      <w:r w:rsidR="003103E6" w:rsidRPr="0011695B">
        <w:rPr>
          <w:rFonts w:ascii="Calibri" w:hAnsi="Calibri" w:cs="Calibri"/>
          <w:color w:val="000000"/>
          <w:sz w:val="22"/>
          <w:szCs w:val="22"/>
          <w:lang w:val="en-US"/>
        </w:rPr>
        <w:t>% of patients failing to complete the prescribed radiotherapy course, regardless of age group.</w:t>
      </w:r>
    </w:p>
    <w:p w:rsidR="003103E6" w:rsidRPr="00D234BA" w:rsidRDefault="003103E6" w:rsidP="00D234BA">
      <w:pPr>
        <w:rPr>
          <w:highlight w:val="white"/>
        </w:rPr>
      </w:pPr>
      <w:r w:rsidRPr="0011695B">
        <w:rPr>
          <w:rFonts w:ascii="Calibri" w:hAnsi="Calibri" w:cs="Calibri"/>
          <w:color w:val="000000"/>
          <w:lang w:val="en-US"/>
        </w:rPr>
        <w:t xml:space="preserve"> At a median follow-up of 48 months,</w:t>
      </w:r>
      <w:r w:rsidR="00191137">
        <w:rPr>
          <w:rFonts w:ascii="Calibri" w:hAnsi="Calibri" w:cs="Calibri"/>
          <w:color w:val="000000"/>
          <w:lang w:val="en-US"/>
        </w:rPr>
        <w:t xml:space="preserve"> </w:t>
      </w:r>
      <w:r w:rsidR="00191137">
        <w:rPr>
          <w:highlight w:val="white"/>
        </w:rPr>
        <w:t xml:space="preserve">the 2-year recurrence-free survival was 73, 2%, </w:t>
      </w:r>
      <w:r w:rsidR="005A614E">
        <w:rPr>
          <w:highlight w:val="white"/>
        </w:rPr>
        <w:t>and the</w:t>
      </w:r>
      <w:r w:rsidR="00191137">
        <w:rPr>
          <w:highlight w:val="white"/>
        </w:rPr>
        <w:t xml:space="preserve"> Overall survival at 2 years was 89.4</w:t>
      </w:r>
      <w:r w:rsidR="005A614E">
        <w:rPr>
          <w:highlight w:val="white"/>
        </w:rPr>
        <w:t>%</w:t>
      </w:r>
      <w:r w:rsidR="005A614E">
        <w:t>,</w:t>
      </w:r>
      <w:r w:rsidRPr="0011695B">
        <w:rPr>
          <w:rFonts w:ascii="Calibri" w:hAnsi="Calibri" w:cs="Calibri"/>
          <w:color w:val="000000"/>
          <w:lang w:val="en-US"/>
        </w:rPr>
        <w:t xml:space="preserve"> while recurrence and metastatic progression rates were 11% and 4%, respectively. Cancer-related mortality accounted for 6% of cases, and 4% were lost to follow-up.</w:t>
      </w:r>
    </w:p>
    <w:p w:rsidR="00E24F04" w:rsidRDefault="005E4950" w:rsidP="00E24F04">
      <w:pPr>
        <w:pStyle w:val="calibri"/>
        <w:rPr>
          <w:rFonts w:ascii="Calibri" w:hAnsi="Calibri" w:cs="Calibri"/>
          <w:b/>
          <w:bCs/>
          <w:color w:val="000000"/>
          <w:sz w:val="22"/>
          <w:szCs w:val="22"/>
          <w:lang w:val="en-US"/>
        </w:rPr>
      </w:pPr>
      <w:proofErr w:type="gramStart"/>
      <w:r w:rsidRPr="00E24F04">
        <w:rPr>
          <w:rFonts w:ascii="Calibri" w:hAnsi="Calibri" w:cs="Calibri"/>
          <w:b/>
          <w:bCs/>
          <w:color w:val="000000"/>
          <w:sz w:val="22"/>
          <w:szCs w:val="22"/>
          <w:lang w:val="en-US"/>
        </w:rPr>
        <w:t>Discussion :</w:t>
      </w:r>
      <w:proofErr w:type="gramEnd"/>
    </w:p>
    <w:p w:rsidR="00E24F04" w:rsidRPr="00E24F04" w:rsidRDefault="00E24F04" w:rsidP="00E24F04">
      <w:pPr>
        <w:pStyle w:val="calibri"/>
        <w:rPr>
          <w:rFonts w:ascii="Calibri" w:hAnsi="Calibri" w:cs="Calibri"/>
          <w:b/>
          <w:bCs/>
          <w:color w:val="000000"/>
          <w:sz w:val="22"/>
          <w:szCs w:val="22"/>
          <w:lang w:val="en-US"/>
        </w:rPr>
      </w:pPr>
      <w:r w:rsidRPr="00E24F04">
        <w:rPr>
          <w:rFonts w:ascii="Calibri" w:hAnsi="Calibri" w:cs="Calibri"/>
          <w:color w:val="000000"/>
          <w:sz w:val="22"/>
          <w:szCs w:val="22"/>
          <w:lang w:val="en-US"/>
        </w:rPr>
        <w:t xml:space="preserve">Nasopharyngeal cancer (NPC) is a specific type of cancer of the upper </w:t>
      </w:r>
      <w:proofErr w:type="spellStart"/>
      <w:r w:rsidRPr="00E24F04">
        <w:rPr>
          <w:rFonts w:ascii="Calibri" w:hAnsi="Calibri" w:cs="Calibri"/>
          <w:color w:val="000000"/>
          <w:sz w:val="22"/>
          <w:szCs w:val="22"/>
          <w:lang w:val="en-US"/>
        </w:rPr>
        <w:t>aerodigestive</w:t>
      </w:r>
      <w:proofErr w:type="spellEnd"/>
      <w:r w:rsidRPr="00E24F04">
        <w:rPr>
          <w:rFonts w:ascii="Calibri" w:hAnsi="Calibri" w:cs="Calibri"/>
          <w:color w:val="000000"/>
          <w:sz w:val="22"/>
          <w:szCs w:val="22"/>
          <w:lang w:val="en-US"/>
        </w:rPr>
        <w:t xml:space="preserve"> tract.</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In epidemiological terms, nasopharyngeal cancer </w:t>
      </w:r>
      <w:proofErr w:type="gramStart"/>
      <w:r w:rsidRPr="00E24F04">
        <w:rPr>
          <w:rFonts w:ascii="Calibri" w:hAnsi="Calibri" w:cs="Calibri"/>
          <w:color w:val="000000"/>
          <w:sz w:val="22"/>
          <w:szCs w:val="22"/>
          <w:lang w:val="en-US"/>
        </w:rPr>
        <w:t>is distinguished</w:t>
      </w:r>
      <w:proofErr w:type="gramEnd"/>
      <w:r w:rsidRPr="00E24F04">
        <w:rPr>
          <w:rFonts w:ascii="Calibri" w:hAnsi="Calibri" w:cs="Calibri"/>
          <w:color w:val="000000"/>
          <w:sz w:val="22"/>
          <w:szCs w:val="22"/>
          <w:lang w:val="en-US"/>
        </w:rPr>
        <w:t xml:space="preserve"> from other cancers of the ENT sphere by its geographical distribution (high-risk zone, intermediate-risk zone and low-risk zone). Morocco belongs to the intermediate-risk zone [1].</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Nasopharyngeal carcinoma is a frequent cancer in Morocco, with an incidence of 2.1/100,000 inhabitants according to the Rabat register. It is the </w:t>
      </w:r>
      <w:proofErr w:type="gramStart"/>
      <w:r w:rsidRPr="00E24F04">
        <w:rPr>
          <w:rFonts w:ascii="Calibri" w:hAnsi="Calibri" w:cs="Calibri"/>
          <w:color w:val="000000"/>
          <w:sz w:val="22"/>
          <w:szCs w:val="22"/>
          <w:lang w:val="en-US"/>
        </w:rPr>
        <w:t>5th</w:t>
      </w:r>
      <w:proofErr w:type="gramEnd"/>
      <w:r w:rsidRPr="00E24F04">
        <w:rPr>
          <w:rFonts w:ascii="Calibri" w:hAnsi="Calibri" w:cs="Calibri"/>
          <w:color w:val="000000"/>
          <w:sz w:val="22"/>
          <w:szCs w:val="22"/>
          <w:lang w:val="en-US"/>
        </w:rPr>
        <w:t xml:space="preserve"> most common cancer at INO and accounts for 10% of the activity of the external radiotherapy department.</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lastRenderedPageBreak/>
        <w:t xml:space="preserve">This cancer generally affects people over the age of 50, although a first peak between the ages of 20 and 30 is found in the Maghreb, with a radio sex ratio of </w:t>
      </w:r>
      <w:proofErr w:type="gramStart"/>
      <w:r w:rsidRPr="00E24F04">
        <w:rPr>
          <w:rFonts w:ascii="Calibri" w:hAnsi="Calibri" w:cs="Calibri"/>
          <w:color w:val="000000"/>
          <w:sz w:val="22"/>
          <w:szCs w:val="22"/>
          <w:lang w:val="en-US"/>
        </w:rPr>
        <w:t>2</w:t>
      </w:r>
      <w:proofErr w:type="gramEnd"/>
      <w:r w:rsidRPr="00E24F04">
        <w:rPr>
          <w:rFonts w:ascii="Calibri" w:hAnsi="Calibri" w:cs="Calibri"/>
          <w:color w:val="000000"/>
          <w:sz w:val="22"/>
          <w:szCs w:val="22"/>
          <w:lang w:val="en-US"/>
        </w:rPr>
        <w:t xml:space="preserve"> men to 1 woman.</w:t>
      </w:r>
    </w:p>
    <w:p w:rsidR="00E24F04" w:rsidRDefault="00E24F04" w:rsidP="00E24F04">
      <w:pPr>
        <w:pStyle w:val="calibri"/>
        <w:rPr>
          <w:rFonts w:ascii="Calibri" w:hAnsi="Calibri" w:cs="Calibri"/>
          <w:color w:val="000000"/>
          <w:sz w:val="22"/>
          <w:szCs w:val="22"/>
          <w:lang w:val="en-US"/>
        </w:rPr>
      </w:pPr>
      <w:r>
        <w:rPr>
          <w:rFonts w:ascii="Calibri" w:hAnsi="Calibri" w:cs="Calibri"/>
          <w:color w:val="000000"/>
          <w:sz w:val="22"/>
          <w:szCs w:val="22"/>
          <w:lang w:val="en-US"/>
        </w:rPr>
        <w:t xml:space="preserve">In our study </w:t>
      </w:r>
      <w:r w:rsidRPr="0050118E">
        <w:rPr>
          <w:rFonts w:ascii="Calibri" w:hAnsi="Calibri" w:cs="Calibri"/>
          <w:color w:val="000000"/>
          <w:sz w:val="22"/>
          <w:szCs w:val="22"/>
          <w:lang w:val="en-US"/>
        </w:rPr>
        <w:t>we had 61</w:t>
      </w:r>
      <w:proofErr w:type="gramStart"/>
      <w:r w:rsidRPr="0050118E">
        <w:rPr>
          <w:rFonts w:ascii="Calibri" w:hAnsi="Calibri" w:cs="Calibri"/>
          <w:color w:val="000000"/>
          <w:sz w:val="22"/>
          <w:szCs w:val="22"/>
          <w:lang w:val="en-US"/>
        </w:rPr>
        <w:t>,4</w:t>
      </w:r>
      <w:proofErr w:type="gramEnd"/>
      <w:r w:rsidRPr="0050118E">
        <w:rPr>
          <w:rFonts w:ascii="Calibri" w:hAnsi="Calibri" w:cs="Calibri"/>
          <w:color w:val="000000"/>
          <w:sz w:val="22"/>
          <w:szCs w:val="22"/>
          <w:lang w:val="en-US"/>
        </w:rPr>
        <w:t xml:space="preserve">% of men </w:t>
      </w:r>
      <w:proofErr w:type="spellStart"/>
      <w:r w:rsidRPr="0050118E">
        <w:rPr>
          <w:rFonts w:ascii="Calibri" w:hAnsi="Calibri" w:cs="Calibri"/>
          <w:color w:val="000000"/>
          <w:sz w:val="22"/>
          <w:szCs w:val="22"/>
          <w:lang w:val="en-US"/>
        </w:rPr>
        <w:t>vs</w:t>
      </w:r>
      <w:proofErr w:type="spellEnd"/>
      <w:r w:rsidRPr="0050118E">
        <w:rPr>
          <w:rFonts w:ascii="Calibri" w:hAnsi="Calibri" w:cs="Calibri"/>
          <w:color w:val="000000"/>
          <w:sz w:val="22"/>
          <w:szCs w:val="22"/>
          <w:lang w:val="en-US"/>
        </w:rPr>
        <w:t xml:space="preserve"> 38,6% of women </w:t>
      </w:r>
      <w:r w:rsidRPr="0011695B">
        <w:rPr>
          <w:rFonts w:ascii="Calibri" w:hAnsi="Calibri" w:cs="Calibri"/>
          <w:color w:val="000000"/>
          <w:sz w:val="22"/>
          <w:szCs w:val="22"/>
          <w:lang w:val="en-US"/>
        </w:rPr>
        <w:t xml:space="preserve">and comorbidities were present in 15% of cases. </w:t>
      </w:r>
    </w:p>
    <w:p w:rsidR="00E24F04" w:rsidRPr="00E24F04" w:rsidRDefault="00E24F04" w:rsidP="00E24F04">
      <w:pPr>
        <w:shd w:val="clear" w:color="auto" w:fill="FFFFFF"/>
        <w:spacing w:after="0" w:line="240" w:lineRule="auto"/>
        <w:textAlignment w:val="baseline"/>
        <w:rPr>
          <w:rFonts w:ascii="Calibri" w:eastAsia="Times New Roman" w:hAnsi="Calibri" w:cs="Calibri"/>
          <w:color w:val="000000"/>
          <w:lang w:val="en-US" w:eastAsia="fr-FR"/>
        </w:rPr>
      </w:pPr>
      <w:r w:rsidRPr="00E24F04">
        <w:rPr>
          <w:rFonts w:ascii="Calibri" w:eastAsia="Times New Roman" w:hAnsi="Calibri" w:cs="Calibri"/>
          <w:color w:val="000000"/>
          <w:lang w:val="en-US" w:eastAsia="fr-FR"/>
        </w:rPr>
        <w:t xml:space="preserve">Epithelial tumors of the </w:t>
      </w:r>
      <w:proofErr w:type="spellStart"/>
      <w:r w:rsidRPr="00E24F04">
        <w:rPr>
          <w:rFonts w:ascii="Calibri" w:eastAsia="Times New Roman" w:hAnsi="Calibri" w:cs="Calibri"/>
          <w:color w:val="000000"/>
          <w:lang w:val="en-US" w:eastAsia="fr-FR"/>
        </w:rPr>
        <w:t>nasopharynx</w:t>
      </w:r>
      <w:proofErr w:type="spellEnd"/>
      <w:r w:rsidRPr="00E24F04">
        <w:rPr>
          <w:rFonts w:ascii="Calibri" w:eastAsia="Times New Roman" w:hAnsi="Calibri" w:cs="Calibri"/>
          <w:color w:val="000000"/>
          <w:lang w:val="en-US" w:eastAsia="fr-FR"/>
        </w:rPr>
        <w:t xml:space="preserve"> </w:t>
      </w:r>
      <w:proofErr w:type="gramStart"/>
      <w:r w:rsidRPr="00E24F04">
        <w:rPr>
          <w:rFonts w:ascii="Calibri" w:eastAsia="Times New Roman" w:hAnsi="Calibri" w:cs="Calibri"/>
          <w:color w:val="000000"/>
          <w:lang w:val="en-US" w:eastAsia="fr-FR"/>
        </w:rPr>
        <w:t>have been classified</w:t>
      </w:r>
      <w:proofErr w:type="gramEnd"/>
      <w:r w:rsidRPr="00E24F04">
        <w:rPr>
          <w:rFonts w:ascii="Calibri" w:eastAsia="Times New Roman" w:hAnsi="Calibri" w:cs="Calibri"/>
          <w:color w:val="000000"/>
          <w:lang w:val="en-US" w:eastAsia="fr-FR"/>
        </w:rPr>
        <w:t xml:space="preserve"> by the World Health Organization based on the degree of differentiation of malignant cells (WHO, 2003):</w:t>
      </w:r>
    </w:p>
    <w:p w:rsidR="00E24F04" w:rsidRPr="00E24F04" w:rsidRDefault="00E24F04" w:rsidP="00E24F04">
      <w:pPr>
        <w:pStyle w:val="Paragraphedeliste"/>
        <w:numPr>
          <w:ilvl w:val="0"/>
          <w:numId w:val="4"/>
        </w:numPr>
        <w:shd w:val="clear" w:color="auto" w:fill="FFFFFF"/>
        <w:textAlignment w:val="baseline"/>
        <w:rPr>
          <w:rFonts w:ascii="Calibri" w:hAnsi="Calibri" w:cs="Calibri"/>
          <w:color w:val="000000"/>
          <w:sz w:val="22"/>
          <w:szCs w:val="22"/>
          <w:lang w:val="en-US"/>
        </w:rPr>
      </w:pPr>
      <w:r w:rsidRPr="00E24F04">
        <w:rPr>
          <w:rFonts w:ascii="Calibri" w:hAnsi="Calibri" w:cs="Calibri"/>
          <w:color w:val="000000"/>
          <w:sz w:val="22"/>
          <w:szCs w:val="22"/>
          <w:lang w:val="en-US"/>
        </w:rPr>
        <w:t>Type I: differentiated keratinizing squamous cell carcinoma.</w:t>
      </w:r>
    </w:p>
    <w:p w:rsidR="00E24F04" w:rsidRPr="00E24F04" w:rsidRDefault="00E24F04" w:rsidP="00E24F04">
      <w:pPr>
        <w:pStyle w:val="Paragraphedeliste"/>
        <w:numPr>
          <w:ilvl w:val="0"/>
          <w:numId w:val="4"/>
        </w:numPr>
        <w:shd w:val="clear" w:color="auto" w:fill="FFFFFF"/>
        <w:textAlignment w:val="baseline"/>
        <w:rPr>
          <w:rFonts w:ascii="Calibri" w:hAnsi="Calibri" w:cs="Calibri"/>
          <w:color w:val="000000"/>
          <w:sz w:val="22"/>
          <w:szCs w:val="22"/>
          <w:lang w:val="en-US"/>
        </w:rPr>
      </w:pPr>
      <w:r w:rsidRPr="00E24F04">
        <w:rPr>
          <w:rFonts w:ascii="Calibri" w:hAnsi="Calibri" w:cs="Calibri"/>
          <w:color w:val="000000"/>
          <w:sz w:val="22"/>
          <w:szCs w:val="22"/>
          <w:lang w:val="en-US"/>
        </w:rPr>
        <w:t>Type II: non-keratinizing differentiated squamous cell carcinoma.</w:t>
      </w:r>
    </w:p>
    <w:p w:rsidR="00E24F04" w:rsidRPr="00E24F04" w:rsidRDefault="00E24F04" w:rsidP="00E24F04">
      <w:pPr>
        <w:pStyle w:val="Paragraphedeliste"/>
        <w:numPr>
          <w:ilvl w:val="0"/>
          <w:numId w:val="4"/>
        </w:numPr>
        <w:shd w:val="clear" w:color="auto" w:fill="FFFFFF"/>
        <w:textAlignment w:val="baseline"/>
        <w:rPr>
          <w:rFonts w:ascii="Calibri" w:hAnsi="Calibri" w:cs="Calibri"/>
          <w:color w:val="000000"/>
          <w:sz w:val="22"/>
          <w:szCs w:val="22"/>
          <w:lang w:val="en-US"/>
        </w:rPr>
      </w:pPr>
      <w:r w:rsidRPr="00E24F04">
        <w:rPr>
          <w:rFonts w:ascii="Calibri" w:hAnsi="Calibri" w:cs="Calibri"/>
          <w:color w:val="000000"/>
          <w:sz w:val="22"/>
          <w:szCs w:val="22"/>
          <w:lang w:val="en-US"/>
        </w:rPr>
        <w:t>Type III: Undifferentiated Carcinoma of Nasopharyngeal Type (UCNT).</w:t>
      </w:r>
    </w:p>
    <w:p w:rsid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Other histological types are much rarer. They include papillary-type adenocarcinomas, salivary-type carcinomas, hematological disease localizations and bone and soft tissue tumors. </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UCNTs predominate, accounting for 70% of cases. These data concur with those found in our series, where 87% of UCNTs </w:t>
      </w:r>
      <w:proofErr w:type="gramStart"/>
      <w:r w:rsidRPr="00E24F04">
        <w:rPr>
          <w:rFonts w:ascii="Calibri" w:hAnsi="Calibri" w:cs="Calibri"/>
          <w:color w:val="000000"/>
          <w:sz w:val="22"/>
          <w:szCs w:val="22"/>
          <w:lang w:val="en-US"/>
        </w:rPr>
        <w:t>were found</w:t>
      </w:r>
      <w:proofErr w:type="gramEnd"/>
      <w:r w:rsidRPr="00E24F04">
        <w:rPr>
          <w:rFonts w:ascii="Calibri" w:hAnsi="Calibri" w:cs="Calibri"/>
          <w:color w:val="000000"/>
          <w:sz w:val="22"/>
          <w:szCs w:val="22"/>
          <w:lang w:val="en-US"/>
        </w:rPr>
        <w:t xml:space="preserve">, and are characterized by their association with Epstein-Barr virus (EBV) infection, often detectable at the time of diagnosis by plasma polymerase chain reaction (PCR), and characterized </w:t>
      </w:r>
      <w:proofErr w:type="spellStart"/>
      <w:r w:rsidRPr="00E24F04">
        <w:rPr>
          <w:rFonts w:ascii="Calibri" w:hAnsi="Calibri" w:cs="Calibri"/>
          <w:color w:val="000000"/>
          <w:sz w:val="22"/>
          <w:szCs w:val="22"/>
          <w:lang w:val="en-US"/>
        </w:rPr>
        <w:t>prognostically</w:t>
      </w:r>
      <w:proofErr w:type="spellEnd"/>
      <w:r w:rsidRPr="00E24F04">
        <w:rPr>
          <w:rFonts w:ascii="Calibri" w:hAnsi="Calibri" w:cs="Calibri"/>
          <w:color w:val="000000"/>
          <w:sz w:val="22"/>
          <w:szCs w:val="22"/>
          <w:lang w:val="en-US"/>
        </w:rPr>
        <w:t xml:space="preserve"> by better local control and greater propensity for distant metastases.</w:t>
      </w:r>
    </w:p>
    <w:p w:rsidR="00F263A3" w:rsidRDefault="007C4061" w:rsidP="00F263A3">
      <w:pPr>
        <w:pStyle w:val="calibri"/>
        <w:rPr>
          <w:rFonts w:ascii="Calibri" w:hAnsi="Calibri" w:cs="Calibri"/>
          <w:color w:val="000000"/>
          <w:lang w:val="en-US"/>
        </w:rPr>
      </w:pPr>
      <w:r>
        <w:rPr>
          <w:rFonts w:ascii="Calibri" w:hAnsi="Calibri" w:cs="Calibri"/>
          <w:color w:val="000000"/>
          <w:sz w:val="22"/>
          <w:szCs w:val="22"/>
          <w:lang w:val="en-US"/>
        </w:rPr>
        <w:t xml:space="preserve">For our </w:t>
      </w:r>
      <w:proofErr w:type="gramStart"/>
      <w:r>
        <w:rPr>
          <w:rFonts w:ascii="Calibri" w:hAnsi="Calibri" w:cs="Calibri"/>
          <w:color w:val="000000"/>
          <w:sz w:val="22"/>
          <w:szCs w:val="22"/>
          <w:lang w:val="en-US"/>
        </w:rPr>
        <w:t>s</w:t>
      </w:r>
      <w:r w:rsidR="00F263A3">
        <w:rPr>
          <w:rFonts w:ascii="Calibri" w:hAnsi="Calibri" w:cs="Calibri"/>
          <w:color w:val="000000"/>
          <w:sz w:val="22"/>
          <w:szCs w:val="22"/>
          <w:lang w:val="en-US"/>
        </w:rPr>
        <w:t>tudy</w:t>
      </w:r>
      <w:proofErr w:type="gramEnd"/>
      <w:r w:rsidR="00F263A3">
        <w:rPr>
          <w:rFonts w:ascii="Calibri" w:hAnsi="Calibri" w:cs="Calibri"/>
          <w:color w:val="000000"/>
          <w:sz w:val="22"/>
          <w:szCs w:val="22"/>
          <w:lang w:val="en-US"/>
        </w:rPr>
        <w:t xml:space="preserve"> t</w:t>
      </w:r>
      <w:r w:rsidR="00454460" w:rsidRPr="00F263A3">
        <w:rPr>
          <w:rFonts w:ascii="Calibri" w:hAnsi="Calibri" w:cs="Calibri"/>
          <w:color w:val="000000"/>
          <w:sz w:val="22"/>
          <w:szCs w:val="22"/>
          <w:lang w:val="en-US"/>
        </w:rPr>
        <w:t>umors were classified as:</w:t>
      </w:r>
      <w:r w:rsidR="00F263A3">
        <w:rPr>
          <w:rFonts w:ascii="Calibri" w:hAnsi="Calibri" w:cs="Calibri"/>
          <w:color w:val="000000"/>
          <w:sz w:val="22"/>
          <w:szCs w:val="22"/>
          <w:lang w:val="en-US"/>
        </w:rPr>
        <w:t xml:space="preserve"> </w:t>
      </w:r>
      <w:r w:rsidR="00454460" w:rsidRPr="00F263A3">
        <w:rPr>
          <w:rFonts w:ascii="Calibri" w:hAnsi="Calibri" w:cs="Calibri"/>
          <w:color w:val="000000"/>
          <w:lang w:val="en-US"/>
        </w:rPr>
        <w:t>T1 in 11 %in 33%, T3 in 24 %, and T4 in 32 % AJCC stage 8th edition.</w:t>
      </w:r>
    </w:p>
    <w:p w:rsidR="00F263A3" w:rsidRPr="00F263A3" w:rsidRDefault="00F263A3" w:rsidP="00F263A3">
      <w:pPr>
        <w:pStyle w:val="calibri"/>
        <w:rPr>
          <w:rFonts w:ascii="Calibri" w:hAnsi="Calibri" w:cs="Calibri"/>
          <w:color w:val="000000"/>
          <w:sz w:val="22"/>
          <w:szCs w:val="22"/>
          <w:lang w:val="en-US"/>
        </w:rPr>
      </w:pPr>
      <w:r w:rsidRPr="00F263A3">
        <w:rPr>
          <w:rFonts w:ascii="Calibri" w:hAnsi="Calibri" w:cs="Calibri"/>
          <w:noProof/>
          <w:color w:val="000000"/>
          <w:sz w:val="22"/>
          <w:szCs w:val="22"/>
        </w:rPr>
        <w:drawing>
          <wp:inline distT="0" distB="0" distL="0" distR="0" wp14:anchorId="73CEE0F2" wp14:editId="62988971">
            <wp:extent cx="5551170" cy="2758440"/>
            <wp:effectExtent l="0" t="0" r="11430" b="381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24F04" w:rsidRPr="00E24F04" w:rsidRDefault="00E24F04" w:rsidP="00E24F04">
      <w:pPr>
        <w:pStyle w:val="calibri"/>
        <w:rPr>
          <w:rFonts w:ascii="Calibri" w:hAnsi="Calibri" w:cs="Calibri"/>
          <w:b/>
          <w:bCs/>
          <w:color w:val="000000"/>
          <w:sz w:val="22"/>
          <w:szCs w:val="22"/>
          <w:u w:val="single"/>
          <w:lang w:val="en-US"/>
        </w:rPr>
      </w:pPr>
      <w:r w:rsidRPr="00E24F04">
        <w:rPr>
          <w:rFonts w:ascii="Calibri" w:hAnsi="Calibri" w:cs="Calibri"/>
          <w:b/>
          <w:bCs/>
          <w:color w:val="000000"/>
          <w:sz w:val="22"/>
          <w:szCs w:val="22"/>
          <w:u w:val="single"/>
          <w:lang w:val="en-US"/>
        </w:rPr>
        <w:t>Figure</w:t>
      </w:r>
      <w:r w:rsidRPr="00E24F04">
        <w:rPr>
          <w:rFonts w:ascii="Calibri" w:hAnsi="Calibri" w:cs="Calibri"/>
          <w:b/>
          <w:bCs/>
          <w:color w:val="000000"/>
          <w:sz w:val="22"/>
          <w:szCs w:val="22"/>
          <w:u w:val="single"/>
          <w:lang w:val="en-US"/>
        </w:rPr>
        <w:t xml:space="preserve"> 1</w:t>
      </w:r>
      <w:r w:rsidRPr="00E24F04">
        <w:rPr>
          <w:rFonts w:ascii="Calibri" w:hAnsi="Calibri" w:cs="Calibri"/>
          <w:b/>
          <w:bCs/>
          <w:color w:val="000000"/>
          <w:sz w:val="22"/>
          <w:szCs w:val="22"/>
          <w:u w:val="single"/>
          <w:lang w:val="en-US"/>
        </w:rPr>
        <w:t>: AJCC 8TH edition classification:</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This is a 75% to 90% </w:t>
      </w:r>
      <w:proofErr w:type="spellStart"/>
      <w:r w:rsidRPr="00E24F04">
        <w:rPr>
          <w:rFonts w:ascii="Calibri" w:hAnsi="Calibri" w:cs="Calibri"/>
          <w:color w:val="000000"/>
          <w:sz w:val="22"/>
          <w:szCs w:val="22"/>
          <w:lang w:val="en-US"/>
        </w:rPr>
        <w:t>lymphophilic</w:t>
      </w:r>
      <w:proofErr w:type="spellEnd"/>
      <w:r w:rsidRPr="00E24F04">
        <w:rPr>
          <w:rFonts w:ascii="Calibri" w:hAnsi="Calibri" w:cs="Calibri"/>
          <w:color w:val="000000"/>
          <w:sz w:val="22"/>
          <w:szCs w:val="22"/>
          <w:lang w:val="en-US"/>
        </w:rPr>
        <w:t xml:space="preserve"> cancer, with </w:t>
      </w:r>
      <w:proofErr w:type="spellStart"/>
      <w:r w:rsidRPr="00E24F04">
        <w:rPr>
          <w:rFonts w:ascii="Calibri" w:hAnsi="Calibri" w:cs="Calibri"/>
          <w:color w:val="000000"/>
          <w:sz w:val="22"/>
          <w:szCs w:val="22"/>
          <w:lang w:val="en-US"/>
        </w:rPr>
        <w:t>bilaterality</w:t>
      </w:r>
      <w:proofErr w:type="spellEnd"/>
      <w:r w:rsidRPr="00E24F04">
        <w:rPr>
          <w:rFonts w:ascii="Calibri" w:hAnsi="Calibri" w:cs="Calibri"/>
          <w:color w:val="000000"/>
          <w:sz w:val="22"/>
          <w:szCs w:val="22"/>
          <w:lang w:val="en-US"/>
        </w:rPr>
        <w:t xml:space="preserve"> in 50% of cases. In our series, patients were classified as N0 in 15%, N1 in 38%, </w:t>
      </w:r>
      <w:proofErr w:type="gramStart"/>
      <w:r w:rsidRPr="00E24F04">
        <w:rPr>
          <w:rFonts w:ascii="Calibri" w:hAnsi="Calibri" w:cs="Calibri"/>
          <w:color w:val="000000"/>
          <w:sz w:val="22"/>
          <w:szCs w:val="22"/>
          <w:lang w:val="en-US"/>
        </w:rPr>
        <w:t>N2</w:t>
      </w:r>
      <w:proofErr w:type="gramEnd"/>
      <w:r w:rsidRPr="00E24F04">
        <w:rPr>
          <w:rFonts w:ascii="Calibri" w:hAnsi="Calibri" w:cs="Calibri"/>
          <w:color w:val="000000"/>
          <w:sz w:val="22"/>
          <w:szCs w:val="22"/>
          <w:lang w:val="en-US"/>
        </w:rPr>
        <w:t xml:space="preserve"> in 37%, and N3 in 10% of patients. </w:t>
      </w:r>
    </w:p>
    <w:p w:rsidR="003E23EE" w:rsidRPr="00F66C7A" w:rsidRDefault="003E23EE" w:rsidP="003E23EE">
      <w:pPr>
        <w:pStyle w:val="calibri"/>
        <w:rPr>
          <w:rFonts w:ascii="Calibri" w:hAnsi="Calibri" w:cs="Calibri"/>
          <w:color w:val="000000"/>
          <w:sz w:val="22"/>
          <w:szCs w:val="22"/>
        </w:rPr>
      </w:pPr>
      <w:r w:rsidRPr="003E23EE">
        <w:rPr>
          <w:rFonts w:ascii="Calibri" w:hAnsi="Calibri" w:cs="Calibri"/>
          <w:noProof/>
          <w:color w:val="000000"/>
          <w:sz w:val="22"/>
          <w:szCs w:val="22"/>
        </w:rPr>
        <w:lastRenderedPageBreak/>
        <w:drawing>
          <wp:inline distT="0" distB="0" distL="0" distR="0" wp14:anchorId="27EBBE34" wp14:editId="19ECA929">
            <wp:extent cx="4254500" cy="3444240"/>
            <wp:effectExtent l="0" t="0" r="12700" b="381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05B4B" w:rsidRPr="00205B4B" w:rsidRDefault="00205B4B" w:rsidP="00A22CFC">
      <w:pPr>
        <w:pStyle w:val="calibri"/>
        <w:rPr>
          <w:rFonts w:ascii="Calibri" w:hAnsi="Calibri" w:cs="Calibri"/>
          <w:b/>
          <w:bCs/>
          <w:color w:val="000000"/>
          <w:sz w:val="22"/>
          <w:szCs w:val="22"/>
          <w:u w:val="single"/>
          <w:lang w:val="en-US"/>
        </w:rPr>
      </w:pPr>
      <w:r w:rsidRPr="00205B4B">
        <w:rPr>
          <w:rFonts w:ascii="Calibri" w:hAnsi="Calibri" w:cs="Calibri"/>
          <w:b/>
          <w:bCs/>
          <w:color w:val="000000"/>
          <w:sz w:val="22"/>
          <w:szCs w:val="22"/>
          <w:u w:val="single"/>
          <w:lang w:val="en-US"/>
        </w:rPr>
        <w:t>Figure</w:t>
      </w:r>
      <w:r w:rsidR="00925D9A">
        <w:rPr>
          <w:rFonts w:ascii="Calibri" w:hAnsi="Calibri" w:cs="Calibri"/>
          <w:b/>
          <w:bCs/>
          <w:color w:val="000000"/>
          <w:sz w:val="22"/>
          <w:szCs w:val="22"/>
          <w:u w:val="single"/>
          <w:lang w:val="en-US"/>
        </w:rPr>
        <w:t xml:space="preserve"> </w:t>
      </w:r>
      <w:proofErr w:type="gramStart"/>
      <w:r w:rsidR="00925D9A">
        <w:rPr>
          <w:rFonts w:ascii="Calibri" w:hAnsi="Calibri" w:cs="Calibri"/>
          <w:b/>
          <w:bCs/>
          <w:color w:val="000000"/>
          <w:sz w:val="22"/>
          <w:szCs w:val="22"/>
          <w:u w:val="single"/>
          <w:lang w:val="en-US"/>
        </w:rPr>
        <w:t>2</w:t>
      </w:r>
      <w:r w:rsidRPr="00205B4B">
        <w:rPr>
          <w:rFonts w:ascii="Calibri" w:hAnsi="Calibri" w:cs="Calibri"/>
          <w:b/>
          <w:bCs/>
          <w:color w:val="000000"/>
          <w:sz w:val="22"/>
          <w:szCs w:val="22"/>
          <w:u w:val="single"/>
          <w:lang w:val="en-US"/>
        </w:rPr>
        <w:t> :</w:t>
      </w:r>
      <w:proofErr w:type="gramEnd"/>
      <w:r w:rsidRPr="00205B4B">
        <w:rPr>
          <w:rFonts w:ascii="Calibri" w:hAnsi="Calibri" w:cs="Calibri"/>
          <w:b/>
          <w:bCs/>
          <w:color w:val="000000"/>
          <w:sz w:val="22"/>
          <w:szCs w:val="22"/>
          <w:u w:val="single"/>
          <w:lang w:val="en-US"/>
        </w:rPr>
        <w:t xml:space="preserve"> Lymph nodes </w:t>
      </w:r>
      <w:proofErr w:type="spellStart"/>
      <w:r w:rsidRPr="00205B4B">
        <w:rPr>
          <w:rFonts w:ascii="Calibri" w:hAnsi="Calibri" w:cs="Calibri"/>
          <w:b/>
          <w:bCs/>
          <w:color w:val="000000"/>
          <w:sz w:val="22"/>
          <w:szCs w:val="22"/>
          <w:u w:val="single"/>
          <w:lang w:val="en-US"/>
        </w:rPr>
        <w:t>statut</w:t>
      </w:r>
      <w:proofErr w:type="spellEnd"/>
      <w:r w:rsidRPr="00205B4B">
        <w:rPr>
          <w:rFonts w:ascii="Calibri" w:hAnsi="Calibri" w:cs="Calibri"/>
          <w:b/>
          <w:bCs/>
          <w:color w:val="000000"/>
          <w:sz w:val="22"/>
          <w:szCs w:val="22"/>
          <w:u w:val="single"/>
          <w:lang w:val="en-US"/>
        </w:rPr>
        <w:t xml:space="preserve"> for our patients.</w:t>
      </w:r>
    </w:p>
    <w:p w:rsidR="00E24F04" w:rsidRPr="00E24F04" w:rsidRDefault="00E24F04" w:rsidP="00E24F04">
      <w:pPr>
        <w:pStyle w:val="calibri"/>
        <w:rPr>
          <w:rFonts w:ascii="Calibri" w:hAnsi="Calibri" w:cs="Calibri"/>
          <w:color w:val="000000"/>
          <w:sz w:val="22"/>
          <w:szCs w:val="22"/>
          <w:lang w:val="en-US"/>
        </w:rPr>
      </w:pPr>
      <w:proofErr w:type="gramStart"/>
      <w:r w:rsidRPr="00E24F04">
        <w:rPr>
          <w:rFonts w:ascii="Calibri" w:hAnsi="Calibri" w:cs="Calibri"/>
          <w:color w:val="000000"/>
          <w:sz w:val="22"/>
          <w:szCs w:val="22"/>
          <w:lang w:val="en-US"/>
        </w:rPr>
        <w:t xml:space="preserve">Nasopharyngeal cancer is a radiosensitive and </w:t>
      </w:r>
      <w:proofErr w:type="spellStart"/>
      <w:r w:rsidRPr="00E24F04">
        <w:rPr>
          <w:rFonts w:ascii="Calibri" w:hAnsi="Calibri" w:cs="Calibri"/>
          <w:color w:val="000000"/>
          <w:sz w:val="22"/>
          <w:szCs w:val="22"/>
          <w:lang w:val="en-US"/>
        </w:rPr>
        <w:t>chemosensitive</w:t>
      </w:r>
      <w:proofErr w:type="spellEnd"/>
      <w:r w:rsidRPr="00E24F04">
        <w:rPr>
          <w:rFonts w:ascii="Calibri" w:hAnsi="Calibri" w:cs="Calibri"/>
          <w:color w:val="000000"/>
          <w:sz w:val="22"/>
          <w:szCs w:val="22"/>
          <w:lang w:val="en-US"/>
        </w:rPr>
        <w:t xml:space="preserve"> cancer, and concomitant radio-chemotherapy is the standard treatment, particularly for stages III to IVA of the 8th edition of the AJCC (American Joint Commission on Cancer) and UICC (Union for International Cancer Control) classification [2], in terms of overall survival confirmed by several randomized trials, including </w:t>
      </w:r>
      <w:proofErr w:type="spellStart"/>
      <w:r w:rsidRPr="00E24F04">
        <w:rPr>
          <w:rFonts w:ascii="Calibri" w:hAnsi="Calibri" w:cs="Calibri"/>
          <w:color w:val="000000"/>
          <w:sz w:val="22"/>
          <w:szCs w:val="22"/>
          <w:lang w:val="en-US"/>
        </w:rPr>
        <w:t>Alsarraf's</w:t>
      </w:r>
      <w:proofErr w:type="spellEnd"/>
      <w:r w:rsidRPr="00E24F04">
        <w:rPr>
          <w:rFonts w:ascii="Calibri" w:hAnsi="Calibri" w:cs="Calibri"/>
          <w:color w:val="000000"/>
          <w:sz w:val="22"/>
          <w:szCs w:val="22"/>
          <w:lang w:val="en-US"/>
        </w:rPr>
        <w:t xml:space="preserve"> Intergroup trial in 1999 and the meta-analysis by </w:t>
      </w:r>
      <w:proofErr w:type="spellStart"/>
      <w:r w:rsidRPr="00E24F04">
        <w:rPr>
          <w:rFonts w:ascii="Calibri" w:hAnsi="Calibri" w:cs="Calibri"/>
          <w:color w:val="000000"/>
          <w:sz w:val="22"/>
          <w:szCs w:val="22"/>
          <w:lang w:val="en-US"/>
        </w:rPr>
        <w:t>Baujat</w:t>
      </w:r>
      <w:proofErr w:type="spellEnd"/>
      <w:r w:rsidRPr="00E24F04">
        <w:rPr>
          <w:rFonts w:ascii="Calibri" w:hAnsi="Calibri" w:cs="Calibri"/>
          <w:color w:val="000000"/>
          <w:sz w:val="22"/>
          <w:szCs w:val="22"/>
          <w:lang w:val="en-US"/>
        </w:rPr>
        <w:t xml:space="preserve"> et al.</w:t>
      </w:r>
      <w:proofErr w:type="gramEnd"/>
      <w:r w:rsidRPr="00E24F04">
        <w:rPr>
          <w:rFonts w:ascii="Calibri" w:hAnsi="Calibri" w:cs="Calibri"/>
          <w:color w:val="000000"/>
          <w:sz w:val="22"/>
          <w:szCs w:val="22"/>
          <w:lang w:val="en-US"/>
        </w:rPr>
        <w:t xml:space="preserve"> These data were updated in 2015 by Blanchard et al [3], who found a 6.3% benefit in terms of 5-year overall survival rate from the addition of concomitant chemotherapy to radiotherapy. </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Despite the advent of intensity-modulated conformal radiotherapy (IMRT) and the addition of induction or adjuvant chemotherapy, the prognosis at these stages remains unfavorable, with high rates of </w:t>
      </w:r>
      <w:proofErr w:type="spellStart"/>
      <w:r w:rsidRPr="00E24F04">
        <w:rPr>
          <w:rFonts w:ascii="Calibri" w:hAnsi="Calibri" w:cs="Calibri"/>
          <w:color w:val="000000"/>
          <w:sz w:val="22"/>
          <w:szCs w:val="22"/>
          <w:lang w:val="en-US"/>
        </w:rPr>
        <w:t>locoregional</w:t>
      </w:r>
      <w:proofErr w:type="spellEnd"/>
      <w:r w:rsidRPr="00E24F04">
        <w:rPr>
          <w:rFonts w:ascii="Calibri" w:hAnsi="Calibri" w:cs="Calibri"/>
          <w:color w:val="000000"/>
          <w:sz w:val="22"/>
          <w:szCs w:val="22"/>
          <w:lang w:val="en-US"/>
        </w:rPr>
        <w:t xml:space="preserve"> recurrence and metastatic relapse.</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Concomitant </w:t>
      </w:r>
      <w:proofErr w:type="spellStart"/>
      <w:r w:rsidRPr="00E24F04">
        <w:rPr>
          <w:rFonts w:ascii="Calibri" w:hAnsi="Calibri" w:cs="Calibri"/>
          <w:color w:val="000000"/>
          <w:sz w:val="22"/>
          <w:szCs w:val="22"/>
          <w:lang w:val="en-US"/>
        </w:rPr>
        <w:t>chemoradiotherapy</w:t>
      </w:r>
      <w:proofErr w:type="spellEnd"/>
      <w:r w:rsidRPr="00E24F04">
        <w:rPr>
          <w:rFonts w:ascii="Calibri" w:hAnsi="Calibri" w:cs="Calibri"/>
          <w:color w:val="000000"/>
          <w:sz w:val="22"/>
          <w:szCs w:val="22"/>
          <w:lang w:val="en-US"/>
        </w:rPr>
        <w:t xml:space="preserve"> is the standard treatment for stage III and IVA tumors. The reference drug is </w:t>
      </w:r>
      <w:proofErr w:type="spellStart"/>
      <w:r w:rsidRPr="00E24F04">
        <w:rPr>
          <w:rFonts w:ascii="Calibri" w:hAnsi="Calibri" w:cs="Calibri"/>
          <w:color w:val="000000"/>
          <w:sz w:val="22"/>
          <w:szCs w:val="22"/>
          <w:lang w:val="en-US"/>
        </w:rPr>
        <w:t>cisplatin</w:t>
      </w:r>
      <w:proofErr w:type="spellEnd"/>
      <w:r w:rsidRPr="00E24F04">
        <w:rPr>
          <w:rFonts w:ascii="Calibri" w:hAnsi="Calibri" w:cs="Calibri"/>
          <w:color w:val="000000"/>
          <w:sz w:val="22"/>
          <w:szCs w:val="22"/>
          <w:lang w:val="en-US"/>
        </w:rPr>
        <w:t xml:space="preserve">.  The most commonly used regimens are </w:t>
      </w:r>
      <w:proofErr w:type="spellStart"/>
      <w:r w:rsidRPr="00E24F04">
        <w:rPr>
          <w:rFonts w:ascii="Calibri" w:hAnsi="Calibri" w:cs="Calibri"/>
          <w:color w:val="000000"/>
          <w:sz w:val="22"/>
          <w:szCs w:val="22"/>
          <w:lang w:val="en-US"/>
        </w:rPr>
        <w:t>cisplatin</w:t>
      </w:r>
      <w:proofErr w:type="spellEnd"/>
      <w:r w:rsidRPr="00E24F04">
        <w:rPr>
          <w:rFonts w:ascii="Calibri" w:hAnsi="Calibri" w:cs="Calibri"/>
          <w:color w:val="000000"/>
          <w:sz w:val="22"/>
          <w:szCs w:val="22"/>
          <w:lang w:val="en-US"/>
        </w:rPr>
        <w:t xml:space="preserve"> 100 mg/m2 every three weeks or 40 mg/m2/week [3], [4].  Despite the benefits of adding concomitant chemotherapy, relapses remained frequent (30-40%), and treatment intensification was proposed.</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Induction chemotherapy followed by </w:t>
      </w:r>
      <w:proofErr w:type="spellStart"/>
      <w:r w:rsidRPr="00E24F04">
        <w:rPr>
          <w:rFonts w:ascii="Calibri" w:hAnsi="Calibri" w:cs="Calibri"/>
          <w:color w:val="000000"/>
          <w:sz w:val="22"/>
          <w:szCs w:val="22"/>
          <w:lang w:val="en-US"/>
        </w:rPr>
        <w:t>chemoradiotherapy</w:t>
      </w:r>
      <w:proofErr w:type="spellEnd"/>
      <w:r w:rsidRPr="00E24F04">
        <w:rPr>
          <w:rFonts w:ascii="Calibri" w:hAnsi="Calibri" w:cs="Calibri"/>
          <w:color w:val="000000"/>
          <w:sz w:val="22"/>
          <w:szCs w:val="22"/>
          <w:lang w:val="en-US"/>
        </w:rPr>
        <w:t xml:space="preserve"> is the new standard for locally advanced nasopharyngeal carcinoma. For stages III-IVA, the European Society for Medical Cancer (ESMO) and the European Reference Network for Rare Adult Solid Cancers (EURACAN) recommend either induction chemotherapy followed by </w:t>
      </w:r>
      <w:proofErr w:type="spellStart"/>
      <w:r w:rsidRPr="00E24F04">
        <w:rPr>
          <w:rFonts w:ascii="Calibri" w:hAnsi="Calibri" w:cs="Calibri"/>
          <w:color w:val="000000"/>
          <w:sz w:val="22"/>
          <w:szCs w:val="22"/>
          <w:lang w:val="en-US"/>
        </w:rPr>
        <w:t>chemoradiotherapy</w:t>
      </w:r>
      <w:proofErr w:type="spellEnd"/>
      <w:r w:rsidRPr="00E24F04">
        <w:rPr>
          <w:rFonts w:ascii="Calibri" w:hAnsi="Calibri" w:cs="Calibri"/>
          <w:color w:val="000000"/>
          <w:sz w:val="22"/>
          <w:szCs w:val="22"/>
          <w:lang w:val="en-US"/>
        </w:rPr>
        <w:t xml:space="preserve">, </w:t>
      </w:r>
      <w:proofErr w:type="spellStart"/>
      <w:r w:rsidRPr="00E24F04">
        <w:rPr>
          <w:rFonts w:ascii="Calibri" w:hAnsi="Calibri" w:cs="Calibri"/>
          <w:color w:val="000000"/>
          <w:sz w:val="22"/>
          <w:szCs w:val="22"/>
          <w:lang w:val="en-US"/>
        </w:rPr>
        <w:t>chemoradiotherapy</w:t>
      </w:r>
      <w:proofErr w:type="spellEnd"/>
      <w:r w:rsidRPr="00E24F04">
        <w:rPr>
          <w:rFonts w:ascii="Calibri" w:hAnsi="Calibri" w:cs="Calibri"/>
          <w:color w:val="000000"/>
          <w:sz w:val="22"/>
          <w:szCs w:val="22"/>
          <w:lang w:val="en-US"/>
        </w:rPr>
        <w:t xml:space="preserve"> alone, or </w:t>
      </w:r>
      <w:proofErr w:type="spellStart"/>
      <w:r w:rsidRPr="00E24F04">
        <w:rPr>
          <w:rFonts w:ascii="Calibri" w:hAnsi="Calibri" w:cs="Calibri"/>
          <w:color w:val="000000"/>
          <w:sz w:val="22"/>
          <w:szCs w:val="22"/>
          <w:lang w:val="en-US"/>
        </w:rPr>
        <w:t>chemoradiotherapy</w:t>
      </w:r>
      <w:proofErr w:type="spellEnd"/>
      <w:r w:rsidRPr="00E24F04">
        <w:rPr>
          <w:rFonts w:ascii="Calibri" w:hAnsi="Calibri" w:cs="Calibri"/>
          <w:color w:val="000000"/>
          <w:sz w:val="22"/>
          <w:szCs w:val="22"/>
          <w:lang w:val="en-US"/>
        </w:rPr>
        <w:t xml:space="preserve"> followed by adjuvant chemotherapy [5]. </w:t>
      </w:r>
    </w:p>
    <w:p w:rsidR="00E24F04" w:rsidRPr="00E24F04" w:rsidRDefault="00E24F04" w:rsidP="00E24F04">
      <w:pPr>
        <w:pStyle w:val="calibri"/>
        <w:rPr>
          <w:rFonts w:ascii="Calibri" w:hAnsi="Calibri" w:cs="Calibri"/>
          <w:color w:val="000000"/>
          <w:sz w:val="22"/>
          <w:szCs w:val="22"/>
          <w:lang w:val="en-US"/>
        </w:rPr>
      </w:pPr>
      <w:r w:rsidRPr="00E24F04">
        <w:rPr>
          <w:rFonts w:ascii="Calibri" w:hAnsi="Calibri" w:cs="Calibri"/>
          <w:color w:val="000000"/>
          <w:sz w:val="22"/>
          <w:szCs w:val="22"/>
          <w:lang w:val="en-US"/>
        </w:rPr>
        <w:t xml:space="preserve">Induction chemotherapy provides early symptom relief, early eradication of </w:t>
      </w:r>
      <w:proofErr w:type="spellStart"/>
      <w:r w:rsidRPr="00E24F04">
        <w:rPr>
          <w:rFonts w:ascii="Calibri" w:hAnsi="Calibri" w:cs="Calibri"/>
          <w:color w:val="000000"/>
          <w:sz w:val="22"/>
          <w:szCs w:val="22"/>
          <w:lang w:val="en-US"/>
        </w:rPr>
        <w:t>micrometastatic</w:t>
      </w:r>
      <w:proofErr w:type="spellEnd"/>
      <w:r w:rsidRPr="00E24F04">
        <w:rPr>
          <w:rFonts w:ascii="Calibri" w:hAnsi="Calibri" w:cs="Calibri"/>
          <w:color w:val="000000"/>
          <w:sz w:val="22"/>
          <w:szCs w:val="22"/>
          <w:lang w:val="en-US"/>
        </w:rPr>
        <w:t xml:space="preserve"> disease and a reduction in macroscopic tumor volume, thus facilitating irradiation and sparing nearby critical structures. </w:t>
      </w:r>
      <w:proofErr w:type="gramStart"/>
      <w:r w:rsidRPr="00E24F04">
        <w:rPr>
          <w:rFonts w:ascii="Calibri" w:hAnsi="Calibri" w:cs="Calibri"/>
          <w:color w:val="000000"/>
          <w:sz w:val="22"/>
          <w:szCs w:val="22"/>
          <w:lang w:val="en-US"/>
        </w:rPr>
        <w:t xml:space="preserve">In the first meta-analysis of individual data from four randomized trials, Chen et al [6] found that the addition of induction chemotherapy to </w:t>
      </w:r>
      <w:proofErr w:type="spellStart"/>
      <w:r w:rsidRPr="00E24F04">
        <w:rPr>
          <w:rFonts w:ascii="Calibri" w:hAnsi="Calibri" w:cs="Calibri"/>
          <w:color w:val="000000"/>
          <w:sz w:val="22"/>
          <w:szCs w:val="22"/>
          <w:lang w:val="en-US"/>
        </w:rPr>
        <w:t>chemoradiotherapy</w:t>
      </w:r>
      <w:proofErr w:type="spellEnd"/>
      <w:r w:rsidRPr="00E24F04">
        <w:rPr>
          <w:rFonts w:ascii="Calibri" w:hAnsi="Calibri" w:cs="Calibri"/>
          <w:color w:val="000000"/>
          <w:sz w:val="22"/>
          <w:szCs w:val="22"/>
          <w:lang w:val="en-US"/>
        </w:rPr>
        <w:t xml:space="preserve"> was associated with an absolute benefit of 6.5% at 5 years in the probability of metastasis-free survival (p = 0.008), 9.3% in </w:t>
      </w:r>
      <w:r w:rsidRPr="00E24F04">
        <w:rPr>
          <w:rFonts w:ascii="Calibri" w:hAnsi="Calibri" w:cs="Calibri"/>
          <w:color w:val="000000"/>
          <w:sz w:val="22"/>
          <w:szCs w:val="22"/>
          <w:lang w:val="en-US"/>
        </w:rPr>
        <w:lastRenderedPageBreak/>
        <w:t>the probability of event-free survival (p = 0.0009) and 5.5% in the probability of overall survival (p = 0.04).</w:t>
      </w:r>
      <w:proofErr w:type="gramEnd"/>
      <w:r w:rsidRPr="00E24F04">
        <w:rPr>
          <w:rFonts w:ascii="Calibri" w:hAnsi="Calibri" w:cs="Calibri"/>
          <w:color w:val="000000"/>
          <w:sz w:val="22"/>
          <w:szCs w:val="22"/>
          <w:lang w:val="en-US"/>
        </w:rPr>
        <w:t xml:space="preserve"> In a second meta-analysis published in 2020 of 10 randomized </w:t>
      </w:r>
      <w:proofErr w:type="spellStart"/>
      <w:r w:rsidRPr="00E24F04">
        <w:rPr>
          <w:rFonts w:ascii="Calibri" w:hAnsi="Calibri" w:cs="Calibri"/>
          <w:color w:val="000000"/>
          <w:sz w:val="22"/>
          <w:szCs w:val="22"/>
          <w:lang w:val="en-US"/>
        </w:rPr>
        <w:t>trials,Wang</w:t>
      </w:r>
      <w:proofErr w:type="spellEnd"/>
      <w:r w:rsidRPr="00E24F04">
        <w:rPr>
          <w:rFonts w:ascii="Calibri" w:hAnsi="Calibri" w:cs="Calibri"/>
          <w:color w:val="000000"/>
          <w:sz w:val="22"/>
          <w:szCs w:val="22"/>
          <w:lang w:val="en-US"/>
        </w:rPr>
        <w:t xml:space="preserve"> et al [7] found a significant reduction in </w:t>
      </w:r>
      <w:proofErr w:type="spellStart"/>
      <w:r w:rsidRPr="00E24F04">
        <w:rPr>
          <w:rFonts w:ascii="Calibri" w:hAnsi="Calibri" w:cs="Calibri"/>
          <w:color w:val="000000"/>
          <w:sz w:val="22"/>
          <w:szCs w:val="22"/>
          <w:lang w:val="en-US"/>
        </w:rPr>
        <w:t>locoregional</w:t>
      </w:r>
      <w:proofErr w:type="spellEnd"/>
      <w:r w:rsidRPr="00E24F04">
        <w:rPr>
          <w:rFonts w:ascii="Calibri" w:hAnsi="Calibri" w:cs="Calibri"/>
          <w:color w:val="000000"/>
          <w:sz w:val="22"/>
          <w:szCs w:val="22"/>
          <w:lang w:val="en-US"/>
        </w:rPr>
        <w:t xml:space="preserve"> relapses from 18.6% to 15% (p = 0.002).</w:t>
      </w:r>
    </w:p>
    <w:p w:rsidR="00483A3E" w:rsidRDefault="00CB4D2F" w:rsidP="00483A3E">
      <w:pPr>
        <w:rPr>
          <w:rFonts w:ascii="Calibri" w:hAnsi="Calibri" w:cs="Calibri"/>
          <w:color w:val="000000"/>
          <w:lang w:val="en-US"/>
        </w:rPr>
      </w:pPr>
      <w:r w:rsidRPr="00CB4D2F">
        <w:rPr>
          <w:rFonts w:ascii="Calibri" w:hAnsi="Calibri" w:cs="Calibri"/>
          <w:color w:val="000000"/>
          <w:lang w:val="en-US"/>
        </w:rPr>
        <w:t>I</w:t>
      </w:r>
      <w:r>
        <w:rPr>
          <w:rFonts w:ascii="Calibri" w:hAnsi="Calibri" w:cs="Calibri"/>
          <w:color w:val="000000"/>
          <w:lang w:val="en-US"/>
        </w:rPr>
        <w:t>n our study t</w:t>
      </w:r>
      <w:r w:rsidR="00483A3E" w:rsidRPr="0011695B">
        <w:rPr>
          <w:rFonts w:ascii="Calibri" w:hAnsi="Calibri" w:cs="Calibri"/>
          <w:color w:val="000000"/>
          <w:lang w:val="en-US"/>
        </w:rPr>
        <w:t xml:space="preserve">reatment modalities included </w:t>
      </w:r>
      <w:proofErr w:type="spellStart"/>
      <w:r w:rsidR="00483A3E" w:rsidRPr="0011695B">
        <w:rPr>
          <w:rFonts w:ascii="Calibri" w:hAnsi="Calibri" w:cs="Calibri"/>
          <w:color w:val="000000"/>
          <w:lang w:val="en-US"/>
        </w:rPr>
        <w:t>neoadjuvant</w:t>
      </w:r>
      <w:proofErr w:type="spellEnd"/>
      <w:r w:rsidR="00483A3E" w:rsidRPr="0011695B">
        <w:rPr>
          <w:rFonts w:ascii="Calibri" w:hAnsi="Calibri" w:cs="Calibri"/>
          <w:color w:val="000000"/>
          <w:lang w:val="en-US"/>
        </w:rPr>
        <w:t xml:space="preserve"> chemother</w:t>
      </w:r>
      <w:r>
        <w:rPr>
          <w:rFonts w:ascii="Calibri" w:hAnsi="Calibri" w:cs="Calibri"/>
          <w:color w:val="000000"/>
          <w:lang w:val="en-US"/>
        </w:rPr>
        <w:t xml:space="preserve">apy followed by concurrent </w:t>
      </w:r>
      <w:proofErr w:type="spellStart"/>
      <w:proofErr w:type="gramStart"/>
      <w:r w:rsidR="00483A3E" w:rsidRPr="0011695B">
        <w:rPr>
          <w:rFonts w:ascii="Calibri" w:hAnsi="Calibri" w:cs="Calibri"/>
          <w:color w:val="000000"/>
          <w:lang w:val="en-US"/>
        </w:rPr>
        <w:t>chemoradiotherapy</w:t>
      </w:r>
      <w:proofErr w:type="spellEnd"/>
      <w:r w:rsidR="00483A3E" w:rsidRPr="0011695B">
        <w:rPr>
          <w:rFonts w:ascii="Calibri" w:hAnsi="Calibri" w:cs="Calibri"/>
          <w:color w:val="000000"/>
          <w:lang w:val="en-US"/>
        </w:rPr>
        <w:t xml:space="preserve"> </w:t>
      </w:r>
      <w:r w:rsidR="00483A3E">
        <w:rPr>
          <w:rFonts w:ascii="Calibri" w:hAnsi="Calibri" w:cs="Calibri"/>
          <w:color w:val="000000"/>
          <w:lang w:val="en-US"/>
        </w:rPr>
        <w:t xml:space="preserve"> using</w:t>
      </w:r>
      <w:proofErr w:type="gramEnd"/>
      <w:r w:rsidR="00483A3E">
        <w:rPr>
          <w:rFonts w:ascii="Calibri" w:hAnsi="Calibri" w:cs="Calibri"/>
          <w:color w:val="000000"/>
          <w:lang w:val="en-US"/>
        </w:rPr>
        <w:t xml:space="preserve"> </w:t>
      </w:r>
      <w:proofErr w:type="spellStart"/>
      <w:r w:rsidR="00483A3E">
        <w:rPr>
          <w:color w:val="040C28"/>
        </w:rPr>
        <w:t>cisplatin</w:t>
      </w:r>
      <w:proofErr w:type="spellEnd"/>
      <w:r w:rsidR="00483A3E">
        <w:rPr>
          <w:color w:val="040C28"/>
        </w:rPr>
        <w:t xml:space="preserve"> associated to gemcitabine for three cycles </w:t>
      </w:r>
      <w:r w:rsidR="00483A3E" w:rsidRPr="0011695B">
        <w:rPr>
          <w:rFonts w:ascii="Calibri" w:hAnsi="Calibri" w:cs="Calibri"/>
          <w:color w:val="000000"/>
          <w:lang w:val="en-US"/>
        </w:rPr>
        <w:t xml:space="preserve">in 86% of patients and concurrent </w:t>
      </w:r>
      <w:proofErr w:type="spellStart"/>
      <w:r w:rsidR="00483A3E" w:rsidRPr="0011695B">
        <w:rPr>
          <w:rFonts w:ascii="Calibri" w:hAnsi="Calibri" w:cs="Calibri"/>
          <w:color w:val="000000"/>
          <w:lang w:val="en-US"/>
        </w:rPr>
        <w:t>chemoradiotherapy</w:t>
      </w:r>
      <w:proofErr w:type="spellEnd"/>
      <w:r w:rsidR="00483A3E" w:rsidRPr="0011695B">
        <w:rPr>
          <w:rFonts w:ascii="Calibri" w:hAnsi="Calibri" w:cs="Calibri"/>
          <w:color w:val="000000"/>
          <w:lang w:val="en-US"/>
        </w:rPr>
        <w:t xml:space="preserve"> alone in 14%</w:t>
      </w:r>
      <w:r>
        <w:rPr>
          <w:rFonts w:ascii="Calibri" w:hAnsi="Calibri" w:cs="Calibri"/>
          <w:color w:val="000000"/>
          <w:lang w:val="en-US"/>
        </w:rPr>
        <w:t xml:space="preserve"> cases</w:t>
      </w:r>
      <w:r w:rsidR="00483A3E" w:rsidRPr="0011695B">
        <w:rPr>
          <w:rFonts w:ascii="Calibri" w:hAnsi="Calibri" w:cs="Calibri"/>
          <w:color w:val="000000"/>
          <w:lang w:val="en-US"/>
        </w:rPr>
        <w:t xml:space="preserve">. </w:t>
      </w:r>
    </w:p>
    <w:p w:rsidR="00E24F04" w:rsidRPr="00E24F04" w:rsidRDefault="00E24F04" w:rsidP="00E24F04">
      <w:pPr>
        <w:rPr>
          <w:color w:val="040C28"/>
          <w:lang w:val="en-US"/>
        </w:rPr>
      </w:pPr>
      <w:r w:rsidRPr="00E24F04">
        <w:rPr>
          <w:color w:val="040C28"/>
          <w:lang w:val="en-US"/>
        </w:rPr>
        <w:t xml:space="preserve">Compared with conventional three-dimensional conformal techniques, IMRC significantly reduced acute and late side effects, including </w:t>
      </w:r>
      <w:proofErr w:type="spellStart"/>
      <w:r w:rsidRPr="00E24F04">
        <w:rPr>
          <w:color w:val="040C28"/>
          <w:lang w:val="en-US"/>
        </w:rPr>
        <w:t>xerostomia</w:t>
      </w:r>
      <w:proofErr w:type="spellEnd"/>
      <w:r w:rsidRPr="00E24F04">
        <w:rPr>
          <w:color w:val="040C28"/>
          <w:lang w:val="en-US"/>
        </w:rPr>
        <w:t xml:space="preserve">, neurological toxicity, </w:t>
      </w:r>
      <w:proofErr w:type="spellStart"/>
      <w:r w:rsidRPr="00E24F04">
        <w:rPr>
          <w:color w:val="040C28"/>
          <w:lang w:val="en-US"/>
        </w:rPr>
        <w:t>trismus</w:t>
      </w:r>
      <w:proofErr w:type="spellEnd"/>
      <w:r w:rsidRPr="00E24F04">
        <w:rPr>
          <w:color w:val="040C28"/>
          <w:lang w:val="en-US"/>
        </w:rPr>
        <w:t xml:space="preserve">, </w:t>
      </w:r>
      <w:proofErr w:type="spellStart"/>
      <w:r w:rsidRPr="00E24F04">
        <w:rPr>
          <w:color w:val="040C28"/>
          <w:lang w:val="en-US"/>
        </w:rPr>
        <w:t>hypoacusis</w:t>
      </w:r>
      <w:proofErr w:type="spellEnd"/>
      <w:r w:rsidRPr="00E24F04">
        <w:rPr>
          <w:color w:val="040C28"/>
          <w:lang w:val="en-US"/>
        </w:rPr>
        <w:t>, cervical fibrosis and dysphagia, and thus significantly improved quality of life.</w:t>
      </w:r>
    </w:p>
    <w:p w:rsidR="00E24F04" w:rsidRPr="00E24F04" w:rsidRDefault="00E24F04" w:rsidP="00E24F04">
      <w:pPr>
        <w:rPr>
          <w:color w:val="040C28"/>
          <w:lang w:val="en-US"/>
        </w:rPr>
      </w:pPr>
      <w:r w:rsidRPr="00E24F04">
        <w:rPr>
          <w:color w:val="040C28"/>
          <w:lang w:val="en-US"/>
        </w:rPr>
        <w:t xml:space="preserve">In addition, IMRT provides more consistent and homogeneous coverage of the target volumes to be treated, avoiding the areas of </w:t>
      </w:r>
      <w:proofErr w:type="spellStart"/>
      <w:r w:rsidRPr="00E24F04">
        <w:rPr>
          <w:color w:val="040C28"/>
          <w:lang w:val="en-US"/>
        </w:rPr>
        <w:t>overdosage</w:t>
      </w:r>
      <w:proofErr w:type="spellEnd"/>
      <w:r w:rsidRPr="00E24F04">
        <w:rPr>
          <w:color w:val="040C28"/>
          <w:lang w:val="en-US"/>
        </w:rPr>
        <w:t xml:space="preserve"> found with conventional techniques. Two recent meta-analyses by Du et al [8] and </w:t>
      </w:r>
      <w:proofErr w:type="spellStart"/>
      <w:r w:rsidRPr="00E24F04">
        <w:rPr>
          <w:color w:val="040C28"/>
          <w:lang w:val="en-US"/>
        </w:rPr>
        <w:t>Luo</w:t>
      </w:r>
      <w:proofErr w:type="spellEnd"/>
      <w:r w:rsidRPr="00E24F04">
        <w:rPr>
          <w:color w:val="040C28"/>
          <w:lang w:val="en-US"/>
        </w:rPr>
        <w:t xml:space="preserve"> et al [9] showed that, compared with conventional radiotherapy, RCMI improved not only </w:t>
      </w:r>
      <w:proofErr w:type="spellStart"/>
      <w:r w:rsidRPr="00E24F04">
        <w:rPr>
          <w:color w:val="040C28"/>
          <w:lang w:val="en-US"/>
        </w:rPr>
        <w:t>locoregional</w:t>
      </w:r>
      <w:proofErr w:type="spellEnd"/>
      <w:r w:rsidRPr="00E24F04">
        <w:rPr>
          <w:color w:val="040C28"/>
          <w:lang w:val="en-US"/>
        </w:rPr>
        <w:t xml:space="preserve"> disease control (absolute benefit of 4.7% to 5.8%) and overall survival (absolute benefit of 3.7%), but also event-free survival (absolute benefit of 4.2% to 4.9%), making it the reference irradiation technique for nasopharyngeal cancers.</w:t>
      </w:r>
    </w:p>
    <w:p w:rsidR="00E24F04" w:rsidRPr="00E24F04" w:rsidRDefault="00E24F04" w:rsidP="00E24F04">
      <w:pPr>
        <w:rPr>
          <w:color w:val="040C28"/>
          <w:lang w:val="en-US"/>
        </w:rPr>
      </w:pPr>
      <w:r w:rsidRPr="00E24F04">
        <w:rPr>
          <w:color w:val="040C28"/>
          <w:lang w:val="en-US"/>
        </w:rPr>
        <w:t>Volumetric intensity modulated arc therapy (VMAT) offers a major reduction in treatment time. VMAT is not simply a rotational form of IMRT, since dose rate, arm speed and collimator blade position can vary continuously during a treatment session.</w:t>
      </w:r>
    </w:p>
    <w:p w:rsidR="00E24F04" w:rsidRPr="00E24F04" w:rsidRDefault="00E24F04" w:rsidP="00E24F04">
      <w:pPr>
        <w:rPr>
          <w:color w:val="040C28"/>
          <w:lang w:val="en-US"/>
        </w:rPr>
      </w:pPr>
      <w:r w:rsidRPr="00E24F04">
        <w:rPr>
          <w:lang w:val="en-US"/>
        </w:rPr>
        <w:t xml:space="preserve">This technique significantly improves </w:t>
      </w:r>
      <w:proofErr w:type="spellStart"/>
      <w:r w:rsidRPr="00E24F04">
        <w:rPr>
          <w:lang w:val="en-US"/>
        </w:rPr>
        <w:t>dosimetric</w:t>
      </w:r>
      <w:proofErr w:type="spellEnd"/>
      <w:r w:rsidRPr="00E24F04">
        <w:rPr>
          <w:lang w:val="en-US"/>
        </w:rPr>
        <w:t xml:space="preserve"> coverage of complex tumor volumes while better preserving surrounding healthy tissue.</w:t>
      </w:r>
    </w:p>
    <w:p w:rsidR="00A22CFC" w:rsidRDefault="00CB4D2F" w:rsidP="00913FB2">
      <w:pPr>
        <w:pStyle w:val="calibri"/>
        <w:rPr>
          <w:rFonts w:ascii="Calibri" w:hAnsi="Calibri" w:cs="Calibri"/>
          <w:color w:val="000000"/>
          <w:sz w:val="22"/>
          <w:szCs w:val="22"/>
          <w:lang w:val="en-US"/>
        </w:rPr>
      </w:pPr>
      <w:r w:rsidRPr="00E24F04">
        <w:rPr>
          <w:rFonts w:asciiTheme="minorHAnsi" w:eastAsiaTheme="minorHAnsi" w:hAnsiTheme="minorHAnsi" w:cstheme="minorBidi"/>
          <w:sz w:val="22"/>
          <w:szCs w:val="22"/>
          <w:lang w:val="en-US" w:eastAsia="en-US"/>
        </w:rPr>
        <w:t xml:space="preserve">For our study </w:t>
      </w:r>
      <w:r w:rsidR="00483A3E" w:rsidRPr="00E24F04">
        <w:rPr>
          <w:rFonts w:asciiTheme="minorHAnsi" w:eastAsiaTheme="minorHAnsi" w:hAnsiTheme="minorHAnsi" w:cstheme="minorBidi"/>
          <w:sz w:val="22"/>
          <w:szCs w:val="22"/>
          <w:lang w:val="en-US" w:eastAsia="en-US"/>
        </w:rPr>
        <w:t xml:space="preserve">concurrent </w:t>
      </w:r>
      <w:proofErr w:type="spellStart"/>
      <w:r w:rsidR="00483A3E" w:rsidRPr="00E24F04">
        <w:rPr>
          <w:rFonts w:asciiTheme="minorHAnsi" w:eastAsiaTheme="minorHAnsi" w:hAnsiTheme="minorHAnsi" w:cstheme="minorBidi"/>
          <w:sz w:val="22"/>
          <w:szCs w:val="22"/>
          <w:lang w:val="en-US" w:eastAsia="en-US"/>
        </w:rPr>
        <w:t>chemoradiotherapy</w:t>
      </w:r>
      <w:proofErr w:type="spellEnd"/>
      <w:r w:rsidR="00483A3E" w:rsidRPr="00E24F04">
        <w:rPr>
          <w:rFonts w:asciiTheme="minorHAnsi" w:eastAsiaTheme="minorHAnsi" w:hAnsiTheme="minorHAnsi" w:cstheme="minorBidi"/>
          <w:sz w:val="22"/>
          <w:szCs w:val="22"/>
          <w:lang w:val="en-US" w:eastAsia="en-US"/>
        </w:rPr>
        <w:t xml:space="preserve">, total dose was 69,96-70 Gray in 33-35 fractions 5 days a week using Volumetric Modulated Arc Therapy (VMAT) plus </w:t>
      </w:r>
      <w:proofErr w:type="spellStart"/>
      <w:r w:rsidR="00483A3E" w:rsidRPr="00E24F04">
        <w:rPr>
          <w:rFonts w:asciiTheme="minorHAnsi" w:eastAsiaTheme="minorHAnsi" w:hAnsiTheme="minorHAnsi" w:cstheme="minorBidi"/>
          <w:sz w:val="22"/>
          <w:szCs w:val="22"/>
          <w:lang w:val="en-US" w:eastAsia="en-US"/>
        </w:rPr>
        <w:t>cisplatin</w:t>
      </w:r>
      <w:proofErr w:type="spellEnd"/>
      <w:r w:rsidR="00483A3E" w:rsidRPr="00E24F04">
        <w:rPr>
          <w:rFonts w:asciiTheme="minorHAnsi" w:eastAsiaTheme="minorHAnsi" w:hAnsiTheme="minorHAnsi" w:cstheme="minorBidi"/>
          <w:sz w:val="22"/>
          <w:szCs w:val="22"/>
          <w:lang w:val="en-US" w:eastAsia="en-US"/>
        </w:rPr>
        <w:t xml:space="preserve"> weekly at a dose of 40 mg per square meter of body surface.</w:t>
      </w:r>
      <w:r w:rsidR="00F66C7A" w:rsidRPr="00E24F04">
        <w:rPr>
          <w:rFonts w:asciiTheme="minorHAnsi" w:eastAsiaTheme="minorHAnsi" w:hAnsiTheme="minorHAnsi" w:cstheme="minorBidi"/>
          <w:sz w:val="22"/>
          <w:szCs w:val="22"/>
          <w:lang w:val="en-US" w:eastAsia="en-US"/>
        </w:rPr>
        <w:t xml:space="preserve"> </w:t>
      </w:r>
      <w:r w:rsidR="00A22CFC" w:rsidRPr="00913FB2">
        <w:rPr>
          <w:rFonts w:asciiTheme="minorHAnsi" w:eastAsiaTheme="minorHAnsi" w:hAnsiTheme="minorHAnsi" w:cstheme="minorBidi"/>
          <w:sz w:val="22"/>
          <w:szCs w:val="22"/>
          <w:lang w:val="en-US" w:eastAsia="en-US"/>
        </w:rPr>
        <w:t>Acute toxicities reported in 42% of patients, with</w:t>
      </w:r>
      <w:r w:rsidR="00913FB2">
        <w:rPr>
          <w:rFonts w:ascii="Calibri" w:hAnsi="Calibri" w:cs="Calibri"/>
          <w:color w:val="000000"/>
          <w:sz w:val="22"/>
          <w:szCs w:val="22"/>
          <w:lang w:val="en-US"/>
        </w:rPr>
        <w:t xml:space="preserve"> higher incidence</w:t>
      </w:r>
      <w:r w:rsidR="00A22CFC" w:rsidRPr="0011695B">
        <w:rPr>
          <w:rFonts w:ascii="Calibri" w:hAnsi="Calibri" w:cs="Calibri"/>
          <w:color w:val="000000"/>
          <w:sz w:val="22"/>
          <w:szCs w:val="22"/>
          <w:lang w:val="en-US"/>
        </w:rPr>
        <w:t xml:space="preserve"> of </w:t>
      </w:r>
      <w:proofErr w:type="spellStart"/>
      <w:r w:rsidR="00A22CFC" w:rsidRPr="0011695B">
        <w:rPr>
          <w:rFonts w:ascii="Calibri" w:hAnsi="Calibri" w:cs="Calibri"/>
          <w:color w:val="000000"/>
          <w:sz w:val="22"/>
          <w:szCs w:val="22"/>
          <w:lang w:val="en-US"/>
        </w:rPr>
        <w:t>radiomucositis</w:t>
      </w:r>
      <w:proofErr w:type="spellEnd"/>
      <w:r w:rsidR="00A22CFC" w:rsidRPr="0011695B">
        <w:rPr>
          <w:rFonts w:ascii="Calibri" w:hAnsi="Calibri" w:cs="Calibri"/>
          <w:color w:val="000000"/>
          <w:sz w:val="22"/>
          <w:szCs w:val="22"/>
          <w:lang w:val="en-US"/>
        </w:rPr>
        <w:t xml:space="preserve"> Grade 2 and 3 observed in N3 lymph node status (20%) and in patients with larger GTV size (25%).</w:t>
      </w:r>
      <w:r w:rsidR="00DB502C">
        <w:rPr>
          <w:rFonts w:ascii="Calibri" w:hAnsi="Calibri" w:cs="Calibri"/>
          <w:color w:val="000000"/>
          <w:lang w:val="en-US"/>
        </w:rPr>
        <w:t xml:space="preserve"> </w:t>
      </w:r>
      <w:r w:rsidR="00913FB2">
        <w:rPr>
          <w:rFonts w:ascii="Calibri" w:hAnsi="Calibri" w:cs="Calibri"/>
          <w:color w:val="000000"/>
          <w:lang w:val="en-US"/>
        </w:rPr>
        <w:t xml:space="preserve"> </w:t>
      </w:r>
      <w:r w:rsidR="00A22CFC" w:rsidRPr="0011695B">
        <w:rPr>
          <w:rFonts w:ascii="Calibri" w:hAnsi="Calibri" w:cs="Calibri"/>
          <w:color w:val="000000"/>
          <w:sz w:val="22"/>
          <w:szCs w:val="22"/>
          <w:lang w:val="en-US"/>
        </w:rPr>
        <w:t xml:space="preserve">Late toxicities included grade 1-2 </w:t>
      </w:r>
      <w:proofErr w:type="spellStart"/>
      <w:r w:rsidR="00A22CFC" w:rsidRPr="0011695B">
        <w:rPr>
          <w:rFonts w:ascii="Calibri" w:hAnsi="Calibri" w:cs="Calibri"/>
          <w:color w:val="000000"/>
          <w:sz w:val="22"/>
          <w:szCs w:val="22"/>
          <w:lang w:val="en-US"/>
        </w:rPr>
        <w:t>xerostomia</w:t>
      </w:r>
      <w:proofErr w:type="spellEnd"/>
      <w:r w:rsidR="00A22CFC" w:rsidRPr="0011695B">
        <w:rPr>
          <w:rFonts w:ascii="Calibri" w:hAnsi="Calibri" w:cs="Calibri"/>
          <w:color w:val="000000"/>
          <w:sz w:val="22"/>
          <w:szCs w:val="22"/>
          <w:lang w:val="en-US"/>
        </w:rPr>
        <w:t xml:space="preserve"> in 45% of patients and grade </w:t>
      </w:r>
      <w:proofErr w:type="gramStart"/>
      <w:r w:rsidR="00A22CFC" w:rsidRPr="0011695B">
        <w:rPr>
          <w:rFonts w:ascii="Calibri" w:hAnsi="Calibri" w:cs="Calibri"/>
          <w:color w:val="000000"/>
          <w:sz w:val="22"/>
          <w:szCs w:val="22"/>
          <w:lang w:val="en-US"/>
        </w:rPr>
        <w:t>1</w:t>
      </w:r>
      <w:proofErr w:type="gramEnd"/>
      <w:r w:rsidR="00A22CFC" w:rsidRPr="0011695B">
        <w:rPr>
          <w:rFonts w:ascii="Calibri" w:hAnsi="Calibri" w:cs="Calibri"/>
          <w:color w:val="000000"/>
          <w:sz w:val="22"/>
          <w:szCs w:val="22"/>
          <w:lang w:val="en-US"/>
        </w:rPr>
        <w:t xml:space="preserve"> skin fibrosis in 15%.</w:t>
      </w:r>
      <w:r w:rsidR="00F66C7A">
        <w:rPr>
          <w:rFonts w:ascii="Calibri" w:hAnsi="Calibri" w:cs="Calibri"/>
          <w:color w:val="000000"/>
          <w:lang w:val="en-US"/>
        </w:rPr>
        <w:t xml:space="preserve"> </w:t>
      </w:r>
      <w:r w:rsidR="00A22CFC" w:rsidRPr="0011695B">
        <w:rPr>
          <w:rFonts w:ascii="Calibri" w:hAnsi="Calibri" w:cs="Calibri"/>
          <w:color w:val="000000"/>
          <w:sz w:val="22"/>
          <w:szCs w:val="22"/>
          <w:lang w:val="en-US"/>
        </w:rPr>
        <w:t xml:space="preserve">Oral and esophageal </w:t>
      </w:r>
      <w:proofErr w:type="spellStart"/>
      <w:r w:rsidR="00A22CFC" w:rsidRPr="0011695B">
        <w:rPr>
          <w:rFonts w:ascii="Calibri" w:hAnsi="Calibri" w:cs="Calibri"/>
          <w:color w:val="000000"/>
          <w:sz w:val="22"/>
          <w:szCs w:val="22"/>
          <w:lang w:val="en-US"/>
        </w:rPr>
        <w:t>mucositis</w:t>
      </w:r>
      <w:proofErr w:type="spellEnd"/>
      <w:r w:rsidR="00A22CFC" w:rsidRPr="0011695B">
        <w:rPr>
          <w:rFonts w:ascii="Calibri" w:hAnsi="Calibri" w:cs="Calibri"/>
          <w:color w:val="000000"/>
          <w:sz w:val="22"/>
          <w:szCs w:val="22"/>
          <w:lang w:val="en-US"/>
        </w:rPr>
        <w:t xml:space="preserve"> resulted in pain, dysphagia, and weight loss, with 33% of patients losing more than 8 kg,</w:t>
      </w:r>
      <w:r w:rsidR="00A22CFC">
        <w:rPr>
          <w:rFonts w:ascii="Calibri" w:hAnsi="Calibri" w:cs="Calibri"/>
          <w:color w:val="000000"/>
          <w:sz w:val="22"/>
          <w:szCs w:val="22"/>
          <w:lang w:val="en-US"/>
        </w:rPr>
        <w:t xml:space="preserve"> </w:t>
      </w:r>
      <w:r w:rsidR="00A22CFC" w:rsidRPr="0011695B">
        <w:rPr>
          <w:rFonts w:ascii="Calibri" w:hAnsi="Calibri" w:cs="Calibri"/>
          <w:color w:val="000000"/>
          <w:sz w:val="22"/>
          <w:szCs w:val="22"/>
          <w:lang w:val="en-US"/>
        </w:rPr>
        <w:t xml:space="preserve">56% losing between 3 and 8 kg, and only 11% losing less than 3 kg. </w:t>
      </w:r>
      <w:r w:rsidR="00F66C7A">
        <w:rPr>
          <w:rFonts w:ascii="Calibri" w:hAnsi="Calibri" w:cs="Calibri"/>
          <w:color w:val="000000"/>
          <w:lang w:val="en-US"/>
        </w:rPr>
        <w:t xml:space="preserve"> </w:t>
      </w:r>
      <w:proofErr w:type="gramStart"/>
      <w:r w:rsidR="00A22CFC" w:rsidRPr="0011695B">
        <w:rPr>
          <w:rFonts w:ascii="Calibri" w:hAnsi="Calibri" w:cs="Calibri"/>
          <w:color w:val="000000"/>
          <w:sz w:val="22"/>
          <w:szCs w:val="22"/>
          <w:lang w:val="en-US"/>
        </w:rPr>
        <w:t>3</w:t>
      </w:r>
      <w:proofErr w:type="gramEnd"/>
      <w:r w:rsidR="00A22CFC" w:rsidRPr="0011695B">
        <w:rPr>
          <w:rFonts w:ascii="Calibri" w:hAnsi="Calibri" w:cs="Calibri"/>
          <w:color w:val="000000"/>
          <w:sz w:val="22"/>
          <w:szCs w:val="22"/>
          <w:lang w:val="en-US"/>
        </w:rPr>
        <w:t>% of patients failing to complete the prescribed radiotherapy course, regardless of age group.</w:t>
      </w:r>
    </w:p>
    <w:p w:rsidR="003E23EE" w:rsidRPr="00913FB2" w:rsidRDefault="003E23EE" w:rsidP="003E23EE">
      <w:pPr>
        <w:pStyle w:val="calibri"/>
        <w:rPr>
          <w:rFonts w:ascii="Calibri" w:hAnsi="Calibri" w:cs="Calibri"/>
          <w:color w:val="000000"/>
          <w:sz w:val="22"/>
          <w:szCs w:val="22"/>
          <w:lang w:val="en-US"/>
        </w:rPr>
      </w:pPr>
      <w:r w:rsidRPr="003E23EE">
        <w:rPr>
          <w:rFonts w:ascii="Calibri" w:hAnsi="Calibri" w:cs="Calibri"/>
          <w:noProof/>
          <w:color w:val="000000"/>
          <w:sz w:val="22"/>
          <w:szCs w:val="22"/>
        </w:rPr>
        <w:lastRenderedPageBreak/>
        <w:drawing>
          <wp:inline distT="0" distB="0" distL="0" distR="0" wp14:anchorId="23B19DDE" wp14:editId="70021DAB">
            <wp:extent cx="3529965" cy="2994660"/>
            <wp:effectExtent l="0" t="0" r="13335" b="1524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5B4B" w:rsidRPr="00205B4B" w:rsidRDefault="00205B4B" w:rsidP="00A22CFC">
      <w:pPr>
        <w:rPr>
          <w:rFonts w:ascii="Calibri" w:hAnsi="Calibri" w:cs="Calibri"/>
          <w:b/>
          <w:bCs/>
          <w:color w:val="000000"/>
          <w:u w:val="single"/>
          <w:lang w:val="en-US"/>
        </w:rPr>
      </w:pPr>
      <w:r w:rsidRPr="00205B4B">
        <w:rPr>
          <w:rFonts w:ascii="Calibri" w:hAnsi="Calibri" w:cs="Calibri"/>
          <w:b/>
          <w:bCs/>
          <w:color w:val="000000"/>
          <w:u w:val="single"/>
          <w:lang w:val="en-US"/>
        </w:rPr>
        <w:t>Figure</w:t>
      </w:r>
      <w:r w:rsidR="00925D9A">
        <w:rPr>
          <w:rFonts w:ascii="Calibri" w:hAnsi="Calibri" w:cs="Calibri"/>
          <w:b/>
          <w:bCs/>
          <w:color w:val="000000"/>
          <w:u w:val="single"/>
          <w:lang w:val="en-US"/>
        </w:rPr>
        <w:t xml:space="preserve"> 3</w:t>
      </w:r>
      <w:r w:rsidRPr="00205B4B">
        <w:rPr>
          <w:rFonts w:ascii="Calibri" w:hAnsi="Calibri" w:cs="Calibri"/>
          <w:b/>
          <w:bCs/>
          <w:color w:val="000000"/>
          <w:u w:val="single"/>
          <w:lang w:val="en-US"/>
        </w:rPr>
        <w:t xml:space="preserve">: Weight loss induced by </w:t>
      </w:r>
      <w:proofErr w:type="spellStart"/>
      <w:r w:rsidRPr="00205B4B">
        <w:rPr>
          <w:rFonts w:ascii="Calibri" w:hAnsi="Calibri" w:cs="Calibri"/>
          <w:b/>
          <w:bCs/>
          <w:color w:val="000000"/>
          <w:u w:val="single"/>
          <w:lang w:val="en-US"/>
        </w:rPr>
        <w:t>mucositis</w:t>
      </w:r>
      <w:proofErr w:type="spellEnd"/>
      <w:r w:rsidRPr="00205B4B">
        <w:rPr>
          <w:rFonts w:ascii="Calibri" w:hAnsi="Calibri" w:cs="Calibri"/>
          <w:b/>
          <w:bCs/>
          <w:color w:val="000000"/>
          <w:u w:val="single"/>
          <w:lang w:val="en-US"/>
        </w:rPr>
        <w:t>.</w:t>
      </w:r>
    </w:p>
    <w:p w:rsidR="003E23EE" w:rsidRPr="002C681E" w:rsidRDefault="00A22CFC" w:rsidP="002C681E">
      <w:pPr>
        <w:rPr>
          <w:rFonts w:ascii="Calibri" w:hAnsi="Calibri" w:cs="Calibri"/>
          <w:color w:val="000000"/>
          <w:lang w:val="en-US"/>
        </w:rPr>
      </w:pPr>
      <w:r>
        <w:rPr>
          <w:rFonts w:ascii="Calibri" w:hAnsi="Calibri" w:cs="Calibri"/>
          <w:color w:val="000000"/>
          <w:lang w:val="en-US"/>
        </w:rPr>
        <w:t>For our study at</w:t>
      </w:r>
      <w:r w:rsidRPr="0011695B">
        <w:rPr>
          <w:rFonts w:ascii="Calibri" w:hAnsi="Calibri" w:cs="Calibri"/>
          <w:color w:val="000000"/>
          <w:lang w:val="en-US"/>
        </w:rPr>
        <w:t xml:space="preserve"> a median follow-up of 48 months,</w:t>
      </w:r>
      <w:r>
        <w:rPr>
          <w:rFonts w:ascii="Calibri" w:hAnsi="Calibri" w:cs="Calibri"/>
          <w:color w:val="000000"/>
          <w:lang w:val="en-US"/>
        </w:rPr>
        <w:t xml:space="preserve"> </w:t>
      </w:r>
      <w:r>
        <w:rPr>
          <w:highlight w:val="white"/>
        </w:rPr>
        <w:t>the 2-year recurrence-f</w:t>
      </w:r>
      <w:r w:rsidR="003E23EE">
        <w:rPr>
          <w:highlight w:val="white"/>
        </w:rPr>
        <w:t>ree survival was 75</w:t>
      </w:r>
      <w:r>
        <w:rPr>
          <w:highlight w:val="white"/>
        </w:rPr>
        <w:t>%, and the Overall survival at 2 years was 89.4%</w:t>
      </w:r>
      <w:r>
        <w:t>,</w:t>
      </w:r>
      <w:r w:rsidRPr="0011695B">
        <w:rPr>
          <w:rFonts w:ascii="Calibri" w:hAnsi="Calibri" w:cs="Calibri"/>
          <w:color w:val="000000"/>
          <w:lang w:val="en-US"/>
        </w:rPr>
        <w:t xml:space="preserve"> while recurrence and metastatic progression rates were 11% and 4%, respectively. Cancer-related mortality accounted for 6% of cases</w:t>
      </w:r>
      <w:r w:rsidR="002C681E">
        <w:rPr>
          <w:rFonts w:ascii="Calibri" w:hAnsi="Calibri" w:cs="Calibri"/>
          <w:color w:val="000000"/>
          <w:lang w:val="en-US"/>
        </w:rPr>
        <w:t>, and 4% were lost to follow-up</w:t>
      </w:r>
    </w:p>
    <w:p w:rsidR="003E23EE" w:rsidRDefault="003E23EE" w:rsidP="003E23EE">
      <w:pPr>
        <w:pStyle w:val="calibri"/>
        <w:rPr>
          <w:rFonts w:asciiTheme="minorHAnsi" w:eastAsiaTheme="minorHAnsi" w:hAnsiTheme="minorHAnsi" w:cstheme="minorBidi"/>
          <w:sz w:val="22"/>
          <w:szCs w:val="22"/>
          <w:highlight w:val="white"/>
          <w:lang w:val="en-GB" w:eastAsia="en-US"/>
        </w:rPr>
      </w:pPr>
      <w:r w:rsidRPr="003E23EE">
        <w:rPr>
          <w:rFonts w:asciiTheme="minorHAnsi" w:eastAsiaTheme="minorHAnsi" w:hAnsiTheme="minorHAnsi" w:cstheme="minorBidi"/>
          <w:noProof/>
          <w:sz w:val="22"/>
          <w:szCs w:val="22"/>
          <w:highlight w:val="white"/>
        </w:rPr>
        <w:drawing>
          <wp:inline distT="0" distB="0" distL="0" distR="0" wp14:anchorId="23D0813B" wp14:editId="10FA691D">
            <wp:extent cx="4396740" cy="3390900"/>
            <wp:effectExtent l="0" t="0" r="381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2503" w:rsidRPr="00492503" w:rsidRDefault="00492503" w:rsidP="00D234BA">
      <w:pPr>
        <w:pStyle w:val="calibri"/>
        <w:rPr>
          <w:rFonts w:asciiTheme="minorHAnsi" w:eastAsiaTheme="minorHAnsi" w:hAnsiTheme="minorHAnsi" w:cstheme="minorBidi"/>
          <w:b/>
          <w:bCs/>
          <w:sz w:val="22"/>
          <w:szCs w:val="22"/>
          <w:highlight w:val="white"/>
          <w:u w:val="single"/>
          <w:lang w:val="en-GB" w:eastAsia="en-US"/>
        </w:rPr>
      </w:pPr>
      <w:r w:rsidRPr="00492503">
        <w:rPr>
          <w:rFonts w:asciiTheme="minorHAnsi" w:eastAsiaTheme="minorHAnsi" w:hAnsiTheme="minorHAnsi" w:cstheme="minorBidi"/>
          <w:b/>
          <w:bCs/>
          <w:sz w:val="22"/>
          <w:szCs w:val="22"/>
          <w:highlight w:val="white"/>
          <w:u w:val="single"/>
          <w:lang w:val="en-GB" w:eastAsia="en-US"/>
        </w:rPr>
        <w:t>Figure</w:t>
      </w:r>
      <w:r w:rsidR="00925D9A">
        <w:rPr>
          <w:rFonts w:asciiTheme="minorHAnsi" w:eastAsiaTheme="minorHAnsi" w:hAnsiTheme="minorHAnsi" w:cstheme="minorBidi"/>
          <w:b/>
          <w:bCs/>
          <w:sz w:val="22"/>
          <w:szCs w:val="22"/>
          <w:highlight w:val="white"/>
          <w:u w:val="single"/>
          <w:lang w:val="en-GB" w:eastAsia="en-US"/>
        </w:rPr>
        <w:t xml:space="preserve"> 4</w:t>
      </w:r>
      <w:bookmarkStart w:id="0" w:name="_GoBack"/>
      <w:bookmarkEnd w:id="0"/>
      <w:r w:rsidRPr="00492503">
        <w:rPr>
          <w:rFonts w:asciiTheme="minorHAnsi" w:eastAsiaTheme="minorHAnsi" w:hAnsiTheme="minorHAnsi" w:cstheme="minorBidi"/>
          <w:b/>
          <w:bCs/>
          <w:sz w:val="22"/>
          <w:szCs w:val="22"/>
          <w:highlight w:val="white"/>
          <w:u w:val="single"/>
          <w:lang w:val="en-GB" w:eastAsia="en-US"/>
        </w:rPr>
        <w:t>: Patients evolution follow up 48 months.</w:t>
      </w:r>
    </w:p>
    <w:p w:rsidR="00492503" w:rsidRDefault="00492503" w:rsidP="00D234BA">
      <w:pPr>
        <w:pStyle w:val="calibri"/>
        <w:rPr>
          <w:rFonts w:asciiTheme="minorHAnsi" w:eastAsiaTheme="minorHAnsi" w:hAnsiTheme="minorHAnsi" w:cstheme="minorBidi"/>
          <w:sz w:val="22"/>
          <w:szCs w:val="22"/>
          <w:highlight w:val="white"/>
          <w:lang w:val="en-GB" w:eastAsia="en-US"/>
        </w:rPr>
      </w:pPr>
    </w:p>
    <w:p w:rsidR="00925D9A" w:rsidRPr="00925D9A" w:rsidRDefault="00925D9A" w:rsidP="00925D9A">
      <w:pPr>
        <w:pStyle w:val="calibri"/>
        <w:rPr>
          <w:rFonts w:asciiTheme="minorHAnsi" w:eastAsiaTheme="minorHAnsi" w:hAnsiTheme="minorHAnsi" w:cstheme="minorBidi"/>
          <w:sz w:val="22"/>
          <w:szCs w:val="22"/>
          <w:lang w:val="en-US" w:eastAsia="en-US"/>
        </w:rPr>
      </w:pPr>
      <w:r w:rsidRPr="00925D9A">
        <w:rPr>
          <w:rFonts w:asciiTheme="minorHAnsi" w:eastAsiaTheme="minorHAnsi" w:hAnsiTheme="minorHAnsi" w:cstheme="minorBidi"/>
          <w:sz w:val="22"/>
          <w:szCs w:val="22"/>
          <w:lang w:val="en-US" w:eastAsia="en-US"/>
        </w:rPr>
        <w:lastRenderedPageBreak/>
        <w:t xml:space="preserve">Locally advanced non-metastatic nasopharyngeal carcinoma is a distinct clinical entity, for which treatment results remain unsatisfactory despite new radiotherapy techniques and chemotherapy combinations. </w:t>
      </w:r>
    </w:p>
    <w:p w:rsidR="00925D9A" w:rsidRPr="00925D9A" w:rsidRDefault="00925D9A" w:rsidP="00925D9A">
      <w:pPr>
        <w:pStyle w:val="calibri"/>
        <w:rPr>
          <w:rFonts w:asciiTheme="minorHAnsi" w:eastAsiaTheme="minorHAnsi" w:hAnsiTheme="minorHAnsi" w:cstheme="minorBidi"/>
          <w:sz w:val="22"/>
          <w:szCs w:val="22"/>
          <w:lang w:val="en-US" w:eastAsia="en-US"/>
        </w:rPr>
      </w:pPr>
      <w:r w:rsidRPr="00925D9A">
        <w:rPr>
          <w:rFonts w:asciiTheme="minorHAnsi" w:eastAsiaTheme="minorHAnsi" w:hAnsiTheme="minorHAnsi" w:cstheme="minorBidi"/>
          <w:sz w:val="22"/>
          <w:szCs w:val="22"/>
          <w:lang w:val="en-US" w:eastAsia="en-US"/>
        </w:rPr>
        <w:t xml:space="preserve">The addition of induction chemotherapy reduces the risk of distant metastases and improves </w:t>
      </w:r>
      <w:proofErr w:type="spellStart"/>
      <w:r w:rsidRPr="00925D9A">
        <w:rPr>
          <w:rFonts w:asciiTheme="minorHAnsi" w:eastAsiaTheme="minorHAnsi" w:hAnsiTheme="minorHAnsi" w:cstheme="minorBidi"/>
          <w:sz w:val="22"/>
          <w:szCs w:val="22"/>
          <w:lang w:val="en-US" w:eastAsia="en-US"/>
        </w:rPr>
        <w:t>carcinological</w:t>
      </w:r>
      <w:proofErr w:type="spellEnd"/>
      <w:r w:rsidRPr="00925D9A">
        <w:rPr>
          <w:rFonts w:asciiTheme="minorHAnsi" w:eastAsiaTheme="minorHAnsi" w:hAnsiTheme="minorHAnsi" w:cstheme="minorBidi"/>
          <w:sz w:val="22"/>
          <w:szCs w:val="22"/>
          <w:lang w:val="en-US" w:eastAsia="en-US"/>
        </w:rPr>
        <w:t xml:space="preserve"> results. However, local and especially distant failure rates remain high for stages T3-4 and N2-3. Future therapeutic approaches </w:t>
      </w:r>
      <w:proofErr w:type="gramStart"/>
      <w:r w:rsidRPr="00925D9A">
        <w:rPr>
          <w:rFonts w:asciiTheme="minorHAnsi" w:eastAsiaTheme="minorHAnsi" w:hAnsiTheme="minorHAnsi" w:cstheme="minorBidi"/>
          <w:sz w:val="22"/>
          <w:szCs w:val="22"/>
          <w:lang w:val="en-US" w:eastAsia="en-US"/>
        </w:rPr>
        <w:t>should be proposed</w:t>
      </w:r>
      <w:proofErr w:type="gramEnd"/>
      <w:r w:rsidRPr="00925D9A">
        <w:rPr>
          <w:rFonts w:asciiTheme="minorHAnsi" w:eastAsiaTheme="minorHAnsi" w:hAnsiTheme="minorHAnsi" w:cstheme="minorBidi"/>
          <w:sz w:val="22"/>
          <w:szCs w:val="22"/>
          <w:lang w:val="en-US" w:eastAsia="en-US"/>
        </w:rPr>
        <w:t xml:space="preserve"> to reduce this risk of failure.</w:t>
      </w:r>
    </w:p>
    <w:p w:rsidR="00DB502C" w:rsidRPr="00D234BA" w:rsidRDefault="00DB502C" w:rsidP="00D234BA">
      <w:pPr>
        <w:pStyle w:val="calibri"/>
        <w:rPr>
          <w:rFonts w:asciiTheme="minorHAnsi" w:eastAsiaTheme="minorHAnsi" w:hAnsiTheme="minorHAnsi" w:cstheme="minorBidi"/>
          <w:sz w:val="22"/>
          <w:szCs w:val="22"/>
          <w:highlight w:val="white"/>
          <w:lang w:val="en-GB" w:eastAsia="en-US"/>
        </w:rPr>
      </w:pPr>
      <w:r w:rsidRPr="00DB502C">
        <w:rPr>
          <w:rFonts w:asciiTheme="minorHAnsi" w:eastAsiaTheme="minorHAnsi" w:hAnsiTheme="minorHAnsi" w:cstheme="minorBidi"/>
          <w:sz w:val="22"/>
          <w:szCs w:val="22"/>
          <w:highlight w:val="white"/>
          <w:lang w:val="en-GB" w:eastAsia="en-US"/>
        </w:rPr>
        <w:t>Our analysis reveals a strong correlation between tumor volume and treatment response in nasopharyngeal cancer patients undergoing radiotherapy. Larger tumor volumes often lead to increased treatment resistance, local recurrence, and distant metastasis. Moreover, high tumor volumes are associated with higher rates of treatment-related toxicity.</w:t>
      </w:r>
    </w:p>
    <w:p w:rsidR="003D175E" w:rsidRDefault="003D175E" w:rsidP="00A22CFC">
      <w:pPr>
        <w:rPr>
          <w:rFonts w:ascii="Calibri" w:hAnsi="Calibri" w:cs="Calibri"/>
          <w:b/>
          <w:bCs/>
          <w:color w:val="000000"/>
          <w:lang w:val="en-US"/>
        </w:rPr>
      </w:pPr>
      <w:r w:rsidRPr="003D175E">
        <w:rPr>
          <w:rFonts w:ascii="Calibri" w:hAnsi="Calibri" w:cs="Calibri"/>
          <w:b/>
          <w:bCs/>
          <w:color w:val="000000"/>
          <w:lang w:val="en-US"/>
        </w:rPr>
        <w:t>Conclusion:</w:t>
      </w:r>
    </w:p>
    <w:p w:rsidR="00D234BA" w:rsidRDefault="00D234BA" w:rsidP="00D234BA">
      <w:pPr>
        <w:rPr>
          <w:color w:val="040C28"/>
        </w:rPr>
      </w:pPr>
      <w:r>
        <w:rPr>
          <w:color w:val="040C28"/>
        </w:rPr>
        <w:t xml:space="preserve">The results of our study are similar to literature’s results; the induction chemotherapy followed by concurrent </w:t>
      </w:r>
      <w:proofErr w:type="spellStart"/>
      <w:r>
        <w:rPr>
          <w:color w:val="040C28"/>
        </w:rPr>
        <w:t>chemoradiotherapy</w:t>
      </w:r>
      <w:proofErr w:type="spellEnd"/>
      <w:r>
        <w:rPr>
          <w:color w:val="040C28"/>
        </w:rPr>
        <w:t xml:space="preserve"> in the </w:t>
      </w:r>
      <w:proofErr w:type="spellStart"/>
      <w:r>
        <w:rPr>
          <w:color w:val="040C28"/>
        </w:rPr>
        <w:t>locoregionally</w:t>
      </w:r>
      <w:proofErr w:type="spellEnd"/>
      <w:r>
        <w:rPr>
          <w:color w:val="040C28"/>
        </w:rPr>
        <w:t xml:space="preserve"> advanced nasopharyngeal carcinoma promotes distant control and increases overall survival.</w:t>
      </w:r>
    </w:p>
    <w:p w:rsidR="00D234BA" w:rsidRPr="00D234BA" w:rsidRDefault="00D234BA" w:rsidP="00D234BA">
      <w:r>
        <w:t>Radiotherapy with modulated intensity and concurrent chemotherapy are effective, and well tolerated in the treatment of nasopharyngeal cancer.</w:t>
      </w:r>
    </w:p>
    <w:p w:rsidR="00D234BA" w:rsidRDefault="00D234BA" w:rsidP="00D234BA">
      <w:pPr>
        <w:rPr>
          <w:color w:val="040C28"/>
        </w:rPr>
      </w:pPr>
      <w:r>
        <w:rPr>
          <w:color w:val="040C28"/>
        </w:rPr>
        <w:t>However, side effects are unavoidable so they must be recognized and treated early to avoid grade 3 and 4.</w:t>
      </w:r>
    </w:p>
    <w:p w:rsidR="00D234BA" w:rsidRPr="00D234BA" w:rsidRDefault="00D234BA" w:rsidP="00D234BA">
      <w:pPr>
        <w:rPr>
          <w:color w:val="040C28"/>
        </w:rPr>
      </w:pPr>
      <w:r>
        <w:t xml:space="preserve">To improve on current results, efforts </w:t>
      </w:r>
      <w:proofErr w:type="gramStart"/>
      <w:r>
        <w:t>are needed</w:t>
      </w:r>
      <w:proofErr w:type="gramEnd"/>
      <w:r>
        <w:t xml:space="preserve"> to evaluate and develop new therapeutic strategies </w:t>
      </w:r>
    </w:p>
    <w:p w:rsidR="00413785" w:rsidRPr="00E24F04" w:rsidRDefault="00925D9A" w:rsidP="00413785">
      <w:pPr>
        <w:rPr>
          <w:rFonts w:ascii="Calibri" w:hAnsi="Calibri" w:cs="Calibri"/>
          <w:b/>
          <w:bCs/>
          <w:color w:val="000000"/>
          <w:lang w:val="fr-FR"/>
        </w:rPr>
      </w:pPr>
      <w:proofErr w:type="gramStart"/>
      <w:r>
        <w:rPr>
          <w:rFonts w:ascii="Calibri" w:hAnsi="Calibri" w:cs="Calibri"/>
          <w:b/>
          <w:bCs/>
          <w:color w:val="000000"/>
          <w:lang w:val="fr-FR"/>
        </w:rPr>
        <w:t>Reference</w:t>
      </w:r>
      <w:r w:rsidR="00413785" w:rsidRPr="00E24F04">
        <w:rPr>
          <w:rFonts w:ascii="Calibri" w:hAnsi="Calibri" w:cs="Calibri"/>
          <w:b/>
          <w:bCs/>
          <w:color w:val="000000"/>
          <w:lang w:val="fr-FR"/>
        </w:rPr>
        <w:t>:</w:t>
      </w:r>
      <w:proofErr w:type="gramEnd"/>
    </w:p>
    <w:p w:rsidR="001D6044" w:rsidRDefault="001D6044" w:rsidP="001D6044">
      <w:r w:rsidRPr="00E24F04">
        <w:rPr>
          <w:lang w:val="fr-FR"/>
        </w:rPr>
        <w:t xml:space="preserve">[1] </w:t>
      </w:r>
      <w:proofErr w:type="spellStart"/>
      <w:r w:rsidRPr="00E24F04">
        <w:rPr>
          <w:lang w:val="fr-FR"/>
        </w:rPr>
        <w:t>Fandi</w:t>
      </w:r>
      <w:proofErr w:type="spellEnd"/>
      <w:r w:rsidRPr="00E24F04">
        <w:rPr>
          <w:lang w:val="fr-FR"/>
        </w:rPr>
        <w:t xml:space="preserve"> A, </w:t>
      </w:r>
      <w:proofErr w:type="spellStart"/>
      <w:r w:rsidRPr="00E24F04">
        <w:rPr>
          <w:lang w:val="fr-FR"/>
        </w:rPr>
        <w:t>Eschwege</w:t>
      </w:r>
      <w:proofErr w:type="spellEnd"/>
      <w:r w:rsidRPr="00E24F04">
        <w:rPr>
          <w:lang w:val="fr-FR"/>
        </w:rPr>
        <w:t xml:space="preserve"> F, </w:t>
      </w:r>
      <w:proofErr w:type="spellStart"/>
      <w:r w:rsidRPr="00E24F04">
        <w:rPr>
          <w:lang w:val="fr-FR"/>
        </w:rPr>
        <w:t>Cvitovic</w:t>
      </w:r>
      <w:proofErr w:type="spellEnd"/>
      <w:r w:rsidRPr="00E24F04">
        <w:rPr>
          <w:lang w:val="fr-FR"/>
        </w:rPr>
        <w:t xml:space="preserve"> E et Coll. Carcinomes indifférenciés du </w:t>
      </w:r>
      <w:proofErr w:type="spellStart"/>
      <w:r w:rsidRPr="00E24F04">
        <w:rPr>
          <w:lang w:val="fr-FR"/>
        </w:rPr>
        <w:t>nasopharynx</w:t>
      </w:r>
      <w:proofErr w:type="spellEnd"/>
      <w:r w:rsidRPr="00E24F04">
        <w:rPr>
          <w:lang w:val="fr-FR"/>
        </w:rPr>
        <w:t xml:space="preserve">, Aspects épidémiologiques, Cliniques et thérapeutiques. </w:t>
      </w:r>
      <w:r>
        <w:t>Bull. Cancer, 1994, 81: 571-86.</w:t>
      </w:r>
    </w:p>
    <w:p w:rsidR="001D6044" w:rsidRDefault="001D6044" w:rsidP="001D6044">
      <w:r>
        <w:t xml:space="preserve">[2] Amin MB, Edge S, Greene F, Byrd DR, </w:t>
      </w:r>
      <w:proofErr w:type="spellStart"/>
      <w:r>
        <w:t>Brookland</w:t>
      </w:r>
      <w:proofErr w:type="spellEnd"/>
      <w:r>
        <w:t xml:space="preserve"> RK, Washington MK, et al. AJCC Cancer Staging Manual. 8th ed. Springer International Publishing; 2017.</w:t>
      </w:r>
    </w:p>
    <w:p w:rsidR="001D6044" w:rsidRDefault="001D6044" w:rsidP="001D6044">
      <w:r w:rsidRPr="00E24F04">
        <w:rPr>
          <w:lang w:val="fr-FR"/>
        </w:rPr>
        <w:t xml:space="preserve">[3] Blanchard P, Lee A, </w:t>
      </w:r>
      <w:proofErr w:type="spellStart"/>
      <w:r w:rsidRPr="00E24F04">
        <w:rPr>
          <w:lang w:val="fr-FR"/>
        </w:rPr>
        <w:t>Marguet</w:t>
      </w:r>
      <w:proofErr w:type="spellEnd"/>
      <w:r w:rsidRPr="00E24F04">
        <w:rPr>
          <w:lang w:val="fr-FR"/>
        </w:rPr>
        <w:t xml:space="preserve"> S, Leclercq J, </w:t>
      </w:r>
      <w:proofErr w:type="spellStart"/>
      <w:r w:rsidRPr="00E24F04">
        <w:rPr>
          <w:lang w:val="fr-FR"/>
        </w:rPr>
        <w:t>Ng</w:t>
      </w:r>
      <w:proofErr w:type="spellEnd"/>
      <w:r w:rsidRPr="00E24F04">
        <w:rPr>
          <w:lang w:val="fr-FR"/>
        </w:rPr>
        <w:t xml:space="preserve"> WT, Ma J, et al. </w:t>
      </w:r>
      <w:r>
        <w:t xml:space="preserve">Chemotherapy and radiotherapy in nasopharyngeal carcinoma: an update of the MAC-NPC meta-analysis. Lancet </w:t>
      </w:r>
      <w:proofErr w:type="spellStart"/>
      <w:r>
        <w:t>Oncol</w:t>
      </w:r>
      <w:proofErr w:type="spellEnd"/>
      <w:r>
        <w:t xml:space="preserve"> 2015</w:t>
      </w:r>
      <w:proofErr w:type="gramStart"/>
      <w:r>
        <w:t>;16:645</w:t>
      </w:r>
      <w:proofErr w:type="gramEnd"/>
      <w:r>
        <w:t>–55, http://dx.doi.org/10.1016/S1470-2045(15)70126-9.</w:t>
      </w:r>
    </w:p>
    <w:p w:rsidR="001D6044" w:rsidRDefault="001D6044" w:rsidP="009C5011">
      <w:r>
        <w:t>[4]</w:t>
      </w:r>
      <w:r w:rsidR="009C5011">
        <w:t xml:space="preserve"> </w:t>
      </w:r>
      <w:proofErr w:type="spellStart"/>
      <w:r w:rsidR="009C5011">
        <w:t>Baujat</w:t>
      </w:r>
      <w:proofErr w:type="spellEnd"/>
      <w:r w:rsidR="009C5011">
        <w:t xml:space="preserve"> B, </w:t>
      </w:r>
      <w:proofErr w:type="spellStart"/>
      <w:r w:rsidR="009C5011">
        <w:t>Audry</w:t>
      </w:r>
      <w:proofErr w:type="spellEnd"/>
      <w:r w:rsidR="009C5011">
        <w:t xml:space="preserve"> H, </w:t>
      </w:r>
      <w:proofErr w:type="spellStart"/>
      <w:r w:rsidR="009C5011">
        <w:t>Bourhis</w:t>
      </w:r>
      <w:proofErr w:type="spellEnd"/>
      <w:r w:rsidR="009C5011">
        <w:t xml:space="preserve"> J, Chan AT, </w:t>
      </w:r>
      <w:proofErr w:type="spellStart"/>
      <w:r w:rsidR="009C5011">
        <w:t>Onat</w:t>
      </w:r>
      <w:proofErr w:type="spellEnd"/>
      <w:r w:rsidR="009C5011">
        <w:t xml:space="preserve"> H, Chua DT, et al. Chemotherapy as an adjunct to radiotherapy in locally advanced nasopharyngeal carcinoma. Cochrane Database </w:t>
      </w:r>
      <w:proofErr w:type="spellStart"/>
      <w:r w:rsidR="009C5011">
        <w:t>Syst</w:t>
      </w:r>
      <w:proofErr w:type="spellEnd"/>
      <w:r w:rsidR="009C5011">
        <w:t xml:space="preserve"> Rev 2006, http://dx.doi.org/10.1002/14651858.CD004329.pub2.</w:t>
      </w:r>
    </w:p>
    <w:p w:rsidR="001D6044" w:rsidRDefault="001D6044" w:rsidP="00594325">
      <w:r w:rsidRPr="00594325">
        <w:rPr>
          <w:lang w:val="fr-FR"/>
        </w:rPr>
        <w:t>[5]</w:t>
      </w:r>
      <w:r w:rsidR="00594325" w:rsidRPr="00594325">
        <w:rPr>
          <w:lang w:val="fr-FR"/>
        </w:rPr>
        <w:t xml:space="preserve"> Bossi P, Chan AT, </w:t>
      </w:r>
      <w:proofErr w:type="spellStart"/>
      <w:r w:rsidR="00594325" w:rsidRPr="00594325">
        <w:rPr>
          <w:lang w:val="fr-FR"/>
        </w:rPr>
        <w:t>Licitra</w:t>
      </w:r>
      <w:proofErr w:type="spellEnd"/>
      <w:r w:rsidR="00594325" w:rsidRPr="00594325">
        <w:rPr>
          <w:lang w:val="fr-FR"/>
        </w:rPr>
        <w:t xml:space="preserve"> L, Trama A, </w:t>
      </w:r>
      <w:proofErr w:type="spellStart"/>
      <w:r w:rsidR="00594325" w:rsidRPr="00594325">
        <w:rPr>
          <w:lang w:val="fr-FR"/>
        </w:rPr>
        <w:t>Orlandi</w:t>
      </w:r>
      <w:proofErr w:type="spellEnd"/>
      <w:r w:rsidR="00594325" w:rsidRPr="00594325">
        <w:rPr>
          <w:lang w:val="fr-FR"/>
        </w:rPr>
        <w:t xml:space="preserve"> E, Hui EP, et al. </w:t>
      </w:r>
      <w:r w:rsidR="00594325">
        <w:t xml:space="preserve">Nasopharyngeal carcinoma: ESMO-EURACAN Clinical Practice Guidelines for diagnosis, treatment and follow-up. Ann </w:t>
      </w:r>
      <w:proofErr w:type="spellStart"/>
      <w:r w:rsidR="00594325">
        <w:t>Oncol</w:t>
      </w:r>
      <w:proofErr w:type="spellEnd"/>
      <w:r w:rsidR="00594325">
        <w:t xml:space="preserve"> 2021</w:t>
      </w:r>
      <w:proofErr w:type="gramStart"/>
      <w:r w:rsidR="00594325">
        <w:t>;32:452</w:t>
      </w:r>
      <w:proofErr w:type="gramEnd"/>
      <w:r w:rsidR="00594325">
        <w:t xml:space="preserve">–65, </w:t>
      </w:r>
      <w:hyperlink r:id="rId9" w:history="1">
        <w:r w:rsidR="00594325" w:rsidRPr="00D205AB">
          <w:rPr>
            <w:rStyle w:val="Lienhypertexte"/>
          </w:rPr>
          <w:t>http://dx.doi.org/10.1016/j.annonc.2020.12.007</w:t>
        </w:r>
      </w:hyperlink>
      <w:r w:rsidR="00594325">
        <w:t>.</w:t>
      </w:r>
    </w:p>
    <w:p w:rsidR="00594325" w:rsidRDefault="00594325" w:rsidP="00594325">
      <w:pPr>
        <w:rPr>
          <w:rFonts w:ascii="Calibri" w:hAnsi="Calibri" w:cs="Calibri"/>
          <w:color w:val="000000"/>
        </w:rPr>
      </w:pPr>
      <w:r w:rsidRPr="00594325">
        <w:rPr>
          <w:rFonts w:ascii="Calibri" w:hAnsi="Calibri" w:cs="Calibri"/>
          <w:color w:val="000000"/>
        </w:rPr>
        <w:t>[6]</w:t>
      </w:r>
      <w:r>
        <w:rPr>
          <w:rFonts w:ascii="Calibri" w:hAnsi="Calibri" w:cs="Calibri"/>
          <w:color w:val="000000"/>
        </w:rPr>
        <w:t>.</w:t>
      </w:r>
      <w:r w:rsidRPr="00594325">
        <w:t xml:space="preserve"> </w:t>
      </w:r>
      <w:r w:rsidRPr="00594325">
        <w:rPr>
          <w:rFonts w:ascii="Calibri" w:hAnsi="Calibri" w:cs="Calibri"/>
          <w:color w:val="000000"/>
        </w:rPr>
        <w:t xml:space="preserve">Chen Y-P, Tang L-L, Yang Q, </w:t>
      </w:r>
      <w:proofErr w:type="spellStart"/>
      <w:r w:rsidRPr="00594325">
        <w:rPr>
          <w:rFonts w:ascii="Calibri" w:hAnsi="Calibri" w:cs="Calibri"/>
          <w:color w:val="000000"/>
        </w:rPr>
        <w:t>Poh</w:t>
      </w:r>
      <w:proofErr w:type="spellEnd"/>
      <w:r w:rsidRPr="00594325">
        <w:rPr>
          <w:rFonts w:ascii="Calibri" w:hAnsi="Calibri" w:cs="Calibri"/>
          <w:color w:val="000000"/>
        </w:rPr>
        <w:t xml:space="preserve"> S-S, </w:t>
      </w:r>
      <w:proofErr w:type="spellStart"/>
      <w:r w:rsidRPr="00594325">
        <w:rPr>
          <w:rFonts w:ascii="Calibri" w:hAnsi="Calibri" w:cs="Calibri"/>
          <w:color w:val="000000"/>
        </w:rPr>
        <w:t>Hu</w:t>
      </w:r>
      <w:r>
        <w:rPr>
          <w:rFonts w:ascii="Calibri" w:hAnsi="Calibri" w:cs="Calibri"/>
          <w:color w:val="000000"/>
        </w:rPr>
        <w:t>i</w:t>
      </w:r>
      <w:proofErr w:type="spellEnd"/>
      <w:r>
        <w:rPr>
          <w:rFonts w:ascii="Calibri" w:hAnsi="Calibri" w:cs="Calibri"/>
          <w:color w:val="000000"/>
        </w:rPr>
        <w:t xml:space="preserve"> EP, Chan ATC, et al. Induc</w:t>
      </w:r>
      <w:r w:rsidRPr="00594325">
        <w:rPr>
          <w:rFonts w:ascii="Calibri" w:hAnsi="Calibri" w:cs="Calibri"/>
          <w:color w:val="000000"/>
        </w:rPr>
        <w:t xml:space="preserve">tion chemotherapy plus concurrent </w:t>
      </w:r>
      <w:proofErr w:type="spellStart"/>
      <w:r w:rsidRPr="00594325">
        <w:rPr>
          <w:rFonts w:ascii="Calibri" w:hAnsi="Calibri" w:cs="Calibri"/>
          <w:color w:val="000000"/>
        </w:rPr>
        <w:t>chemoradiotherapy</w:t>
      </w:r>
      <w:proofErr w:type="spellEnd"/>
      <w:r w:rsidRPr="00594325">
        <w:rPr>
          <w:rFonts w:ascii="Calibri" w:hAnsi="Calibri" w:cs="Calibri"/>
          <w:color w:val="000000"/>
        </w:rPr>
        <w:t xml:space="preserve"> in endemic</w:t>
      </w:r>
      <w:r>
        <w:rPr>
          <w:rFonts w:ascii="Calibri" w:hAnsi="Calibri" w:cs="Calibri"/>
          <w:color w:val="000000"/>
        </w:rPr>
        <w:t xml:space="preserve"> </w:t>
      </w:r>
      <w:r w:rsidRPr="00594325">
        <w:rPr>
          <w:rFonts w:ascii="Calibri" w:hAnsi="Calibri" w:cs="Calibri"/>
          <w:color w:val="000000"/>
        </w:rPr>
        <w:t>nasopharyngeal carcinoma: indiv</w:t>
      </w:r>
      <w:r>
        <w:rPr>
          <w:rFonts w:ascii="Calibri" w:hAnsi="Calibri" w:cs="Calibri"/>
          <w:color w:val="000000"/>
        </w:rPr>
        <w:t>idual patient data pooled analy</w:t>
      </w:r>
      <w:r w:rsidRPr="00594325">
        <w:rPr>
          <w:rFonts w:ascii="Calibri" w:hAnsi="Calibri" w:cs="Calibri"/>
          <w:color w:val="000000"/>
        </w:rPr>
        <w:t xml:space="preserve">sis of four randomized trials. </w:t>
      </w:r>
      <w:proofErr w:type="spellStart"/>
      <w:r w:rsidRPr="00594325">
        <w:rPr>
          <w:rFonts w:ascii="Calibri" w:hAnsi="Calibri" w:cs="Calibri"/>
          <w:color w:val="000000"/>
        </w:rPr>
        <w:t>Clin</w:t>
      </w:r>
      <w:proofErr w:type="spellEnd"/>
      <w:r w:rsidRPr="00594325">
        <w:rPr>
          <w:rFonts w:ascii="Calibri" w:hAnsi="Calibri" w:cs="Calibri"/>
          <w:color w:val="000000"/>
        </w:rPr>
        <w:t xml:space="preserve"> Cancer Res 2018</w:t>
      </w:r>
      <w:proofErr w:type="gramStart"/>
      <w:r w:rsidRPr="00594325">
        <w:rPr>
          <w:rFonts w:ascii="Calibri" w:hAnsi="Calibri" w:cs="Calibri"/>
          <w:color w:val="000000"/>
        </w:rPr>
        <w:t>;24:1824</w:t>
      </w:r>
      <w:proofErr w:type="gramEnd"/>
      <w:r w:rsidRPr="00594325">
        <w:rPr>
          <w:rFonts w:ascii="Calibri" w:hAnsi="Calibri" w:cs="Calibri"/>
          <w:color w:val="000000"/>
        </w:rPr>
        <w:t>–33,</w:t>
      </w:r>
      <w:r>
        <w:rPr>
          <w:rFonts w:ascii="Calibri" w:hAnsi="Calibri" w:cs="Calibri"/>
          <w:color w:val="000000"/>
        </w:rPr>
        <w:t xml:space="preserve"> </w:t>
      </w:r>
      <w:r w:rsidRPr="00594325">
        <w:rPr>
          <w:rFonts w:ascii="Calibri" w:hAnsi="Calibri" w:cs="Calibri"/>
          <w:color w:val="000000"/>
        </w:rPr>
        <w:t>http://dx.doi.org/10.1158/1078-0432.CCR-17-2656.</w:t>
      </w:r>
    </w:p>
    <w:p w:rsidR="00594325" w:rsidRDefault="00594325" w:rsidP="00594325">
      <w:pPr>
        <w:rPr>
          <w:rFonts w:ascii="Calibri" w:hAnsi="Calibri" w:cs="Calibri"/>
          <w:color w:val="000000"/>
        </w:rPr>
      </w:pPr>
      <w:r w:rsidRPr="00594325">
        <w:rPr>
          <w:rFonts w:ascii="Calibri" w:hAnsi="Calibri" w:cs="Calibri"/>
          <w:color w:val="000000"/>
          <w:lang w:val="en-US"/>
        </w:rPr>
        <w:lastRenderedPageBreak/>
        <w:t>[7]</w:t>
      </w:r>
      <w:r>
        <w:rPr>
          <w:rFonts w:ascii="Calibri" w:hAnsi="Calibri" w:cs="Calibri"/>
          <w:color w:val="000000"/>
        </w:rPr>
        <w:t>.</w:t>
      </w:r>
      <w:r w:rsidRPr="00594325">
        <w:t xml:space="preserve"> </w:t>
      </w:r>
      <w:r w:rsidRPr="00594325">
        <w:rPr>
          <w:rFonts w:ascii="Calibri" w:hAnsi="Calibri" w:cs="Calibri"/>
          <w:color w:val="000000"/>
        </w:rPr>
        <w:t xml:space="preserve">Wang P, Zhang M, </w:t>
      </w:r>
      <w:proofErr w:type="spellStart"/>
      <w:r w:rsidRPr="00594325">
        <w:rPr>
          <w:rFonts w:ascii="Calibri" w:hAnsi="Calibri" w:cs="Calibri"/>
          <w:color w:val="000000"/>
        </w:rPr>
        <w:t>Ke</w:t>
      </w:r>
      <w:proofErr w:type="spellEnd"/>
      <w:r w:rsidRPr="00594325">
        <w:rPr>
          <w:rFonts w:ascii="Calibri" w:hAnsi="Calibri" w:cs="Calibri"/>
          <w:color w:val="000000"/>
        </w:rPr>
        <w:t xml:space="preserve"> C, </w:t>
      </w:r>
      <w:proofErr w:type="spellStart"/>
      <w:proofErr w:type="gramStart"/>
      <w:r w:rsidRPr="00594325">
        <w:rPr>
          <w:rFonts w:ascii="Calibri" w:hAnsi="Calibri" w:cs="Calibri"/>
          <w:color w:val="000000"/>
        </w:rPr>
        <w:t>Cai</w:t>
      </w:r>
      <w:proofErr w:type="spellEnd"/>
      <w:proofErr w:type="gramEnd"/>
      <w:r w:rsidRPr="00594325">
        <w:rPr>
          <w:rFonts w:ascii="Calibri" w:hAnsi="Calibri" w:cs="Calibri"/>
          <w:color w:val="000000"/>
        </w:rPr>
        <w:t xml:space="preserve"> C. The efficacy and</w:t>
      </w:r>
      <w:r>
        <w:rPr>
          <w:rFonts w:ascii="Calibri" w:hAnsi="Calibri" w:cs="Calibri"/>
          <w:color w:val="000000"/>
        </w:rPr>
        <w:t xml:space="preserve"> toxicity of induction chemothe</w:t>
      </w:r>
      <w:r w:rsidRPr="00594325">
        <w:rPr>
          <w:rFonts w:ascii="Calibri" w:hAnsi="Calibri" w:cs="Calibri"/>
          <w:color w:val="000000"/>
        </w:rPr>
        <w:t xml:space="preserve">rapy plus concurrent </w:t>
      </w:r>
      <w:proofErr w:type="spellStart"/>
      <w:r w:rsidRPr="00594325">
        <w:rPr>
          <w:rFonts w:ascii="Calibri" w:hAnsi="Calibri" w:cs="Calibri"/>
          <w:color w:val="000000"/>
        </w:rPr>
        <w:t>chemoradiotherapy</w:t>
      </w:r>
      <w:proofErr w:type="spellEnd"/>
      <w:r w:rsidRPr="00594325">
        <w:rPr>
          <w:rFonts w:ascii="Calibri" w:hAnsi="Calibri" w:cs="Calibri"/>
          <w:color w:val="000000"/>
        </w:rPr>
        <w:t xml:space="preserve"> in </w:t>
      </w:r>
      <w:proofErr w:type="spellStart"/>
      <w:r>
        <w:rPr>
          <w:rFonts w:ascii="Calibri" w:hAnsi="Calibri" w:cs="Calibri"/>
          <w:color w:val="000000"/>
        </w:rPr>
        <w:t>locoregionally</w:t>
      </w:r>
      <w:proofErr w:type="spellEnd"/>
      <w:r>
        <w:rPr>
          <w:rFonts w:ascii="Calibri" w:hAnsi="Calibri" w:cs="Calibri"/>
          <w:color w:val="000000"/>
        </w:rPr>
        <w:t xml:space="preserve"> advanced nasopha</w:t>
      </w:r>
      <w:r w:rsidRPr="00594325">
        <w:rPr>
          <w:rFonts w:ascii="Calibri" w:hAnsi="Calibri" w:cs="Calibri"/>
          <w:color w:val="000000"/>
        </w:rPr>
        <w:t>ryngeal carcinoma: a meta-analysis of randomized controlled trials. Medicine</w:t>
      </w:r>
      <w:r>
        <w:rPr>
          <w:rFonts w:ascii="Calibri" w:hAnsi="Calibri" w:cs="Calibri"/>
          <w:color w:val="000000"/>
        </w:rPr>
        <w:t xml:space="preserve"> </w:t>
      </w:r>
      <w:r w:rsidRPr="00594325">
        <w:rPr>
          <w:rFonts w:ascii="Calibri" w:hAnsi="Calibri" w:cs="Calibri"/>
          <w:color w:val="000000"/>
        </w:rPr>
        <w:t>2020</w:t>
      </w:r>
      <w:proofErr w:type="gramStart"/>
      <w:r w:rsidRPr="00594325">
        <w:rPr>
          <w:rFonts w:ascii="Calibri" w:hAnsi="Calibri" w:cs="Calibri"/>
          <w:color w:val="000000"/>
        </w:rPr>
        <w:t>;99:e</w:t>
      </w:r>
      <w:r>
        <w:rPr>
          <w:rFonts w:ascii="Calibri" w:hAnsi="Calibri" w:cs="Calibri"/>
          <w:color w:val="000000"/>
        </w:rPr>
        <w:t>19360</w:t>
      </w:r>
      <w:proofErr w:type="gramEnd"/>
      <w:r>
        <w:rPr>
          <w:rFonts w:ascii="Calibri" w:hAnsi="Calibri" w:cs="Calibri"/>
          <w:color w:val="000000"/>
        </w:rPr>
        <w:t xml:space="preserve">, </w:t>
      </w:r>
      <w:hyperlink r:id="rId10" w:history="1">
        <w:r w:rsidRPr="00D205AB">
          <w:rPr>
            <w:rStyle w:val="Lienhypertexte"/>
            <w:rFonts w:ascii="Calibri" w:hAnsi="Calibri" w:cs="Calibri"/>
          </w:rPr>
          <w:t>http://dx.doi.org/10.1097/MD.0000000000019360</w:t>
        </w:r>
      </w:hyperlink>
      <w:r w:rsidRPr="00594325">
        <w:rPr>
          <w:rFonts w:ascii="Calibri" w:hAnsi="Calibri" w:cs="Calibri"/>
          <w:color w:val="000000"/>
        </w:rPr>
        <w:t>.</w:t>
      </w:r>
    </w:p>
    <w:p w:rsidR="001D6044" w:rsidRDefault="00594325" w:rsidP="00594325">
      <w:pPr>
        <w:rPr>
          <w:rFonts w:ascii="Calibri" w:hAnsi="Calibri" w:cs="Calibri"/>
          <w:color w:val="000000"/>
        </w:rPr>
      </w:pPr>
      <w:r w:rsidRPr="00594325">
        <w:rPr>
          <w:rFonts w:ascii="Calibri" w:hAnsi="Calibri" w:cs="Calibri"/>
          <w:color w:val="000000"/>
          <w:lang w:val="en-US"/>
        </w:rPr>
        <w:t>[</w:t>
      </w:r>
      <w:r>
        <w:rPr>
          <w:rFonts w:ascii="Calibri" w:hAnsi="Calibri" w:cs="Calibri"/>
          <w:color w:val="000000"/>
          <w:lang w:val="en-US"/>
        </w:rPr>
        <w:t>8</w:t>
      </w:r>
      <w:r w:rsidRPr="00594325">
        <w:rPr>
          <w:rFonts w:ascii="Calibri" w:hAnsi="Calibri" w:cs="Calibri"/>
          <w:color w:val="000000"/>
          <w:lang w:val="en-US"/>
        </w:rPr>
        <w:t>]</w:t>
      </w:r>
      <w:r>
        <w:rPr>
          <w:rFonts w:ascii="Calibri" w:hAnsi="Calibri" w:cs="Calibri"/>
          <w:color w:val="000000"/>
        </w:rPr>
        <w:t>.</w:t>
      </w:r>
      <w:r w:rsidRPr="00594325">
        <w:t xml:space="preserve"> </w:t>
      </w:r>
      <w:r w:rsidRPr="00594325">
        <w:rPr>
          <w:rFonts w:ascii="Calibri" w:hAnsi="Calibri" w:cs="Calibri"/>
          <w:color w:val="000000"/>
        </w:rPr>
        <w:t xml:space="preserve">Du T, Xiao J, </w:t>
      </w:r>
      <w:proofErr w:type="spellStart"/>
      <w:r w:rsidRPr="00594325">
        <w:rPr>
          <w:rFonts w:ascii="Calibri" w:hAnsi="Calibri" w:cs="Calibri"/>
          <w:color w:val="000000"/>
        </w:rPr>
        <w:t>Qiu</w:t>
      </w:r>
      <w:proofErr w:type="spellEnd"/>
      <w:r w:rsidRPr="00594325">
        <w:rPr>
          <w:rFonts w:ascii="Calibri" w:hAnsi="Calibri" w:cs="Calibri"/>
          <w:color w:val="000000"/>
        </w:rPr>
        <w:t xml:space="preserve"> Z, Wu K. The effectiveness of intensity-modulated</w:t>
      </w:r>
      <w:r>
        <w:rPr>
          <w:rFonts w:ascii="Calibri" w:hAnsi="Calibri" w:cs="Calibri"/>
          <w:color w:val="000000"/>
        </w:rPr>
        <w:t xml:space="preserve"> </w:t>
      </w:r>
      <w:r w:rsidRPr="00594325">
        <w:rPr>
          <w:rFonts w:ascii="Calibri" w:hAnsi="Calibri" w:cs="Calibri"/>
          <w:color w:val="000000"/>
        </w:rPr>
        <w:t>radiation therapy versus 2D-RT for the tr</w:t>
      </w:r>
      <w:r>
        <w:rPr>
          <w:rFonts w:ascii="Calibri" w:hAnsi="Calibri" w:cs="Calibri"/>
          <w:color w:val="000000"/>
        </w:rPr>
        <w:t>eatment of nasopharyngeal carci</w:t>
      </w:r>
      <w:r w:rsidRPr="00594325">
        <w:rPr>
          <w:rFonts w:ascii="Calibri" w:hAnsi="Calibri" w:cs="Calibri"/>
          <w:color w:val="000000"/>
        </w:rPr>
        <w:t xml:space="preserve">noma: a systematic review and meta-analysis. </w:t>
      </w:r>
      <w:proofErr w:type="spellStart"/>
      <w:r w:rsidRPr="00594325">
        <w:rPr>
          <w:rFonts w:ascii="Calibri" w:hAnsi="Calibri" w:cs="Calibri"/>
          <w:color w:val="000000"/>
        </w:rPr>
        <w:t>PLoS</w:t>
      </w:r>
      <w:proofErr w:type="spellEnd"/>
      <w:r w:rsidRPr="00594325">
        <w:rPr>
          <w:rFonts w:ascii="Calibri" w:hAnsi="Calibri" w:cs="Calibri"/>
          <w:color w:val="000000"/>
        </w:rPr>
        <w:t xml:space="preserve"> ONE 2019</w:t>
      </w:r>
      <w:proofErr w:type="gramStart"/>
      <w:r w:rsidRPr="00594325">
        <w:rPr>
          <w:rFonts w:ascii="Calibri" w:hAnsi="Calibri" w:cs="Calibri"/>
          <w:color w:val="000000"/>
        </w:rPr>
        <w:t>;14:e0219611</w:t>
      </w:r>
      <w:proofErr w:type="gramEnd"/>
      <w:r w:rsidRPr="00594325">
        <w:rPr>
          <w:rFonts w:ascii="Calibri" w:hAnsi="Calibri" w:cs="Calibri"/>
          <w:color w:val="000000"/>
        </w:rPr>
        <w:t>,</w:t>
      </w:r>
      <w:r>
        <w:rPr>
          <w:rFonts w:ascii="Calibri" w:hAnsi="Calibri" w:cs="Calibri"/>
          <w:color w:val="000000"/>
        </w:rPr>
        <w:t xml:space="preserve"> </w:t>
      </w:r>
      <w:r w:rsidRPr="00594325">
        <w:rPr>
          <w:rFonts w:ascii="Calibri" w:hAnsi="Calibri" w:cs="Calibri"/>
          <w:color w:val="000000"/>
        </w:rPr>
        <w:t>http://dx.doi.org/10.1371/journal.pone.0219611.</w:t>
      </w:r>
    </w:p>
    <w:p w:rsidR="00594325" w:rsidRPr="00594325" w:rsidRDefault="00594325" w:rsidP="00594325">
      <w:pPr>
        <w:rPr>
          <w:rFonts w:ascii="Calibri" w:hAnsi="Calibri" w:cs="Calibri"/>
          <w:color w:val="000000"/>
        </w:rPr>
      </w:pPr>
      <w:r w:rsidRPr="00594325">
        <w:rPr>
          <w:rFonts w:ascii="Calibri" w:hAnsi="Calibri" w:cs="Calibri"/>
          <w:color w:val="000000"/>
          <w:lang w:val="en-US"/>
        </w:rPr>
        <w:t>[</w:t>
      </w:r>
      <w:r>
        <w:rPr>
          <w:rFonts w:ascii="Calibri" w:hAnsi="Calibri" w:cs="Calibri"/>
          <w:color w:val="000000"/>
          <w:lang w:val="en-US"/>
        </w:rPr>
        <w:t>9</w:t>
      </w:r>
      <w:r w:rsidRPr="00594325">
        <w:rPr>
          <w:rFonts w:ascii="Calibri" w:hAnsi="Calibri" w:cs="Calibri"/>
          <w:color w:val="000000"/>
          <w:lang w:val="en-US"/>
        </w:rPr>
        <w:t>]</w:t>
      </w:r>
      <w:r>
        <w:rPr>
          <w:rFonts w:ascii="Calibri" w:hAnsi="Calibri" w:cs="Calibri"/>
          <w:color w:val="000000"/>
        </w:rPr>
        <w:t>.</w:t>
      </w:r>
      <w:r w:rsidRPr="00594325">
        <w:t xml:space="preserve"> </w:t>
      </w:r>
      <w:proofErr w:type="spellStart"/>
      <w:r w:rsidRPr="00594325">
        <w:rPr>
          <w:rFonts w:ascii="Calibri" w:hAnsi="Calibri" w:cs="Calibri"/>
          <w:color w:val="000000"/>
        </w:rPr>
        <w:t>Luo</w:t>
      </w:r>
      <w:proofErr w:type="spellEnd"/>
      <w:r w:rsidRPr="00594325">
        <w:rPr>
          <w:rFonts w:ascii="Calibri" w:hAnsi="Calibri" w:cs="Calibri"/>
          <w:color w:val="000000"/>
        </w:rPr>
        <w:t xml:space="preserve"> M-S, Huang G-J, Liu H-B. Oncologic outcomes of IMRT versus CRT</w:t>
      </w:r>
      <w:r>
        <w:rPr>
          <w:rFonts w:ascii="Calibri" w:hAnsi="Calibri" w:cs="Calibri"/>
          <w:color w:val="000000"/>
        </w:rPr>
        <w:t xml:space="preserve"> </w:t>
      </w:r>
      <w:r w:rsidRPr="00594325">
        <w:rPr>
          <w:rFonts w:ascii="Calibri" w:hAnsi="Calibri" w:cs="Calibri"/>
          <w:color w:val="000000"/>
        </w:rPr>
        <w:t>for nasopharyngeal carcinoma: a meta-analysis. Medicine 2019</w:t>
      </w:r>
      <w:proofErr w:type="gramStart"/>
      <w:r w:rsidRPr="00594325">
        <w:rPr>
          <w:rFonts w:ascii="Calibri" w:hAnsi="Calibri" w:cs="Calibri"/>
          <w:color w:val="000000"/>
        </w:rPr>
        <w:t>;98:e15951</w:t>
      </w:r>
      <w:proofErr w:type="gramEnd"/>
      <w:r w:rsidRPr="00594325">
        <w:rPr>
          <w:rFonts w:ascii="Calibri" w:hAnsi="Calibri" w:cs="Calibri"/>
          <w:color w:val="000000"/>
        </w:rPr>
        <w:t>,</w:t>
      </w:r>
      <w:r>
        <w:rPr>
          <w:rFonts w:ascii="Calibri" w:hAnsi="Calibri" w:cs="Calibri"/>
          <w:color w:val="000000"/>
        </w:rPr>
        <w:t xml:space="preserve"> </w:t>
      </w:r>
      <w:r w:rsidRPr="00594325">
        <w:rPr>
          <w:rFonts w:ascii="Calibri" w:hAnsi="Calibri" w:cs="Calibri"/>
          <w:color w:val="000000"/>
        </w:rPr>
        <w:t>http://dx.doi.org/10.1097/MD.0000000000015951.</w:t>
      </w:r>
    </w:p>
    <w:p w:rsidR="00413785" w:rsidRDefault="00413785" w:rsidP="00413785">
      <w:pPr>
        <w:rPr>
          <w:rFonts w:ascii="Calibri" w:hAnsi="Calibri" w:cs="Calibri"/>
          <w:b/>
          <w:bCs/>
          <w:color w:val="000000"/>
          <w:lang w:val="en-US"/>
        </w:rPr>
      </w:pPr>
    </w:p>
    <w:p w:rsidR="003D175E" w:rsidRPr="003D175E" w:rsidRDefault="003D175E" w:rsidP="00A22CFC">
      <w:pPr>
        <w:rPr>
          <w:b/>
          <w:bCs/>
          <w:highlight w:val="white"/>
        </w:rPr>
      </w:pPr>
    </w:p>
    <w:p w:rsidR="00A22CFC" w:rsidRPr="00A22CFC" w:rsidRDefault="00A22CFC" w:rsidP="00A22CFC">
      <w:pPr>
        <w:pStyle w:val="calibri"/>
        <w:rPr>
          <w:rFonts w:ascii="Calibri" w:hAnsi="Calibri" w:cs="Calibri"/>
          <w:color w:val="000000"/>
          <w:sz w:val="22"/>
          <w:szCs w:val="22"/>
          <w:lang w:val="en-GB"/>
        </w:rPr>
      </w:pPr>
    </w:p>
    <w:p w:rsidR="005E4950" w:rsidRPr="005E4950" w:rsidRDefault="005E4950" w:rsidP="005E4950">
      <w:pPr>
        <w:pStyle w:val="calibri"/>
        <w:rPr>
          <w:rFonts w:ascii="Calibri" w:hAnsi="Calibri" w:cs="Calibri"/>
          <w:color w:val="000000"/>
          <w:sz w:val="22"/>
          <w:szCs w:val="22"/>
          <w:lang w:val="en-GB"/>
        </w:rPr>
      </w:pPr>
    </w:p>
    <w:p w:rsidR="004F0BAA" w:rsidRPr="005E4950" w:rsidRDefault="004F0BAA" w:rsidP="004F0BAA">
      <w:pPr>
        <w:pStyle w:val="calibri"/>
        <w:rPr>
          <w:rFonts w:ascii="Calibri" w:hAnsi="Calibri" w:cs="Calibri"/>
          <w:b/>
          <w:bCs/>
          <w:color w:val="000000"/>
          <w:sz w:val="22"/>
          <w:szCs w:val="22"/>
          <w:lang w:val="en-US"/>
        </w:rPr>
      </w:pPr>
    </w:p>
    <w:p w:rsidR="00A32692" w:rsidRPr="005E4950" w:rsidRDefault="00A32692" w:rsidP="003103E6">
      <w:pPr>
        <w:pStyle w:val="calibri"/>
        <w:rPr>
          <w:rFonts w:ascii="Calibri" w:hAnsi="Calibri" w:cs="Calibri"/>
          <w:b/>
          <w:bCs/>
          <w:color w:val="000000"/>
          <w:sz w:val="22"/>
          <w:szCs w:val="22"/>
          <w:lang w:val="en-US"/>
        </w:rPr>
      </w:pPr>
    </w:p>
    <w:p w:rsidR="00CE1941" w:rsidRPr="005E4950" w:rsidRDefault="00CE1941" w:rsidP="003103E6">
      <w:pPr>
        <w:pStyle w:val="calibri"/>
        <w:rPr>
          <w:rFonts w:ascii="Calibri" w:hAnsi="Calibri" w:cs="Calibri"/>
          <w:color w:val="000000"/>
          <w:sz w:val="22"/>
          <w:szCs w:val="22"/>
          <w:lang w:val="en-US"/>
        </w:rPr>
      </w:pPr>
    </w:p>
    <w:p w:rsidR="003103E6" w:rsidRPr="005E4950" w:rsidRDefault="003103E6" w:rsidP="003103E6">
      <w:pPr>
        <w:rPr>
          <w:rFonts w:ascii="Calibri" w:eastAsia="Times New Roman" w:hAnsi="Calibri" w:cs="Calibri"/>
          <w:color w:val="000000"/>
          <w:lang w:val="en-US" w:eastAsia="fr-FR"/>
        </w:rPr>
      </w:pPr>
    </w:p>
    <w:p w:rsidR="003103E6" w:rsidRPr="005E4950" w:rsidRDefault="003103E6" w:rsidP="00DC37D0">
      <w:pPr>
        <w:spacing w:beforeAutospacing="1" w:after="0" w:afterAutospacing="1" w:line="240" w:lineRule="auto"/>
        <w:jc w:val="center"/>
        <w:outlineLvl w:val="0"/>
        <w:rPr>
          <w:rFonts w:asciiTheme="majorBidi" w:hAnsiTheme="majorBidi" w:cstheme="majorBidi"/>
          <w:b/>
          <w:bCs/>
          <w:sz w:val="28"/>
          <w:szCs w:val="28"/>
          <w:lang w:val="en-US"/>
        </w:rPr>
      </w:pPr>
    </w:p>
    <w:p w:rsidR="000E55D7" w:rsidRPr="00E877F9" w:rsidRDefault="000E55D7" w:rsidP="00E877F9">
      <w:pPr>
        <w:rPr>
          <w:rFonts w:asciiTheme="majorBidi" w:hAnsiTheme="majorBidi" w:cstheme="majorBidi"/>
          <w:b/>
          <w:bCs/>
          <w:sz w:val="28"/>
          <w:szCs w:val="28"/>
          <w:lang w:val="en-US"/>
        </w:rPr>
      </w:pPr>
    </w:p>
    <w:sectPr w:rsidR="000E55D7" w:rsidRPr="00E87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B4B4D"/>
    <w:multiLevelType w:val="hybridMultilevel"/>
    <w:tmpl w:val="F944692C"/>
    <w:lvl w:ilvl="0" w:tplc="55D43C84">
      <w:start w:val="1"/>
      <w:numFmt w:val="bullet"/>
      <w:lvlText w:val="•"/>
      <w:lvlJc w:val="left"/>
      <w:pPr>
        <w:tabs>
          <w:tab w:val="num" w:pos="720"/>
        </w:tabs>
        <w:ind w:left="720" w:hanging="360"/>
      </w:pPr>
      <w:rPr>
        <w:rFonts w:ascii="Arial" w:hAnsi="Arial" w:hint="default"/>
      </w:rPr>
    </w:lvl>
    <w:lvl w:ilvl="1" w:tplc="0A7485A6">
      <w:start w:val="1"/>
      <w:numFmt w:val="bullet"/>
      <w:lvlText w:val="•"/>
      <w:lvlJc w:val="left"/>
      <w:pPr>
        <w:tabs>
          <w:tab w:val="num" w:pos="1440"/>
        </w:tabs>
        <w:ind w:left="1440" w:hanging="360"/>
      </w:pPr>
      <w:rPr>
        <w:rFonts w:ascii="Arial" w:hAnsi="Arial" w:hint="default"/>
      </w:rPr>
    </w:lvl>
    <w:lvl w:ilvl="2" w:tplc="909C33CE" w:tentative="1">
      <w:start w:val="1"/>
      <w:numFmt w:val="bullet"/>
      <w:lvlText w:val="•"/>
      <w:lvlJc w:val="left"/>
      <w:pPr>
        <w:tabs>
          <w:tab w:val="num" w:pos="2160"/>
        </w:tabs>
        <w:ind w:left="2160" w:hanging="360"/>
      </w:pPr>
      <w:rPr>
        <w:rFonts w:ascii="Arial" w:hAnsi="Arial" w:hint="default"/>
      </w:rPr>
    </w:lvl>
    <w:lvl w:ilvl="3" w:tplc="D3FC0D10" w:tentative="1">
      <w:start w:val="1"/>
      <w:numFmt w:val="bullet"/>
      <w:lvlText w:val="•"/>
      <w:lvlJc w:val="left"/>
      <w:pPr>
        <w:tabs>
          <w:tab w:val="num" w:pos="2880"/>
        </w:tabs>
        <w:ind w:left="2880" w:hanging="360"/>
      </w:pPr>
      <w:rPr>
        <w:rFonts w:ascii="Arial" w:hAnsi="Arial" w:hint="default"/>
      </w:rPr>
    </w:lvl>
    <w:lvl w:ilvl="4" w:tplc="7256F1BA" w:tentative="1">
      <w:start w:val="1"/>
      <w:numFmt w:val="bullet"/>
      <w:lvlText w:val="•"/>
      <w:lvlJc w:val="left"/>
      <w:pPr>
        <w:tabs>
          <w:tab w:val="num" w:pos="3600"/>
        </w:tabs>
        <w:ind w:left="3600" w:hanging="360"/>
      </w:pPr>
      <w:rPr>
        <w:rFonts w:ascii="Arial" w:hAnsi="Arial" w:hint="default"/>
      </w:rPr>
    </w:lvl>
    <w:lvl w:ilvl="5" w:tplc="04F80908" w:tentative="1">
      <w:start w:val="1"/>
      <w:numFmt w:val="bullet"/>
      <w:lvlText w:val="•"/>
      <w:lvlJc w:val="left"/>
      <w:pPr>
        <w:tabs>
          <w:tab w:val="num" w:pos="4320"/>
        </w:tabs>
        <w:ind w:left="4320" w:hanging="360"/>
      </w:pPr>
      <w:rPr>
        <w:rFonts w:ascii="Arial" w:hAnsi="Arial" w:hint="default"/>
      </w:rPr>
    </w:lvl>
    <w:lvl w:ilvl="6" w:tplc="F6FE1C68" w:tentative="1">
      <w:start w:val="1"/>
      <w:numFmt w:val="bullet"/>
      <w:lvlText w:val="•"/>
      <w:lvlJc w:val="left"/>
      <w:pPr>
        <w:tabs>
          <w:tab w:val="num" w:pos="5040"/>
        </w:tabs>
        <w:ind w:left="5040" w:hanging="360"/>
      </w:pPr>
      <w:rPr>
        <w:rFonts w:ascii="Arial" w:hAnsi="Arial" w:hint="default"/>
      </w:rPr>
    </w:lvl>
    <w:lvl w:ilvl="7" w:tplc="3B56A886" w:tentative="1">
      <w:start w:val="1"/>
      <w:numFmt w:val="bullet"/>
      <w:lvlText w:val="•"/>
      <w:lvlJc w:val="left"/>
      <w:pPr>
        <w:tabs>
          <w:tab w:val="num" w:pos="5760"/>
        </w:tabs>
        <w:ind w:left="5760" w:hanging="360"/>
      </w:pPr>
      <w:rPr>
        <w:rFonts w:ascii="Arial" w:hAnsi="Arial" w:hint="default"/>
      </w:rPr>
    </w:lvl>
    <w:lvl w:ilvl="8" w:tplc="97763844" w:tentative="1">
      <w:start w:val="1"/>
      <w:numFmt w:val="bullet"/>
      <w:lvlText w:val="•"/>
      <w:lvlJc w:val="left"/>
      <w:pPr>
        <w:tabs>
          <w:tab w:val="num" w:pos="6480"/>
        </w:tabs>
        <w:ind w:left="6480" w:hanging="360"/>
      </w:pPr>
      <w:rPr>
        <w:rFonts w:ascii="Arial" w:hAnsi="Arial" w:hint="default"/>
      </w:rPr>
    </w:lvl>
  </w:abstractNum>
  <w:abstractNum w:abstractNumId="1">
    <w:nsid w:val="39A40785"/>
    <w:multiLevelType w:val="hybridMultilevel"/>
    <w:tmpl w:val="335CBA84"/>
    <w:lvl w:ilvl="0" w:tplc="040C000F">
      <w:start w:val="1"/>
      <w:numFmt w:val="decimal"/>
      <w:lvlText w:val="%1."/>
      <w:lvlJc w:val="left"/>
      <w:pPr>
        <w:tabs>
          <w:tab w:val="num" w:pos="720"/>
        </w:tabs>
        <w:ind w:left="720" w:hanging="360"/>
      </w:pPr>
      <w:rPr>
        <w:rFonts w:hint="default"/>
      </w:rPr>
    </w:lvl>
    <w:lvl w:ilvl="1" w:tplc="22F80878" w:tentative="1">
      <w:start w:val="1"/>
      <w:numFmt w:val="bullet"/>
      <w:lvlText w:val="•"/>
      <w:lvlJc w:val="left"/>
      <w:pPr>
        <w:tabs>
          <w:tab w:val="num" w:pos="1440"/>
        </w:tabs>
        <w:ind w:left="1440" w:hanging="360"/>
      </w:pPr>
      <w:rPr>
        <w:rFonts w:ascii="Arial" w:hAnsi="Arial" w:hint="default"/>
      </w:rPr>
    </w:lvl>
    <w:lvl w:ilvl="2" w:tplc="3EA0FC08" w:tentative="1">
      <w:start w:val="1"/>
      <w:numFmt w:val="bullet"/>
      <w:lvlText w:val="•"/>
      <w:lvlJc w:val="left"/>
      <w:pPr>
        <w:tabs>
          <w:tab w:val="num" w:pos="2160"/>
        </w:tabs>
        <w:ind w:left="2160" w:hanging="360"/>
      </w:pPr>
      <w:rPr>
        <w:rFonts w:ascii="Arial" w:hAnsi="Arial" w:hint="default"/>
      </w:rPr>
    </w:lvl>
    <w:lvl w:ilvl="3" w:tplc="55DEBEC4" w:tentative="1">
      <w:start w:val="1"/>
      <w:numFmt w:val="bullet"/>
      <w:lvlText w:val="•"/>
      <w:lvlJc w:val="left"/>
      <w:pPr>
        <w:tabs>
          <w:tab w:val="num" w:pos="2880"/>
        </w:tabs>
        <w:ind w:left="2880" w:hanging="360"/>
      </w:pPr>
      <w:rPr>
        <w:rFonts w:ascii="Arial" w:hAnsi="Arial" w:hint="default"/>
      </w:rPr>
    </w:lvl>
    <w:lvl w:ilvl="4" w:tplc="FADEBBDC" w:tentative="1">
      <w:start w:val="1"/>
      <w:numFmt w:val="bullet"/>
      <w:lvlText w:val="•"/>
      <w:lvlJc w:val="left"/>
      <w:pPr>
        <w:tabs>
          <w:tab w:val="num" w:pos="3600"/>
        </w:tabs>
        <w:ind w:left="3600" w:hanging="360"/>
      </w:pPr>
      <w:rPr>
        <w:rFonts w:ascii="Arial" w:hAnsi="Arial" w:hint="default"/>
      </w:rPr>
    </w:lvl>
    <w:lvl w:ilvl="5" w:tplc="98D0D120" w:tentative="1">
      <w:start w:val="1"/>
      <w:numFmt w:val="bullet"/>
      <w:lvlText w:val="•"/>
      <w:lvlJc w:val="left"/>
      <w:pPr>
        <w:tabs>
          <w:tab w:val="num" w:pos="4320"/>
        </w:tabs>
        <w:ind w:left="4320" w:hanging="360"/>
      </w:pPr>
      <w:rPr>
        <w:rFonts w:ascii="Arial" w:hAnsi="Arial" w:hint="default"/>
      </w:rPr>
    </w:lvl>
    <w:lvl w:ilvl="6" w:tplc="5F7236F4" w:tentative="1">
      <w:start w:val="1"/>
      <w:numFmt w:val="bullet"/>
      <w:lvlText w:val="•"/>
      <w:lvlJc w:val="left"/>
      <w:pPr>
        <w:tabs>
          <w:tab w:val="num" w:pos="5040"/>
        </w:tabs>
        <w:ind w:left="5040" w:hanging="360"/>
      </w:pPr>
      <w:rPr>
        <w:rFonts w:ascii="Arial" w:hAnsi="Arial" w:hint="default"/>
      </w:rPr>
    </w:lvl>
    <w:lvl w:ilvl="7" w:tplc="A62EAEA6" w:tentative="1">
      <w:start w:val="1"/>
      <w:numFmt w:val="bullet"/>
      <w:lvlText w:val="•"/>
      <w:lvlJc w:val="left"/>
      <w:pPr>
        <w:tabs>
          <w:tab w:val="num" w:pos="5760"/>
        </w:tabs>
        <w:ind w:left="5760" w:hanging="360"/>
      </w:pPr>
      <w:rPr>
        <w:rFonts w:ascii="Arial" w:hAnsi="Arial" w:hint="default"/>
      </w:rPr>
    </w:lvl>
    <w:lvl w:ilvl="8" w:tplc="A12ECA56" w:tentative="1">
      <w:start w:val="1"/>
      <w:numFmt w:val="bullet"/>
      <w:lvlText w:val="•"/>
      <w:lvlJc w:val="left"/>
      <w:pPr>
        <w:tabs>
          <w:tab w:val="num" w:pos="6480"/>
        </w:tabs>
        <w:ind w:left="6480" w:hanging="360"/>
      </w:pPr>
      <w:rPr>
        <w:rFonts w:ascii="Arial" w:hAnsi="Arial" w:hint="default"/>
      </w:rPr>
    </w:lvl>
  </w:abstractNum>
  <w:abstractNum w:abstractNumId="2">
    <w:nsid w:val="44367E21"/>
    <w:multiLevelType w:val="hybridMultilevel"/>
    <w:tmpl w:val="0EE237CE"/>
    <w:lvl w:ilvl="0" w:tplc="592C7060">
      <w:start w:val="1"/>
      <w:numFmt w:val="bullet"/>
      <w:lvlText w:val="•"/>
      <w:lvlJc w:val="left"/>
      <w:pPr>
        <w:tabs>
          <w:tab w:val="num" w:pos="720"/>
        </w:tabs>
        <w:ind w:left="720" w:hanging="360"/>
      </w:pPr>
      <w:rPr>
        <w:rFonts w:ascii="Arial" w:hAnsi="Arial" w:hint="default"/>
      </w:rPr>
    </w:lvl>
    <w:lvl w:ilvl="1" w:tplc="97262924">
      <w:numFmt w:val="bullet"/>
      <w:lvlText w:val="•"/>
      <w:lvlJc w:val="left"/>
      <w:pPr>
        <w:tabs>
          <w:tab w:val="num" w:pos="1440"/>
        </w:tabs>
        <w:ind w:left="1440" w:hanging="360"/>
      </w:pPr>
      <w:rPr>
        <w:rFonts w:ascii="Arial" w:hAnsi="Arial" w:hint="default"/>
      </w:rPr>
    </w:lvl>
    <w:lvl w:ilvl="2" w:tplc="9D3EDCCE" w:tentative="1">
      <w:start w:val="1"/>
      <w:numFmt w:val="bullet"/>
      <w:lvlText w:val="•"/>
      <w:lvlJc w:val="left"/>
      <w:pPr>
        <w:tabs>
          <w:tab w:val="num" w:pos="2160"/>
        </w:tabs>
        <w:ind w:left="2160" w:hanging="360"/>
      </w:pPr>
      <w:rPr>
        <w:rFonts w:ascii="Arial" w:hAnsi="Arial" w:hint="default"/>
      </w:rPr>
    </w:lvl>
    <w:lvl w:ilvl="3" w:tplc="5A3C4092" w:tentative="1">
      <w:start w:val="1"/>
      <w:numFmt w:val="bullet"/>
      <w:lvlText w:val="•"/>
      <w:lvlJc w:val="left"/>
      <w:pPr>
        <w:tabs>
          <w:tab w:val="num" w:pos="2880"/>
        </w:tabs>
        <w:ind w:left="2880" w:hanging="360"/>
      </w:pPr>
      <w:rPr>
        <w:rFonts w:ascii="Arial" w:hAnsi="Arial" w:hint="default"/>
      </w:rPr>
    </w:lvl>
    <w:lvl w:ilvl="4" w:tplc="6FD00D5C" w:tentative="1">
      <w:start w:val="1"/>
      <w:numFmt w:val="bullet"/>
      <w:lvlText w:val="•"/>
      <w:lvlJc w:val="left"/>
      <w:pPr>
        <w:tabs>
          <w:tab w:val="num" w:pos="3600"/>
        </w:tabs>
        <w:ind w:left="3600" w:hanging="360"/>
      </w:pPr>
      <w:rPr>
        <w:rFonts w:ascii="Arial" w:hAnsi="Arial" w:hint="default"/>
      </w:rPr>
    </w:lvl>
    <w:lvl w:ilvl="5" w:tplc="E2AA2526" w:tentative="1">
      <w:start w:val="1"/>
      <w:numFmt w:val="bullet"/>
      <w:lvlText w:val="•"/>
      <w:lvlJc w:val="left"/>
      <w:pPr>
        <w:tabs>
          <w:tab w:val="num" w:pos="4320"/>
        </w:tabs>
        <w:ind w:left="4320" w:hanging="360"/>
      </w:pPr>
      <w:rPr>
        <w:rFonts w:ascii="Arial" w:hAnsi="Arial" w:hint="default"/>
      </w:rPr>
    </w:lvl>
    <w:lvl w:ilvl="6" w:tplc="9F22737E" w:tentative="1">
      <w:start w:val="1"/>
      <w:numFmt w:val="bullet"/>
      <w:lvlText w:val="•"/>
      <w:lvlJc w:val="left"/>
      <w:pPr>
        <w:tabs>
          <w:tab w:val="num" w:pos="5040"/>
        </w:tabs>
        <w:ind w:left="5040" w:hanging="360"/>
      </w:pPr>
      <w:rPr>
        <w:rFonts w:ascii="Arial" w:hAnsi="Arial" w:hint="default"/>
      </w:rPr>
    </w:lvl>
    <w:lvl w:ilvl="7" w:tplc="4CFE41EC" w:tentative="1">
      <w:start w:val="1"/>
      <w:numFmt w:val="bullet"/>
      <w:lvlText w:val="•"/>
      <w:lvlJc w:val="left"/>
      <w:pPr>
        <w:tabs>
          <w:tab w:val="num" w:pos="5760"/>
        </w:tabs>
        <w:ind w:left="5760" w:hanging="360"/>
      </w:pPr>
      <w:rPr>
        <w:rFonts w:ascii="Arial" w:hAnsi="Arial" w:hint="default"/>
      </w:rPr>
    </w:lvl>
    <w:lvl w:ilvl="8" w:tplc="4894B49A" w:tentative="1">
      <w:start w:val="1"/>
      <w:numFmt w:val="bullet"/>
      <w:lvlText w:val="•"/>
      <w:lvlJc w:val="left"/>
      <w:pPr>
        <w:tabs>
          <w:tab w:val="num" w:pos="6480"/>
        </w:tabs>
        <w:ind w:left="6480" w:hanging="360"/>
      </w:pPr>
      <w:rPr>
        <w:rFonts w:ascii="Arial" w:hAnsi="Arial" w:hint="default"/>
      </w:rPr>
    </w:lvl>
  </w:abstractNum>
  <w:abstractNum w:abstractNumId="3">
    <w:nsid w:val="48256D47"/>
    <w:multiLevelType w:val="hybridMultilevel"/>
    <w:tmpl w:val="0B343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177BA1"/>
    <w:multiLevelType w:val="multilevel"/>
    <w:tmpl w:val="3854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881B15"/>
    <w:multiLevelType w:val="hybridMultilevel"/>
    <w:tmpl w:val="75080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9E"/>
    <w:rsid w:val="00002B8D"/>
    <w:rsid w:val="00077C87"/>
    <w:rsid w:val="000B096B"/>
    <w:rsid w:val="000E55D7"/>
    <w:rsid w:val="0013640C"/>
    <w:rsid w:val="00191137"/>
    <w:rsid w:val="001A6477"/>
    <w:rsid w:val="001D6044"/>
    <w:rsid w:val="00205B4B"/>
    <w:rsid w:val="00270BA7"/>
    <w:rsid w:val="002C681E"/>
    <w:rsid w:val="003103E6"/>
    <w:rsid w:val="0038567C"/>
    <w:rsid w:val="003D175E"/>
    <w:rsid w:val="003E23EE"/>
    <w:rsid w:val="003F2238"/>
    <w:rsid w:val="003F2262"/>
    <w:rsid w:val="00413785"/>
    <w:rsid w:val="00437A34"/>
    <w:rsid w:val="00454460"/>
    <w:rsid w:val="00483A3E"/>
    <w:rsid w:val="00492503"/>
    <w:rsid w:val="004F0BAA"/>
    <w:rsid w:val="0050118E"/>
    <w:rsid w:val="00544D9D"/>
    <w:rsid w:val="005815A8"/>
    <w:rsid w:val="00594325"/>
    <w:rsid w:val="005A614E"/>
    <w:rsid w:val="005E4950"/>
    <w:rsid w:val="005F08AA"/>
    <w:rsid w:val="006F7A39"/>
    <w:rsid w:val="007B413F"/>
    <w:rsid w:val="007C4061"/>
    <w:rsid w:val="007D7F52"/>
    <w:rsid w:val="007F3ADE"/>
    <w:rsid w:val="00807F82"/>
    <w:rsid w:val="0085787D"/>
    <w:rsid w:val="008641B7"/>
    <w:rsid w:val="008F029E"/>
    <w:rsid w:val="00913FB2"/>
    <w:rsid w:val="00925308"/>
    <w:rsid w:val="00925D9A"/>
    <w:rsid w:val="00926870"/>
    <w:rsid w:val="00965209"/>
    <w:rsid w:val="00985C84"/>
    <w:rsid w:val="009A652E"/>
    <w:rsid w:val="009C5011"/>
    <w:rsid w:val="00A22CFC"/>
    <w:rsid w:val="00A32692"/>
    <w:rsid w:val="00A71B6E"/>
    <w:rsid w:val="00BA3B17"/>
    <w:rsid w:val="00BF30BB"/>
    <w:rsid w:val="00C537EA"/>
    <w:rsid w:val="00CA609E"/>
    <w:rsid w:val="00CB4D2F"/>
    <w:rsid w:val="00CE1941"/>
    <w:rsid w:val="00D234BA"/>
    <w:rsid w:val="00D3468E"/>
    <w:rsid w:val="00DA4BDF"/>
    <w:rsid w:val="00DB502C"/>
    <w:rsid w:val="00DC37D0"/>
    <w:rsid w:val="00E24F04"/>
    <w:rsid w:val="00E7178F"/>
    <w:rsid w:val="00E877F9"/>
    <w:rsid w:val="00F263A3"/>
    <w:rsid w:val="00F66C7A"/>
    <w:rsid w:val="00FA49B0"/>
    <w:rsid w:val="00FE06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C39AB-459E-4433-A270-E0E99CD7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link w:val="Titre1Car"/>
    <w:uiPriority w:val="9"/>
    <w:qFormat/>
    <w:rsid w:val="00DC37D0"/>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37D0"/>
    <w:rPr>
      <w:rFonts w:ascii="Times New Roman" w:eastAsia="Times New Roman" w:hAnsi="Times New Roman" w:cs="Times New Roman"/>
      <w:b/>
      <w:bCs/>
      <w:kern w:val="36"/>
      <w:sz w:val="48"/>
      <w:szCs w:val="48"/>
      <w:lang w:eastAsia="fr-FR"/>
    </w:rPr>
  </w:style>
  <w:style w:type="character" w:customStyle="1" w:styleId="title-text">
    <w:name w:val="title-text"/>
    <w:basedOn w:val="Policepardfaut"/>
    <w:rsid w:val="00DC37D0"/>
  </w:style>
  <w:style w:type="character" w:customStyle="1" w:styleId="mdc-typography--body1">
    <w:name w:val="mdc-typography--body1"/>
    <w:basedOn w:val="Policepardfaut"/>
    <w:rsid w:val="003103E6"/>
  </w:style>
  <w:style w:type="paragraph" w:customStyle="1" w:styleId="Default">
    <w:name w:val="Default"/>
    <w:rsid w:val="003103E6"/>
    <w:pPr>
      <w:autoSpaceDE w:val="0"/>
      <w:autoSpaceDN w:val="0"/>
      <w:adjustRightInd w:val="0"/>
      <w:spacing w:after="0" w:line="240" w:lineRule="auto"/>
    </w:pPr>
    <w:rPr>
      <w:rFonts w:ascii="Charis SIL" w:hAnsi="Charis SIL" w:cs="Charis SIL"/>
      <w:color w:val="000000"/>
      <w:sz w:val="24"/>
      <w:szCs w:val="24"/>
    </w:rPr>
  </w:style>
  <w:style w:type="paragraph" w:customStyle="1" w:styleId="calibri">
    <w:name w:val="calibri"/>
    <w:basedOn w:val="Normal"/>
    <w:rsid w:val="003103E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807F82"/>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205B4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205B4B"/>
    <w:rPr>
      <w:i/>
      <w:iCs/>
    </w:rPr>
  </w:style>
  <w:style w:type="character" w:styleId="Lienhypertexte">
    <w:name w:val="Hyperlink"/>
    <w:basedOn w:val="Policepardfaut"/>
    <w:uiPriority w:val="99"/>
    <w:unhideWhenUsed/>
    <w:rsid w:val="00594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4646">
      <w:bodyDiv w:val="1"/>
      <w:marLeft w:val="0"/>
      <w:marRight w:val="0"/>
      <w:marTop w:val="0"/>
      <w:marBottom w:val="0"/>
      <w:divBdr>
        <w:top w:val="none" w:sz="0" w:space="0" w:color="auto"/>
        <w:left w:val="none" w:sz="0" w:space="0" w:color="auto"/>
        <w:bottom w:val="none" w:sz="0" w:space="0" w:color="auto"/>
        <w:right w:val="none" w:sz="0" w:space="0" w:color="auto"/>
      </w:divBdr>
    </w:div>
    <w:div w:id="1057974467">
      <w:bodyDiv w:val="1"/>
      <w:marLeft w:val="0"/>
      <w:marRight w:val="0"/>
      <w:marTop w:val="0"/>
      <w:marBottom w:val="0"/>
      <w:divBdr>
        <w:top w:val="none" w:sz="0" w:space="0" w:color="auto"/>
        <w:left w:val="none" w:sz="0" w:space="0" w:color="auto"/>
        <w:bottom w:val="none" w:sz="0" w:space="0" w:color="auto"/>
        <w:right w:val="none" w:sz="0" w:space="0" w:color="auto"/>
      </w:divBdr>
      <w:divsChild>
        <w:div w:id="2079134503">
          <w:marLeft w:val="1080"/>
          <w:marRight w:val="0"/>
          <w:marTop w:val="100"/>
          <w:marBottom w:val="0"/>
          <w:divBdr>
            <w:top w:val="none" w:sz="0" w:space="0" w:color="auto"/>
            <w:left w:val="none" w:sz="0" w:space="0" w:color="auto"/>
            <w:bottom w:val="none" w:sz="0" w:space="0" w:color="auto"/>
            <w:right w:val="none" w:sz="0" w:space="0" w:color="auto"/>
          </w:divBdr>
        </w:div>
      </w:divsChild>
    </w:div>
    <w:div w:id="1314868217">
      <w:bodyDiv w:val="1"/>
      <w:marLeft w:val="0"/>
      <w:marRight w:val="0"/>
      <w:marTop w:val="0"/>
      <w:marBottom w:val="0"/>
      <w:divBdr>
        <w:top w:val="none" w:sz="0" w:space="0" w:color="auto"/>
        <w:left w:val="none" w:sz="0" w:space="0" w:color="auto"/>
        <w:bottom w:val="none" w:sz="0" w:space="0" w:color="auto"/>
        <w:right w:val="none" w:sz="0" w:space="0" w:color="auto"/>
      </w:divBdr>
    </w:div>
    <w:div w:id="1326974321">
      <w:bodyDiv w:val="1"/>
      <w:marLeft w:val="0"/>
      <w:marRight w:val="0"/>
      <w:marTop w:val="0"/>
      <w:marBottom w:val="0"/>
      <w:divBdr>
        <w:top w:val="none" w:sz="0" w:space="0" w:color="auto"/>
        <w:left w:val="none" w:sz="0" w:space="0" w:color="auto"/>
        <w:bottom w:val="none" w:sz="0" w:space="0" w:color="auto"/>
        <w:right w:val="none" w:sz="0" w:space="0" w:color="auto"/>
      </w:divBdr>
      <w:divsChild>
        <w:div w:id="597058435">
          <w:marLeft w:val="360"/>
          <w:marRight w:val="0"/>
          <w:marTop w:val="200"/>
          <w:marBottom w:val="0"/>
          <w:divBdr>
            <w:top w:val="none" w:sz="0" w:space="0" w:color="auto"/>
            <w:left w:val="none" w:sz="0" w:space="0" w:color="auto"/>
            <w:bottom w:val="none" w:sz="0" w:space="0" w:color="auto"/>
            <w:right w:val="none" w:sz="0" w:space="0" w:color="auto"/>
          </w:divBdr>
        </w:div>
        <w:div w:id="1398629902">
          <w:marLeft w:val="1080"/>
          <w:marRight w:val="0"/>
          <w:marTop w:val="100"/>
          <w:marBottom w:val="0"/>
          <w:divBdr>
            <w:top w:val="none" w:sz="0" w:space="0" w:color="auto"/>
            <w:left w:val="none" w:sz="0" w:space="0" w:color="auto"/>
            <w:bottom w:val="none" w:sz="0" w:space="0" w:color="auto"/>
            <w:right w:val="none" w:sz="0" w:space="0" w:color="auto"/>
          </w:divBdr>
        </w:div>
      </w:divsChild>
    </w:div>
    <w:div w:id="1907523476">
      <w:bodyDiv w:val="1"/>
      <w:marLeft w:val="0"/>
      <w:marRight w:val="0"/>
      <w:marTop w:val="0"/>
      <w:marBottom w:val="0"/>
      <w:divBdr>
        <w:top w:val="none" w:sz="0" w:space="0" w:color="auto"/>
        <w:left w:val="none" w:sz="0" w:space="0" w:color="auto"/>
        <w:bottom w:val="none" w:sz="0" w:space="0" w:color="auto"/>
        <w:right w:val="none" w:sz="0" w:space="0" w:color="auto"/>
      </w:divBdr>
      <w:divsChild>
        <w:div w:id="1248004513">
          <w:marLeft w:val="360"/>
          <w:marRight w:val="0"/>
          <w:marTop w:val="200"/>
          <w:marBottom w:val="0"/>
          <w:divBdr>
            <w:top w:val="none" w:sz="0" w:space="0" w:color="auto"/>
            <w:left w:val="none" w:sz="0" w:space="0" w:color="auto"/>
            <w:bottom w:val="none" w:sz="0" w:space="0" w:color="auto"/>
            <w:right w:val="none" w:sz="0" w:space="0" w:color="auto"/>
          </w:divBdr>
        </w:div>
        <w:div w:id="20688447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dx.doi.org/10.1097/MD.0000000000019360" TargetMode="External"/><Relationship Id="rId4" Type="http://schemas.openxmlformats.org/officeDocument/2006/relationships/webSettings" Target="webSettings.xml"/><Relationship Id="rId9" Type="http://schemas.openxmlformats.org/officeDocument/2006/relationships/hyperlink" Target="http://dx.doi.org/10.1016/j.annonc.2020.12.00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euille_de_calcul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Feuille_de_calcul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r>
              <a:rPr lang="en-US" smtClean="0"/>
              <a:t>AJCC 8</a:t>
            </a:r>
            <a:r>
              <a:rPr lang="en-US" baseline="30000" smtClean="0"/>
              <a:t>th</a:t>
            </a:r>
            <a:r>
              <a:rPr lang="en-US" baseline="0" smtClean="0"/>
              <a:t> EDITION.</a:t>
            </a:r>
            <a:endParaRPr lang="en-US"/>
          </a:p>
        </c:rich>
      </c:tx>
      <c:overlay val="0"/>
      <c:spPr>
        <a:noFill/>
        <a:ln>
          <a:noFill/>
        </a:ln>
        <a:effectLst/>
      </c:spPr>
      <c:txPr>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26747370374173374"/>
          <c:y val="0.22020377117039475"/>
          <c:w val="0.62599794480513926"/>
          <c:h val="0.72668623785687103"/>
        </c:manualLayout>
      </c:layout>
      <c:pieChart>
        <c:varyColors val="1"/>
        <c:ser>
          <c:idx val="0"/>
          <c:order val="0"/>
          <c:tx>
            <c:strRef>
              <c:f>Feuil1!$B$1</c:f>
              <c:strCache>
                <c:ptCount val="1"/>
                <c:pt idx="0">
                  <c:v>TUMOR CLASSIFICATION</c:v>
                </c:pt>
              </c:strCache>
            </c:strRef>
          </c:tx>
          <c:explosion val="5"/>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dLbl>
              <c:idx val="0"/>
              <c:tx>
                <c:rich>
                  <a:bodyPr/>
                  <a:lstStyle/>
                  <a:p>
                    <a:fld id="{3321D2D2-4E78-49A4-A437-CA082AA021E6}" type="CATEGORYNAME">
                      <a:rPr lang="en-US">
                        <a:solidFill>
                          <a:schemeClr val="tx1"/>
                        </a:solidFill>
                      </a:rPr>
                      <a:pPr/>
                      <a:t>[NOM DE CATÉGORIE]</a:t>
                    </a:fld>
                    <a:r>
                      <a:rPr lang="en-US" baseline="0"/>
                      <a:t>
</a:t>
                    </a:r>
                    <a:fld id="{D4BF77F1-3A18-42AA-B9D0-BD89954D4B32}" type="VALUE">
                      <a:rPr lang="en-US" baseline="0">
                        <a:solidFill>
                          <a:schemeClr val="tx1"/>
                        </a:solidFill>
                      </a:rPr>
                      <a:pPr/>
                      <a:t>[VALEUR]</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9C678FE2-7FD5-49AF-A6C4-92FEFA0D8712}" type="CATEGORYNAME">
                      <a:rPr lang="en-US">
                        <a:solidFill>
                          <a:schemeClr val="tx1"/>
                        </a:solidFill>
                      </a:rPr>
                      <a:pPr/>
                      <a:t>[NOM DE CATÉGORIE]</a:t>
                    </a:fld>
                    <a:r>
                      <a:rPr lang="en-US" baseline="0"/>
                      <a:t>
</a:t>
                    </a:r>
                    <a:fld id="{F5357B42-B57A-490E-8E1F-990111A1CE12}" type="VALUE">
                      <a:rPr lang="en-US" baseline="0">
                        <a:solidFill>
                          <a:schemeClr val="tx1"/>
                        </a:solidFill>
                      </a:rPr>
                      <a:pPr/>
                      <a:t>[VALEUR]</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389AE417-2AEF-4710-8BF5-C89455884CBC}" type="CATEGORYNAME">
                      <a:rPr lang="en-US">
                        <a:solidFill>
                          <a:schemeClr val="tx1"/>
                        </a:solidFill>
                      </a:rPr>
                      <a:pPr/>
                      <a:t>[NOM DE CATÉGORIE]</a:t>
                    </a:fld>
                    <a:r>
                      <a:rPr lang="en-US" baseline="0"/>
                      <a:t>
</a:t>
                    </a:r>
                    <a:fld id="{99FA9432-D58B-4184-8B96-776C878517C6}" type="VALUE">
                      <a:rPr lang="en-US" baseline="0">
                        <a:solidFill>
                          <a:schemeClr val="tx1"/>
                        </a:solidFill>
                      </a:rPr>
                      <a:pPr/>
                      <a:t>[VALEUR]</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10BFE832-F5BA-4C92-864D-90E88864323E}" type="CATEGORYNAME">
                      <a:rPr lang="en-US">
                        <a:solidFill>
                          <a:schemeClr val="tx1"/>
                        </a:solidFill>
                      </a:rPr>
                      <a:pPr/>
                      <a:t>[NOM DE CATÉGORIE]</a:t>
                    </a:fld>
                    <a:r>
                      <a:rPr lang="en-US" baseline="0"/>
                      <a:t>
</a:t>
                    </a:r>
                    <a:r>
                      <a:rPr lang="en-US" baseline="0">
                        <a:solidFill>
                          <a:schemeClr val="tx1"/>
                        </a:solidFill>
                      </a:rPr>
                      <a:t>32%</a:t>
                    </a: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fr-FR"/>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4"/>
                <c:pt idx="0">
                  <c:v>T1</c:v>
                </c:pt>
                <c:pt idx="1">
                  <c:v>T2</c:v>
                </c:pt>
                <c:pt idx="2">
                  <c:v>T3</c:v>
                </c:pt>
                <c:pt idx="3">
                  <c:v>T4</c:v>
                </c:pt>
              </c:strCache>
            </c:strRef>
          </c:cat>
          <c:val>
            <c:numRef>
              <c:f>Feuil1!$B$2:$B$5</c:f>
              <c:numCache>
                <c:formatCode>0%</c:formatCode>
                <c:ptCount val="4"/>
                <c:pt idx="0">
                  <c:v>0.11</c:v>
                </c:pt>
                <c:pt idx="1">
                  <c:v>0.33</c:v>
                </c:pt>
                <c:pt idx="2">
                  <c:v>0.24</c:v>
                </c:pt>
                <c:pt idx="3" formatCode="General">
                  <c:v>1.2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6.7334814102252324E-2"/>
          <c:y val="0.22164179104477613"/>
          <c:w val="0.27507624518795137"/>
          <c:h val="8.4842193233308522E-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62" b="1" i="0" u="none" strike="noStrike" kern="1200" cap="none" baseline="0">
              <a:solidFill>
                <a:schemeClr val="lt1">
                  <a:lumMod val="8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LYMPH NODES</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Feuil1!$A$2:$A$5</c:f>
              <c:strCache>
                <c:ptCount val="4"/>
                <c:pt idx="0">
                  <c:v>N0</c:v>
                </c:pt>
                <c:pt idx="1">
                  <c:v>N1</c:v>
                </c:pt>
                <c:pt idx="2">
                  <c:v>N2</c:v>
                </c:pt>
                <c:pt idx="3">
                  <c:v>N3</c:v>
                </c:pt>
              </c:strCache>
            </c:strRef>
          </c:cat>
          <c:val>
            <c:numRef>
              <c:f>Feuil1!$B$2:$B$5</c:f>
              <c:numCache>
                <c:formatCode>0%</c:formatCode>
                <c:ptCount val="4"/>
                <c:pt idx="0">
                  <c:v>0.15</c:v>
                </c:pt>
                <c:pt idx="1">
                  <c:v>0.38</c:v>
                </c:pt>
                <c:pt idx="2">
                  <c:v>0.37</c:v>
                </c:pt>
                <c:pt idx="3">
                  <c:v>0.1</c:v>
                </c:pt>
              </c:numCache>
            </c:numRef>
          </c:val>
        </c:ser>
        <c:dLbls>
          <c:showLegendKey val="0"/>
          <c:showVal val="0"/>
          <c:showCatName val="0"/>
          <c:showSerName val="0"/>
          <c:showPercent val="0"/>
          <c:showBubbleSize val="0"/>
        </c:dLbls>
        <c:gapWidth val="315"/>
        <c:overlap val="-40"/>
        <c:axId val="510819904"/>
        <c:axId val="510820296"/>
      </c:barChart>
      <c:catAx>
        <c:axId val="51081990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75000"/>
                  </a:schemeClr>
                </a:solidFill>
                <a:latin typeface="+mn-lt"/>
                <a:ea typeface="+mn-ea"/>
                <a:cs typeface="+mn-cs"/>
              </a:defRPr>
            </a:pPr>
            <a:endParaRPr lang="fr-FR"/>
          </a:p>
        </c:txPr>
        <c:crossAx val="510820296"/>
        <c:crosses val="autoZero"/>
        <c:auto val="1"/>
        <c:lblAlgn val="ctr"/>
        <c:lblOffset val="100"/>
        <c:noMultiLvlLbl val="0"/>
      </c:catAx>
      <c:valAx>
        <c:axId val="510820296"/>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75000"/>
                  </a:schemeClr>
                </a:solidFill>
                <a:latin typeface="+mn-lt"/>
                <a:ea typeface="+mn-ea"/>
                <a:cs typeface="+mn-cs"/>
              </a:defRPr>
            </a:pPr>
            <a:endParaRPr lang="fr-FR"/>
          </a:p>
        </c:txPr>
        <c:crossAx val="510819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lt1">
                  <a:lumMod val="75000"/>
                </a:schemeClr>
              </a:solidFill>
              <a:latin typeface="+mn-lt"/>
              <a:ea typeface="+mn-ea"/>
              <a:cs typeface="+mn-cs"/>
            </a:defRPr>
          </a:pPr>
          <a:endParaRPr lang="fr-FR"/>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mtClean="0"/>
              <a:t>Weight loss induced by oral and oesophageal mucositis.</a:t>
            </a:r>
            <a:endParaRPr lang="en-US"/>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Feuil1!$B$1</c:f>
              <c:strCache>
                <c:ptCount val="1"/>
                <c:pt idx="0">
                  <c:v>Weight loss.</c:v>
                </c:pt>
              </c:strCache>
            </c:strRef>
          </c:tx>
          <c:spPr>
            <a:solidFill>
              <a:schemeClr val="accent1"/>
            </a:solidFill>
            <a:ln>
              <a:noFill/>
            </a:ln>
            <a:effectLst/>
          </c:spPr>
          <c:invertIfNegative val="0"/>
          <c:cat>
            <c:strRef>
              <c:f>Feuil1!$A$2:$A$4</c:f>
              <c:strCache>
                <c:ptCount val="3"/>
                <c:pt idx="0">
                  <c:v>&lt; 3 Kg.</c:v>
                </c:pt>
                <c:pt idx="1">
                  <c:v>3-8 Kg.</c:v>
                </c:pt>
                <c:pt idx="2">
                  <c:v>&gt;8 Kg.</c:v>
                </c:pt>
              </c:strCache>
            </c:strRef>
          </c:cat>
          <c:val>
            <c:numRef>
              <c:f>Feuil1!$B$2:$B$4</c:f>
              <c:numCache>
                <c:formatCode>0%</c:formatCode>
                <c:ptCount val="3"/>
                <c:pt idx="0">
                  <c:v>0.11</c:v>
                </c:pt>
                <c:pt idx="1">
                  <c:v>0.56000000000000005</c:v>
                </c:pt>
                <c:pt idx="2">
                  <c:v>0.33</c:v>
                </c:pt>
              </c:numCache>
            </c:numRef>
          </c:val>
        </c:ser>
        <c:dLbls>
          <c:showLegendKey val="0"/>
          <c:showVal val="0"/>
          <c:showCatName val="0"/>
          <c:showSerName val="0"/>
          <c:showPercent val="0"/>
          <c:showBubbleSize val="0"/>
        </c:dLbls>
        <c:gapWidth val="219"/>
        <c:overlap val="-27"/>
        <c:axId val="510821864"/>
        <c:axId val="510818336"/>
      </c:barChart>
      <c:catAx>
        <c:axId val="51082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crossAx val="510818336"/>
        <c:crosses val="autoZero"/>
        <c:auto val="1"/>
        <c:lblAlgn val="ctr"/>
        <c:lblOffset val="100"/>
        <c:noMultiLvlLbl val="0"/>
      </c:catAx>
      <c:valAx>
        <c:axId val="510818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crossAx val="51082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Median follow up 48 months.</a:t>
            </a:r>
          </a:p>
        </c:rich>
      </c:tx>
      <c:overlay val="0"/>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plotArea>
      <c:layout>
        <c:manualLayout>
          <c:layoutTarget val="inner"/>
          <c:xMode val="edge"/>
          <c:yMode val="edge"/>
          <c:x val="0.11644474368145685"/>
          <c:y val="0.13184774041290964"/>
          <c:w val="0.8745681268497757"/>
          <c:h val="0.66475980162648862"/>
        </c:manualLayout>
      </c:layout>
      <c:barChart>
        <c:barDir val="col"/>
        <c:grouping val="clustered"/>
        <c:varyColors val="0"/>
        <c:ser>
          <c:idx val="0"/>
          <c:order val="0"/>
          <c:tx>
            <c:strRef>
              <c:f>Feuil1!$B$1</c:f>
              <c:strCache>
                <c:ptCount val="1"/>
                <c:pt idx="0">
                  <c:v>MEDIAN FOLLOW UP 48 MONTHS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Feuil1!$A$2:$A$6</c:f>
              <c:strCache>
                <c:ptCount val="5"/>
                <c:pt idx="0">
                  <c:v>Locoregional control</c:v>
                </c:pt>
                <c:pt idx="1">
                  <c:v>local reccurence</c:v>
                </c:pt>
                <c:pt idx="2">
                  <c:v>Metastatic progression</c:v>
                </c:pt>
                <c:pt idx="3">
                  <c:v>Death</c:v>
                </c:pt>
                <c:pt idx="4">
                  <c:v>lost to follow up</c:v>
                </c:pt>
              </c:strCache>
            </c:strRef>
          </c:cat>
          <c:val>
            <c:numRef>
              <c:f>Feuil1!$B$2:$B$6</c:f>
              <c:numCache>
                <c:formatCode>0%</c:formatCode>
                <c:ptCount val="5"/>
                <c:pt idx="0">
                  <c:v>0.75</c:v>
                </c:pt>
                <c:pt idx="1">
                  <c:v>0.11</c:v>
                </c:pt>
                <c:pt idx="2">
                  <c:v>0.04</c:v>
                </c:pt>
                <c:pt idx="3">
                  <c:v>0.06</c:v>
                </c:pt>
                <c:pt idx="4">
                  <c:v>0.04</c:v>
                </c:pt>
              </c:numCache>
            </c:numRef>
          </c:val>
        </c:ser>
        <c:dLbls>
          <c:showLegendKey val="0"/>
          <c:showVal val="0"/>
          <c:showCatName val="0"/>
          <c:showSerName val="0"/>
          <c:showPercent val="0"/>
          <c:showBubbleSize val="0"/>
        </c:dLbls>
        <c:gapWidth val="100"/>
        <c:overlap val="-24"/>
        <c:axId val="510819120"/>
        <c:axId val="511291840"/>
      </c:barChart>
      <c:catAx>
        <c:axId val="5108191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fr-FR"/>
          </a:p>
        </c:txPr>
        <c:crossAx val="511291840"/>
        <c:crosses val="autoZero"/>
        <c:auto val="1"/>
        <c:lblAlgn val="ctr"/>
        <c:lblOffset val="100"/>
        <c:noMultiLvlLbl val="0"/>
      </c:catAx>
      <c:valAx>
        <c:axId val="51129184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fr-FR"/>
          </a:p>
        </c:txPr>
        <c:crossAx val="51081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fr-F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1197" b="1" kern="1200"/>
  </cs:axisTitle>
  <cs:categoryAxis>
    <cs:lnRef idx="0"/>
    <cs:fillRef idx="0"/>
    <cs:effectRef idx="0"/>
    <cs:fontRef idx="minor">
      <a:schemeClr val="lt1">
        <a:lumMod val="75000"/>
      </a:schemeClr>
    </cs:fontRef>
    <cs:defRPr sz="1197"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1197" kern="1200"/>
  </cs:chartArea>
  <cs:dataLabel>
    <cs:lnRef idx="0"/>
    <cs:fillRef idx="0"/>
    <cs:effectRef idx="0"/>
    <cs:fontRef idx="minor">
      <a:schemeClr val="lt1">
        <a:lumMod val="75000"/>
      </a:schemeClr>
    </cs:fontRef>
    <cs:defRPr sz="1197"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1197"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1197"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862"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1197"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2307</Words>
  <Characters>12689</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dcterms:created xsi:type="dcterms:W3CDTF">2024-11-25T01:54:00Z</dcterms:created>
  <dcterms:modified xsi:type="dcterms:W3CDTF">2024-11-25T01:54:00Z</dcterms:modified>
</cp:coreProperties>
</file>