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BAC3B" w14:textId="77777777" w:rsidR="00404A19" w:rsidRPr="00404A19" w:rsidRDefault="00404A19" w:rsidP="00404A19">
      <w:pPr>
        <w:spacing w:after="0" w:line="360" w:lineRule="auto"/>
        <w:jc w:val="center"/>
        <w:rPr>
          <w:rFonts w:ascii="Times New Roman" w:eastAsia="Times New Roman" w:hAnsi="Times New Roman" w:cs="Times New Roman"/>
          <w:b/>
          <w:kern w:val="0"/>
          <w:sz w:val="32"/>
          <w:szCs w:val="28"/>
          <w:lang w:eastAsia="en-IN" w:bidi="ar-SA"/>
          <w14:ligatures w14:val="none"/>
        </w:rPr>
      </w:pPr>
      <w:r w:rsidRPr="00404A19">
        <w:rPr>
          <w:rFonts w:ascii="Times New Roman" w:eastAsia="Times New Roman" w:hAnsi="Times New Roman" w:cs="Times New Roman"/>
          <w:b/>
          <w:kern w:val="0"/>
          <w:sz w:val="32"/>
          <w:szCs w:val="28"/>
          <w:lang w:eastAsia="en-IN" w:bidi="ar-SA"/>
          <w14:ligatures w14:val="none"/>
        </w:rPr>
        <w:t>A Comparison of Selected AMCs' Mutual Fund Schemes in India</w:t>
      </w:r>
    </w:p>
    <w:p w14:paraId="70B14439" w14:textId="11606F0A" w:rsidR="00475FD0" w:rsidRPr="00D43D99" w:rsidRDefault="00475FD0" w:rsidP="00404A19">
      <w:pPr>
        <w:spacing w:after="0" w:line="360" w:lineRule="auto"/>
        <w:jc w:val="center"/>
        <w:rPr>
          <w:rFonts w:ascii="Times New Roman" w:hAnsi="Times New Roman" w:cs="Times New Roman"/>
          <w:b/>
          <w:color w:val="000000" w:themeColor="text1"/>
          <w:sz w:val="28"/>
        </w:rPr>
      </w:pPr>
      <w:r w:rsidRPr="00D43D99">
        <w:rPr>
          <w:rFonts w:ascii="Times New Roman" w:hAnsi="Times New Roman" w:cs="Times New Roman"/>
          <w:b/>
          <w:color w:val="000000" w:themeColor="text1"/>
          <w:sz w:val="28"/>
        </w:rPr>
        <w:t>Sunil</w:t>
      </w:r>
      <w:r w:rsidR="00404A19">
        <w:rPr>
          <w:rFonts w:ascii="Times New Roman" w:hAnsi="Times New Roman" w:cs="Times New Roman"/>
          <w:b/>
          <w:color w:val="000000" w:themeColor="text1"/>
          <w:sz w:val="28"/>
        </w:rPr>
        <w:t>.</w:t>
      </w:r>
      <w:r w:rsidRPr="00D43D99">
        <w:rPr>
          <w:rFonts w:ascii="Times New Roman" w:hAnsi="Times New Roman" w:cs="Times New Roman"/>
          <w:b/>
          <w:color w:val="000000" w:themeColor="text1"/>
          <w:sz w:val="28"/>
        </w:rPr>
        <w:t xml:space="preserve"> A, Research Scholar, University of Mysore</w:t>
      </w:r>
    </w:p>
    <w:p w14:paraId="3F230F46" w14:textId="362D270A" w:rsidR="00475FD0" w:rsidRPr="00D43D99" w:rsidRDefault="0000395F" w:rsidP="00D43D99">
      <w:pPr>
        <w:spacing w:line="360" w:lineRule="auto"/>
        <w:jc w:val="center"/>
        <w:rPr>
          <w:rFonts w:ascii="Times New Roman" w:hAnsi="Times New Roman" w:cs="Times New Roman"/>
          <w:b/>
          <w:color w:val="000000" w:themeColor="text1"/>
          <w:sz w:val="28"/>
        </w:rPr>
      </w:pPr>
      <w:r w:rsidRPr="00D43D99">
        <w:rPr>
          <w:rFonts w:ascii="Times New Roman" w:hAnsi="Times New Roman" w:cs="Times New Roman"/>
          <w:b/>
          <w:color w:val="000000" w:themeColor="text1"/>
          <w:sz w:val="28"/>
        </w:rPr>
        <w:t>Dr. B</w:t>
      </w:r>
      <w:r w:rsidR="00404A19">
        <w:rPr>
          <w:rFonts w:ascii="Times New Roman" w:hAnsi="Times New Roman" w:cs="Times New Roman"/>
          <w:b/>
          <w:color w:val="000000" w:themeColor="text1"/>
          <w:sz w:val="28"/>
        </w:rPr>
        <w:t>.</w:t>
      </w:r>
      <w:r w:rsidRPr="00D43D99">
        <w:rPr>
          <w:rFonts w:ascii="Times New Roman" w:hAnsi="Times New Roman" w:cs="Times New Roman"/>
          <w:b/>
          <w:color w:val="000000" w:themeColor="text1"/>
          <w:sz w:val="28"/>
        </w:rPr>
        <w:t xml:space="preserve"> S</w:t>
      </w:r>
      <w:r w:rsidR="00404A19">
        <w:rPr>
          <w:rFonts w:ascii="Times New Roman" w:hAnsi="Times New Roman" w:cs="Times New Roman"/>
          <w:b/>
          <w:color w:val="000000" w:themeColor="text1"/>
          <w:sz w:val="28"/>
        </w:rPr>
        <w:t>.</w:t>
      </w:r>
      <w:r w:rsidRPr="00D43D99">
        <w:rPr>
          <w:rFonts w:ascii="Times New Roman" w:hAnsi="Times New Roman" w:cs="Times New Roman"/>
          <w:b/>
          <w:color w:val="000000" w:themeColor="text1"/>
          <w:sz w:val="28"/>
        </w:rPr>
        <w:t xml:space="preserve"> Sudha, Research Guide,</w:t>
      </w:r>
      <w:r w:rsidR="008B3A5F" w:rsidRPr="00D43D99">
        <w:rPr>
          <w:rFonts w:ascii="Times New Roman" w:hAnsi="Times New Roman" w:cs="Times New Roman"/>
          <w:b/>
          <w:color w:val="000000" w:themeColor="text1"/>
          <w:sz w:val="28"/>
        </w:rPr>
        <w:t xml:space="preserve"> </w:t>
      </w:r>
      <w:r w:rsidR="003416EA" w:rsidRPr="00D43D99">
        <w:rPr>
          <w:rFonts w:ascii="Times New Roman" w:hAnsi="Times New Roman" w:cs="Times New Roman"/>
          <w:b/>
          <w:color w:val="000000" w:themeColor="text1"/>
          <w:sz w:val="28"/>
        </w:rPr>
        <w:t>University of Mysore</w:t>
      </w:r>
    </w:p>
    <w:p w14:paraId="3DDF7A85" w14:textId="0F01289A" w:rsidR="00B93E5B" w:rsidRDefault="00D43D99" w:rsidP="00D43D99">
      <w:pPr>
        <w:spacing w:line="360" w:lineRule="auto"/>
        <w:jc w:val="both"/>
        <w:rPr>
          <w:rFonts w:ascii="Times New Roman" w:hAnsi="Times New Roman" w:cs="Times New Roman"/>
          <w:b/>
          <w:color w:val="000000" w:themeColor="text1"/>
          <w:sz w:val="28"/>
        </w:rPr>
      </w:pPr>
      <w:r w:rsidRPr="00D43D99">
        <w:rPr>
          <w:rFonts w:ascii="Times New Roman" w:hAnsi="Times New Roman" w:cs="Times New Roman"/>
          <w:b/>
          <w:color w:val="000000" w:themeColor="text1"/>
          <w:sz w:val="28"/>
        </w:rPr>
        <w:t>Abstract</w:t>
      </w:r>
      <w:r w:rsidR="005169F5" w:rsidRPr="00D43D99">
        <w:rPr>
          <w:rFonts w:ascii="Times New Roman" w:hAnsi="Times New Roman" w:cs="Times New Roman"/>
          <w:b/>
          <w:color w:val="000000" w:themeColor="text1"/>
          <w:sz w:val="28"/>
        </w:rPr>
        <w:t>:</w:t>
      </w:r>
    </w:p>
    <w:p w14:paraId="6F56C4EE" w14:textId="5B08CF3E" w:rsidR="00404A19" w:rsidRPr="00404A19" w:rsidRDefault="00404A19" w:rsidP="00DF7A85">
      <w:pPr>
        <w:spacing w:line="360" w:lineRule="auto"/>
        <w:jc w:val="both"/>
        <w:rPr>
          <w:rFonts w:ascii="Times New Roman" w:eastAsia="Times New Roman" w:hAnsi="Times New Roman" w:cs="Times New Roman"/>
          <w:kern w:val="0"/>
          <w:lang w:eastAsia="en-IN" w:bidi="ar-SA"/>
          <w14:ligatures w14:val="none"/>
        </w:rPr>
      </w:pPr>
      <w:r w:rsidRPr="00404A19">
        <w:rPr>
          <w:rFonts w:ascii="Times New Roman" w:eastAsia="Times New Roman" w:hAnsi="Times New Roman" w:cs="Times New Roman"/>
          <w:kern w:val="0"/>
          <w:lang w:eastAsia="en-IN" w:bidi="ar-SA"/>
          <w14:ligatures w14:val="none"/>
        </w:rPr>
        <w:t xml:space="preserve">An increasingly popular investing option is mutual funds. Mutual funds are the greatest choice for those who wish to profit from stock market gains but are not as knowledgeable about them. The total amount of assets managed by the mutual fund sector in India </w:t>
      </w:r>
      <w:r w:rsidR="00DF7A85">
        <w:rPr>
          <w:rFonts w:ascii="Times New Roman" w:eastAsia="Times New Roman" w:hAnsi="Times New Roman" w:cs="Times New Roman"/>
          <w:kern w:val="0"/>
          <w:lang w:eastAsia="en-IN" w:bidi="ar-SA"/>
          <w14:ligatures w14:val="none"/>
        </w:rPr>
        <w:t>is</w:t>
      </w:r>
      <w:r w:rsidRPr="00404A19">
        <w:rPr>
          <w:rFonts w:ascii="Times New Roman" w:eastAsia="Times New Roman" w:hAnsi="Times New Roman" w:cs="Times New Roman"/>
          <w:kern w:val="0"/>
          <w:lang w:eastAsia="en-IN" w:bidi="ar-SA"/>
          <w14:ligatures w14:val="none"/>
        </w:rPr>
        <w:t xml:space="preserve"> 68.50 lakh crore. Numerous plans are available to meet the various demands of investors. Various asset-under-management firms are introducing a range of risk-diversified programs. An analysis of equity-based mutual fund schemes has been attempted in this work. Between </w:t>
      </w:r>
      <w:r w:rsidR="00A0203E">
        <w:rPr>
          <w:rFonts w:ascii="Times New Roman" w:eastAsia="Times New Roman" w:hAnsi="Times New Roman" w:cs="Times New Roman"/>
          <w:kern w:val="0"/>
          <w:lang w:eastAsia="en-IN" w:bidi="ar-SA"/>
          <w14:ligatures w14:val="none"/>
        </w:rPr>
        <w:t>January 2020 and September 2023. A</w:t>
      </w:r>
      <w:r w:rsidRPr="00404A19">
        <w:rPr>
          <w:rFonts w:ascii="Times New Roman" w:eastAsia="Times New Roman" w:hAnsi="Times New Roman" w:cs="Times New Roman"/>
          <w:kern w:val="0"/>
          <w:lang w:eastAsia="en-IN" w:bidi="ar-SA"/>
          <w14:ligatures w14:val="none"/>
        </w:rPr>
        <w:t xml:space="preserve"> total of 21 schemes provided by two governmental and two private sector businesses were examined. A risk-return analysis has been used.</w:t>
      </w:r>
      <w:r>
        <w:rPr>
          <w:rFonts w:ascii="Times New Roman" w:eastAsia="Times New Roman" w:hAnsi="Times New Roman" w:cs="Times New Roman"/>
          <w:kern w:val="0"/>
          <w:lang w:eastAsia="en-IN" w:bidi="ar-SA"/>
          <w14:ligatures w14:val="none"/>
        </w:rPr>
        <w:t xml:space="preserve"> </w:t>
      </w:r>
      <w:r w:rsidRPr="00404A19">
        <w:rPr>
          <w:rFonts w:ascii="Times New Roman" w:eastAsia="Times New Roman" w:hAnsi="Times New Roman" w:cs="Times New Roman"/>
          <w:kern w:val="0"/>
          <w:lang w:eastAsia="en-IN" w:bidi="ar-SA"/>
          <w14:ligatures w14:val="none"/>
        </w:rPr>
        <w:t>The Capital Asset Pricing Model (CAPM) and a risk-return relationship were used in the research.</w:t>
      </w:r>
      <w:r>
        <w:rPr>
          <w:rFonts w:ascii="Times New Roman" w:eastAsia="Times New Roman" w:hAnsi="Times New Roman" w:cs="Times New Roman"/>
          <w:kern w:val="0"/>
          <w:lang w:eastAsia="en-IN" w:bidi="ar-SA"/>
          <w14:ligatures w14:val="none"/>
        </w:rPr>
        <w:t xml:space="preserve"> </w:t>
      </w:r>
      <w:r w:rsidRPr="00404A19">
        <w:rPr>
          <w:rFonts w:ascii="Times New Roman" w:eastAsia="Times New Roman" w:hAnsi="Times New Roman" w:cs="Times New Roman"/>
          <w:kern w:val="0"/>
          <w:lang w:eastAsia="en-IN" w:bidi="ar-SA"/>
          <w14:ligatures w14:val="none"/>
        </w:rPr>
        <w:t xml:space="preserve">The CAPM is a method for comparing the returns of </w:t>
      </w:r>
      <w:r>
        <w:rPr>
          <w:rFonts w:ascii="Times New Roman" w:eastAsia="Times New Roman" w:hAnsi="Times New Roman" w:cs="Times New Roman"/>
          <w:kern w:val="0"/>
          <w:lang w:eastAsia="en-IN" w:bidi="ar-SA"/>
          <w14:ligatures w14:val="none"/>
        </w:rPr>
        <w:t xml:space="preserve">particular mutual fund schemes. </w:t>
      </w:r>
      <w:r w:rsidRPr="00404A19">
        <w:rPr>
          <w:rFonts w:ascii="Times New Roman" w:eastAsia="Times New Roman" w:hAnsi="Times New Roman" w:cs="Times New Roman"/>
          <w:kern w:val="0"/>
          <w:lang w:eastAsia="en-IN" w:bidi="ar-SA"/>
          <w14:ligatures w14:val="none"/>
        </w:rPr>
        <w:t xml:space="preserve">According to the data, mutual fund schemes in the private sector (ABSL &amp; ICICI) </w:t>
      </w:r>
      <w:r w:rsidR="00DF7A85">
        <w:rPr>
          <w:rFonts w:ascii="Times New Roman" w:eastAsia="Times New Roman" w:hAnsi="Times New Roman" w:cs="Times New Roman"/>
          <w:kern w:val="0"/>
          <w:lang w:eastAsia="en-IN" w:bidi="ar-SA"/>
          <w14:ligatures w14:val="none"/>
        </w:rPr>
        <w:t>are</w:t>
      </w:r>
      <w:r w:rsidRPr="00404A19">
        <w:rPr>
          <w:rFonts w:ascii="Times New Roman" w:eastAsia="Times New Roman" w:hAnsi="Times New Roman" w:cs="Times New Roman"/>
          <w:kern w:val="0"/>
          <w:lang w:eastAsia="en-IN" w:bidi="ar-SA"/>
          <w14:ligatures w14:val="none"/>
        </w:rPr>
        <w:t xml:space="preserve"> more lucrative and moderately riskier than those in the public sector (SBI &amp; UTI). </w:t>
      </w:r>
    </w:p>
    <w:p w14:paraId="6B0A8369" w14:textId="593F5BAD" w:rsidR="00C3193E" w:rsidRPr="00DF7A85" w:rsidRDefault="00EE2D9E" w:rsidP="00D43D99">
      <w:pPr>
        <w:spacing w:line="360" w:lineRule="auto"/>
        <w:jc w:val="both"/>
        <w:rPr>
          <w:rFonts w:ascii="Times New Roman" w:hAnsi="Times New Roman" w:cs="Times New Roman"/>
          <w:color w:val="000000" w:themeColor="text1"/>
          <w:sz w:val="28"/>
        </w:rPr>
      </w:pPr>
      <w:r w:rsidRPr="00D43D99">
        <w:rPr>
          <w:rFonts w:ascii="Times New Roman" w:hAnsi="Times New Roman" w:cs="Times New Roman"/>
          <w:b/>
          <w:bCs/>
          <w:color w:val="000000" w:themeColor="text1"/>
          <w:sz w:val="28"/>
        </w:rPr>
        <w:t>Keyword</w:t>
      </w:r>
      <w:r w:rsidRPr="00AE0575">
        <w:rPr>
          <w:rFonts w:ascii="Times New Roman" w:hAnsi="Times New Roman" w:cs="Times New Roman"/>
          <w:b/>
          <w:bCs/>
          <w:color w:val="000000" w:themeColor="text1"/>
          <w:sz w:val="28"/>
        </w:rPr>
        <w:t>s</w:t>
      </w:r>
      <w:r w:rsidRPr="00AE0575">
        <w:rPr>
          <w:rFonts w:ascii="Times New Roman" w:hAnsi="Times New Roman" w:cs="Times New Roman"/>
          <w:b/>
          <w:color w:val="000000" w:themeColor="text1"/>
        </w:rPr>
        <w:t>:</w:t>
      </w:r>
      <w:r w:rsidRPr="00D43D99">
        <w:rPr>
          <w:rFonts w:ascii="Times New Roman" w:hAnsi="Times New Roman" w:cs="Times New Roman"/>
          <w:color w:val="000000" w:themeColor="text1"/>
        </w:rPr>
        <w:t xml:space="preserve"> mutual funds, asset management firms, assets under management,</w:t>
      </w:r>
      <w:r w:rsidR="00C3193E" w:rsidRPr="00D43D99">
        <w:rPr>
          <w:rFonts w:ascii="Times New Roman" w:hAnsi="Times New Roman" w:cs="Times New Roman"/>
          <w:color w:val="000000" w:themeColor="text1"/>
        </w:rPr>
        <w:t xml:space="preserve"> equity securities, money-market securities, risk, rate of return, Portfolio</w:t>
      </w:r>
      <w:r w:rsidR="00BD3959" w:rsidRPr="00D43D99">
        <w:rPr>
          <w:rFonts w:ascii="Times New Roman" w:hAnsi="Times New Roman" w:cs="Times New Roman"/>
          <w:color w:val="000000" w:themeColor="text1"/>
        </w:rPr>
        <w:t>.</w:t>
      </w:r>
    </w:p>
    <w:p w14:paraId="224B47EF" w14:textId="42476633" w:rsidR="00C60B40" w:rsidRPr="00D43D99" w:rsidRDefault="00D43D99" w:rsidP="00D43D99">
      <w:pPr>
        <w:spacing w:line="360" w:lineRule="auto"/>
        <w:jc w:val="both"/>
        <w:rPr>
          <w:rFonts w:ascii="Times New Roman" w:hAnsi="Times New Roman" w:cs="Times New Roman"/>
          <w:color w:val="000000" w:themeColor="text1"/>
          <w:sz w:val="28"/>
        </w:rPr>
      </w:pPr>
      <w:r w:rsidRPr="00D43D99">
        <w:rPr>
          <w:rFonts w:ascii="Times New Roman" w:hAnsi="Times New Roman" w:cs="Times New Roman"/>
          <w:b/>
          <w:color w:val="000000" w:themeColor="text1"/>
          <w:sz w:val="28"/>
        </w:rPr>
        <w:t>Introductio</w:t>
      </w:r>
      <w:r w:rsidRPr="00AE0575">
        <w:rPr>
          <w:rFonts w:ascii="Times New Roman" w:hAnsi="Times New Roman" w:cs="Times New Roman"/>
          <w:b/>
          <w:color w:val="000000" w:themeColor="text1"/>
          <w:sz w:val="28"/>
        </w:rPr>
        <w:t>n</w:t>
      </w:r>
      <w:r w:rsidR="00850CF9" w:rsidRPr="00AE0575">
        <w:rPr>
          <w:rFonts w:ascii="Times New Roman" w:hAnsi="Times New Roman" w:cs="Times New Roman"/>
          <w:b/>
          <w:color w:val="000000" w:themeColor="text1"/>
          <w:sz w:val="28"/>
        </w:rPr>
        <w:t>:</w:t>
      </w:r>
    </w:p>
    <w:p w14:paraId="70BF247B" w14:textId="77777777" w:rsidR="00DF7A85" w:rsidRDefault="00DF7A85" w:rsidP="00DF7A85">
      <w:pPr>
        <w:spacing w:line="360" w:lineRule="auto"/>
        <w:jc w:val="both"/>
        <w:rPr>
          <w:rFonts w:ascii="Times New Roman" w:eastAsia="Times New Roman" w:hAnsi="Times New Roman" w:cs="Times New Roman"/>
          <w:kern w:val="0"/>
          <w:lang w:eastAsia="en-IN" w:bidi="ar-SA"/>
          <w14:ligatures w14:val="none"/>
        </w:rPr>
      </w:pPr>
      <w:r w:rsidRPr="00DF7A85">
        <w:rPr>
          <w:rFonts w:ascii="Times New Roman" w:eastAsia="Times New Roman" w:hAnsi="Times New Roman" w:cs="Times New Roman"/>
          <w:kern w:val="0"/>
          <w:lang w:eastAsia="en-IN" w:bidi="ar-SA"/>
          <w14:ligatures w14:val="none"/>
        </w:rPr>
        <w:t xml:space="preserve">An intermediary that pools investor resources for group investments in a diverse portfolio of assets is known as a mutual fund. When investors share all of the fund's returns—less expenses—it is said </w:t>
      </w:r>
      <w:r>
        <w:rPr>
          <w:rFonts w:ascii="Times New Roman" w:eastAsia="Times New Roman" w:hAnsi="Times New Roman" w:cs="Times New Roman"/>
          <w:kern w:val="0"/>
          <w:lang w:eastAsia="en-IN" w:bidi="ar-SA"/>
          <w14:ligatures w14:val="none"/>
        </w:rPr>
        <w:t xml:space="preserve">to be "mutual." </w:t>
      </w:r>
      <w:r w:rsidRPr="00DF7A85">
        <w:rPr>
          <w:rFonts w:ascii="Times New Roman" w:eastAsia="Times New Roman" w:hAnsi="Times New Roman" w:cs="Times New Roman"/>
          <w:kern w:val="0"/>
          <w:lang w:eastAsia="en-IN" w:bidi="ar-SA"/>
          <w14:ligatures w14:val="none"/>
        </w:rPr>
        <w:t xml:space="preserve">Mutual Funds: An Overview Bonds, equities, money market instruments, and other assets are all investments made by the mutual fund. Before </w:t>
      </w:r>
      <w:r>
        <w:rPr>
          <w:rFonts w:ascii="Times New Roman" w:eastAsia="Times New Roman" w:hAnsi="Times New Roman" w:cs="Times New Roman"/>
          <w:kern w:val="0"/>
          <w:lang w:eastAsia="en-IN" w:bidi="ar-SA"/>
          <w14:ligatures w14:val="none"/>
        </w:rPr>
        <w:t>investing</w:t>
      </w:r>
      <w:r w:rsidRPr="00DF7A85">
        <w:rPr>
          <w:rFonts w:ascii="Times New Roman" w:eastAsia="Times New Roman" w:hAnsi="Times New Roman" w:cs="Times New Roman"/>
          <w:kern w:val="0"/>
          <w:lang w:eastAsia="en-IN" w:bidi="ar-SA"/>
          <w14:ligatures w14:val="none"/>
        </w:rPr>
        <w:t xml:space="preserve"> in the share market, an investor must carefully consider the return on investment and the performance of the specific firm. The investor finds the procedure to be time-consuming. Additionally, a layperson finds it exceedingly challenging to analyse the ups </w:t>
      </w:r>
      <w:r>
        <w:rPr>
          <w:rFonts w:ascii="Times New Roman" w:eastAsia="Times New Roman" w:hAnsi="Times New Roman" w:cs="Times New Roman"/>
          <w:kern w:val="0"/>
          <w:lang w:eastAsia="en-IN" w:bidi="ar-SA"/>
          <w14:ligatures w14:val="none"/>
        </w:rPr>
        <w:t xml:space="preserve">and downs of the share market. </w:t>
      </w:r>
      <w:r w:rsidRPr="00DF7A85">
        <w:rPr>
          <w:rFonts w:ascii="Times New Roman" w:eastAsia="Times New Roman" w:hAnsi="Times New Roman" w:cs="Times New Roman"/>
          <w:kern w:val="0"/>
          <w:lang w:eastAsia="en-IN" w:bidi="ar-SA"/>
          <w14:ligatures w14:val="none"/>
        </w:rPr>
        <w:t xml:space="preserve">The conduct and performance of mutual funds are analysed in this context since they are managed by professionals, making the schemes easier and better to invest in. </w:t>
      </w:r>
    </w:p>
    <w:p w14:paraId="163B2744" w14:textId="6FE7826F" w:rsidR="00DF7A85" w:rsidRPr="00DF7A85" w:rsidRDefault="00DF7A85" w:rsidP="00DF7A85">
      <w:pPr>
        <w:spacing w:line="360" w:lineRule="auto"/>
        <w:jc w:val="both"/>
        <w:rPr>
          <w:rFonts w:ascii="Times New Roman" w:eastAsia="Times New Roman" w:hAnsi="Times New Roman" w:cs="Times New Roman"/>
          <w:kern w:val="0"/>
          <w:lang w:eastAsia="en-IN" w:bidi="ar-SA"/>
          <w14:ligatures w14:val="none"/>
        </w:rPr>
      </w:pPr>
      <w:r w:rsidRPr="00DF7A85">
        <w:rPr>
          <w:rFonts w:ascii="Times New Roman" w:eastAsia="Times New Roman" w:hAnsi="Times New Roman" w:cs="Times New Roman"/>
          <w:kern w:val="0"/>
          <w:lang w:eastAsia="en-IN" w:bidi="ar-SA"/>
          <w14:ligatures w14:val="none"/>
        </w:rPr>
        <w:lastRenderedPageBreak/>
        <w:t>One of the finest methods for comparing the performance of mutual fund schemes is the risk-return analysis. This study compares mutual fund schemes using t</w:t>
      </w:r>
      <w:r>
        <w:rPr>
          <w:rFonts w:ascii="Times New Roman" w:eastAsia="Times New Roman" w:hAnsi="Times New Roman" w:cs="Times New Roman"/>
          <w:kern w:val="0"/>
          <w:lang w:eastAsia="en-IN" w:bidi="ar-SA"/>
          <w14:ligatures w14:val="none"/>
        </w:rPr>
        <w:t xml:space="preserve">he capital asset pricing model. </w:t>
      </w:r>
      <w:r w:rsidRPr="00DF7A85">
        <w:rPr>
          <w:rFonts w:ascii="Times New Roman" w:eastAsia="Times New Roman" w:hAnsi="Times New Roman" w:cs="Times New Roman"/>
          <w:kern w:val="0"/>
          <w:lang w:eastAsia="en-IN" w:bidi="ar-SA"/>
          <w14:ligatures w14:val="none"/>
        </w:rPr>
        <w:t>The link between an asset's risk and projected return is predicted by the CAPM. In two significant aspects, this partnership is tremendously beneficial. It first creates a standard by which different investments are measured. Second, it assists us in estimating with confidence the potential returns of an asset that has not ye</w:t>
      </w:r>
      <w:r>
        <w:rPr>
          <w:rFonts w:ascii="Times New Roman" w:eastAsia="Times New Roman" w:hAnsi="Times New Roman" w:cs="Times New Roman"/>
          <w:kern w:val="0"/>
          <w:lang w:eastAsia="en-IN" w:bidi="ar-SA"/>
          <w14:ligatures w14:val="none"/>
        </w:rPr>
        <w:t xml:space="preserve">t been exchanged on the market. </w:t>
      </w:r>
      <w:r w:rsidRPr="00DF7A85">
        <w:rPr>
          <w:rFonts w:ascii="Times New Roman" w:eastAsia="Times New Roman" w:hAnsi="Times New Roman" w:cs="Times New Roman"/>
          <w:kern w:val="0"/>
          <w:lang w:eastAsia="en-IN" w:bidi="ar-SA"/>
          <w14:ligatures w14:val="none"/>
        </w:rPr>
        <w:t xml:space="preserve">Despite conflicting actual data, the CAPM is commonly employed because </w:t>
      </w:r>
      <w:r>
        <w:rPr>
          <w:rFonts w:ascii="Times New Roman" w:eastAsia="Times New Roman" w:hAnsi="Times New Roman" w:cs="Times New Roman"/>
          <w:kern w:val="0"/>
          <w:lang w:eastAsia="en-IN" w:bidi="ar-SA"/>
          <w14:ligatures w14:val="none"/>
        </w:rPr>
        <w:t>of</w:t>
      </w:r>
      <w:r w:rsidRPr="00DF7A85">
        <w:rPr>
          <w:rFonts w:ascii="Times New Roman" w:eastAsia="Times New Roman" w:hAnsi="Times New Roman" w:cs="Times New Roman"/>
          <w:kern w:val="0"/>
          <w:lang w:eastAsia="en-IN" w:bidi="ar-SA"/>
          <w14:ligatures w14:val="none"/>
        </w:rPr>
        <w:t xml:space="preserve"> the insightful information it provides.</w:t>
      </w:r>
    </w:p>
    <w:p w14:paraId="44EA8F8C" w14:textId="07578DCF" w:rsidR="00DF7A85" w:rsidRPr="00DF7A85" w:rsidRDefault="00DF7A85" w:rsidP="00DF7A85">
      <w:pPr>
        <w:spacing w:after="0" w:line="360" w:lineRule="auto"/>
        <w:jc w:val="both"/>
        <w:rPr>
          <w:rFonts w:ascii="Times New Roman" w:eastAsia="Times New Roman" w:hAnsi="Times New Roman" w:cs="Times New Roman"/>
          <w:kern w:val="0"/>
          <w:lang w:eastAsia="en-IN" w:bidi="ar-SA"/>
          <w14:ligatures w14:val="none"/>
        </w:rPr>
      </w:pPr>
    </w:p>
    <w:p w14:paraId="7C2958B9" w14:textId="1C304AA0" w:rsidR="00211516" w:rsidRPr="00D43D99" w:rsidRDefault="004D1502" w:rsidP="00D43D99">
      <w:pPr>
        <w:spacing w:line="360" w:lineRule="auto"/>
        <w:jc w:val="both"/>
        <w:rPr>
          <w:rFonts w:ascii="Times New Roman" w:hAnsi="Times New Roman" w:cs="Times New Roman"/>
          <w:b/>
          <w:color w:val="000000" w:themeColor="text1"/>
        </w:rPr>
      </w:pPr>
      <w:r w:rsidRPr="00D43D99">
        <w:rPr>
          <w:rFonts w:ascii="Times New Roman" w:hAnsi="Times New Roman" w:cs="Times New Roman"/>
          <w:b/>
          <w:color w:val="000000" w:themeColor="text1"/>
          <w:sz w:val="28"/>
        </w:rPr>
        <w:t>Review of literature</w:t>
      </w:r>
      <w:r w:rsidR="00D43D99" w:rsidRPr="00D43D99">
        <w:rPr>
          <w:rFonts w:ascii="Times New Roman" w:hAnsi="Times New Roman" w:cs="Times New Roman"/>
          <w:b/>
          <w:color w:val="000000" w:themeColor="text1"/>
          <w:sz w:val="28"/>
        </w:rPr>
        <w:t>:</w:t>
      </w:r>
      <w:r w:rsidRPr="00D43D99">
        <w:rPr>
          <w:rFonts w:ascii="Times New Roman" w:hAnsi="Times New Roman" w:cs="Times New Roman"/>
          <w:b/>
          <w:color w:val="000000" w:themeColor="text1"/>
        </w:rPr>
        <w:t xml:space="preserve"> </w:t>
      </w:r>
    </w:p>
    <w:p w14:paraId="3D5D1F05" w14:textId="0C942440" w:rsidR="00B54F07" w:rsidRPr="00D43D99" w:rsidRDefault="00D43D99" w:rsidP="00D43D99">
      <w:pPr>
        <w:spacing w:line="360" w:lineRule="auto"/>
        <w:jc w:val="both"/>
        <w:rPr>
          <w:rStyle w:val="css-0"/>
          <w:rFonts w:ascii="Times New Roman" w:eastAsia="Times New Roman" w:hAnsi="Times New Roman" w:cs="Times New Roman"/>
          <w:color w:val="000000" w:themeColor="text1"/>
          <w:shd w:val="clear" w:color="auto" w:fill="FFFFFF"/>
        </w:rPr>
      </w:pPr>
      <w:proofErr w:type="spellStart"/>
      <w:r w:rsidRPr="00D43D99">
        <w:rPr>
          <w:rStyle w:val="css-0"/>
          <w:rFonts w:ascii="Times New Roman" w:eastAsia="Times New Roman" w:hAnsi="Times New Roman" w:cs="Times New Roman"/>
          <w:color w:val="000000" w:themeColor="text1"/>
          <w:shd w:val="clear" w:color="auto" w:fill="FFFFFF"/>
        </w:rPr>
        <w:t>Nandy</w:t>
      </w:r>
      <w:proofErr w:type="spellEnd"/>
      <w:r w:rsidRPr="00D43D99">
        <w:rPr>
          <w:rStyle w:val="css-0"/>
          <w:rFonts w:ascii="Times New Roman" w:eastAsia="Times New Roman" w:hAnsi="Times New Roman" w:cs="Times New Roman"/>
          <w:color w:val="000000" w:themeColor="text1"/>
          <w:shd w:val="clear" w:color="auto" w:fill="FFFFFF"/>
        </w:rPr>
        <w:t xml:space="preserve"> (2019), </w:t>
      </w:r>
      <w:r w:rsidR="00B54F07" w:rsidRPr="00D43D99">
        <w:rPr>
          <w:rStyle w:val="css-0"/>
          <w:rFonts w:ascii="Times New Roman" w:eastAsia="Times New Roman" w:hAnsi="Times New Roman" w:cs="Times New Roman"/>
          <w:color w:val="000000" w:themeColor="text1"/>
          <w:shd w:val="clear" w:color="auto" w:fill="FFFFFF"/>
        </w:rPr>
        <w:t>AMCs give people information that dire</w:t>
      </w:r>
      <w:r w:rsidRPr="00D43D99">
        <w:rPr>
          <w:rStyle w:val="css-0"/>
          <w:rFonts w:ascii="Times New Roman" w:eastAsia="Times New Roman" w:hAnsi="Times New Roman" w:cs="Times New Roman"/>
          <w:color w:val="000000" w:themeColor="text1"/>
          <w:shd w:val="clear" w:color="auto" w:fill="FFFFFF"/>
        </w:rPr>
        <w:t>ctly affects their MF holdings.</w:t>
      </w:r>
      <w:r w:rsidR="00B54F07" w:rsidRPr="00D43D99">
        <w:rPr>
          <w:rStyle w:val="css-0"/>
          <w:rFonts w:ascii="Times New Roman" w:eastAsia="Times New Roman" w:hAnsi="Times New Roman" w:cs="Times New Roman"/>
          <w:color w:val="000000" w:themeColor="text1"/>
          <w:shd w:val="clear" w:color="auto" w:fill="FFFFFF"/>
        </w:rPr>
        <w:t xml:space="preserve"> It is in charge of giving its investors regular updates on sales, repurchases, portfolio information, returns, and other topics. AMCs are accountable to their investors and protect their interests.</w:t>
      </w:r>
    </w:p>
    <w:p w14:paraId="45BD2E90" w14:textId="438C8A94" w:rsidR="00FC3144" w:rsidRPr="00D43D99" w:rsidRDefault="00485159" w:rsidP="00D43D99">
      <w:pPr>
        <w:shd w:val="clear" w:color="auto" w:fill="FFFFFF"/>
        <w:spacing w:line="360" w:lineRule="auto"/>
        <w:jc w:val="both"/>
        <w:divId w:val="200633590"/>
        <w:rPr>
          <w:rFonts w:ascii="Times New Roman" w:eastAsia="Times New Roman" w:hAnsi="Times New Roman" w:cs="Times New Roman"/>
          <w:color w:val="000000" w:themeColor="text1"/>
          <w:sz w:val="21"/>
          <w:szCs w:val="21"/>
        </w:rPr>
      </w:pPr>
      <w:r w:rsidRPr="00D43D99">
        <w:rPr>
          <w:rStyle w:val="css-0"/>
          <w:rFonts w:ascii="Times New Roman" w:eastAsia="Times New Roman" w:hAnsi="Times New Roman" w:cs="Times New Roman"/>
          <w:color w:val="000000" w:themeColor="text1"/>
        </w:rPr>
        <w:t xml:space="preserve">Thakur S. (2019), as part of his research, conducted a comparative performance analysis on a few mutual fund schemes that are devoted to meeting the investor’s post-retirement demands. His analysis included data from four chosen retirement mutual fund schemes over </w:t>
      </w:r>
      <w:r w:rsidR="00DF7A85">
        <w:rPr>
          <w:rStyle w:val="css-0"/>
          <w:rFonts w:ascii="Times New Roman" w:eastAsia="Times New Roman" w:hAnsi="Times New Roman" w:cs="Times New Roman"/>
          <w:color w:val="000000" w:themeColor="text1"/>
        </w:rPr>
        <w:t>five years</w:t>
      </w:r>
      <w:r w:rsidRPr="00D43D99">
        <w:rPr>
          <w:rStyle w:val="css-0"/>
          <w:rFonts w:ascii="Times New Roman" w:eastAsia="Times New Roman" w:hAnsi="Times New Roman" w:cs="Times New Roman"/>
          <w:color w:val="000000" w:themeColor="text1"/>
        </w:rPr>
        <w:t>. He used “CAGR, Average Return, Sharpe Ratio, Treynor Ratio, Jensen’s Alpha, etc.” to conduct his research.</w:t>
      </w:r>
    </w:p>
    <w:p w14:paraId="00BC7BED" w14:textId="2A3F68EB" w:rsidR="001434D1" w:rsidRPr="00D43D99" w:rsidRDefault="00BA58C0" w:rsidP="00D43D99">
      <w:pPr>
        <w:spacing w:line="360" w:lineRule="auto"/>
        <w:jc w:val="both"/>
        <w:rPr>
          <w:rStyle w:val="css-0"/>
          <w:rFonts w:ascii="Times New Roman" w:eastAsia="Times New Roman" w:hAnsi="Times New Roman" w:cs="Times New Roman"/>
          <w:color w:val="000000" w:themeColor="text1"/>
          <w:shd w:val="clear" w:color="auto" w:fill="FFFFFF"/>
        </w:rPr>
      </w:pPr>
      <w:r w:rsidRPr="00D43D99">
        <w:rPr>
          <w:rStyle w:val="css-0"/>
          <w:rFonts w:ascii="Times New Roman" w:eastAsia="Times New Roman" w:hAnsi="Times New Roman" w:cs="Times New Roman"/>
          <w:color w:val="000000" w:themeColor="text1"/>
          <w:shd w:val="clear" w:color="auto" w:fill="FFFFFF"/>
        </w:rPr>
        <w:t xml:space="preserve">Sim. B, 2020 </w:t>
      </w:r>
      <w:r w:rsidR="001434D1" w:rsidRPr="00D43D99">
        <w:rPr>
          <w:rStyle w:val="css-0"/>
          <w:rFonts w:ascii="Times New Roman" w:eastAsia="Times New Roman" w:hAnsi="Times New Roman" w:cs="Times New Roman"/>
          <w:color w:val="000000" w:themeColor="text1"/>
          <w:shd w:val="clear" w:color="auto" w:fill="FFFFFF"/>
        </w:rPr>
        <w:t>Investment management, portfolio management, and money management are other names that are frequently used to characterise this process. As a result, according to Sim, the person in charge of an investment portfolio is known as an asset manager, investment manager, portfolio manager, or money manager</w:t>
      </w:r>
      <w:r w:rsidR="00D43D99" w:rsidRPr="00D43D99">
        <w:rPr>
          <w:rStyle w:val="css-0"/>
          <w:rFonts w:ascii="Times New Roman" w:eastAsia="Times New Roman" w:hAnsi="Times New Roman" w:cs="Times New Roman"/>
          <w:color w:val="000000" w:themeColor="text1"/>
          <w:shd w:val="clear" w:color="auto" w:fill="FFFFFF"/>
        </w:rPr>
        <w:t>.</w:t>
      </w:r>
    </w:p>
    <w:p w14:paraId="47A1B173" w14:textId="3424A1AE" w:rsidR="001434D1" w:rsidRPr="00D43D99" w:rsidRDefault="00E61EA7" w:rsidP="00D43D99">
      <w:pPr>
        <w:spacing w:line="360" w:lineRule="auto"/>
        <w:jc w:val="both"/>
        <w:rPr>
          <w:rStyle w:val="css-0"/>
          <w:rFonts w:ascii="Times New Roman" w:eastAsia="Times New Roman" w:hAnsi="Times New Roman" w:cs="Times New Roman"/>
          <w:color w:val="000000" w:themeColor="text1"/>
          <w:shd w:val="clear" w:color="auto" w:fill="FFFFFF"/>
        </w:rPr>
      </w:pPr>
      <w:proofErr w:type="spellStart"/>
      <w:r w:rsidRPr="00D43D99">
        <w:rPr>
          <w:rStyle w:val="css-0"/>
          <w:rFonts w:ascii="Times New Roman" w:eastAsia="Times New Roman" w:hAnsi="Times New Roman" w:cs="Times New Roman"/>
          <w:color w:val="000000" w:themeColor="text1"/>
          <w:shd w:val="clear" w:color="auto" w:fill="FFFFFF"/>
        </w:rPr>
        <w:t>Sanjana</w:t>
      </w:r>
      <w:proofErr w:type="spellEnd"/>
      <w:r w:rsidRPr="00D43D99">
        <w:rPr>
          <w:rStyle w:val="css-0"/>
          <w:rFonts w:ascii="Times New Roman" w:eastAsia="Times New Roman" w:hAnsi="Times New Roman" w:cs="Times New Roman"/>
          <w:color w:val="000000" w:themeColor="text1"/>
          <w:shd w:val="clear" w:color="auto" w:fill="FFFFFF"/>
        </w:rPr>
        <w:t xml:space="preserve"> et al. (2020) </w:t>
      </w:r>
      <w:r w:rsidR="003D2733" w:rsidRPr="00D43D99">
        <w:rPr>
          <w:rStyle w:val="css-0"/>
          <w:rFonts w:ascii="Times New Roman" w:eastAsia="Times New Roman" w:hAnsi="Times New Roman" w:cs="Times New Roman"/>
          <w:color w:val="000000" w:themeColor="text1"/>
          <w:shd w:val="clear" w:color="auto" w:fill="FFFFFF"/>
        </w:rPr>
        <w:t xml:space="preserve">examined the “Large cap, </w:t>
      </w:r>
      <w:proofErr w:type="gramStart"/>
      <w:r w:rsidR="003D2733" w:rsidRPr="00D43D99">
        <w:rPr>
          <w:rStyle w:val="css-0"/>
          <w:rFonts w:ascii="Times New Roman" w:eastAsia="Times New Roman" w:hAnsi="Times New Roman" w:cs="Times New Roman"/>
          <w:color w:val="000000" w:themeColor="text1"/>
          <w:shd w:val="clear" w:color="auto" w:fill="FFFFFF"/>
        </w:rPr>
        <w:t>Mid</w:t>
      </w:r>
      <w:proofErr w:type="gramEnd"/>
      <w:r w:rsidR="003D2733" w:rsidRPr="00D43D99">
        <w:rPr>
          <w:rStyle w:val="css-0"/>
          <w:rFonts w:ascii="Times New Roman" w:eastAsia="Times New Roman" w:hAnsi="Times New Roman" w:cs="Times New Roman"/>
          <w:color w:val="000000" w:themeColor="text1"/>
          <w:shd w:val="clear" w:color="auto" w:fill="FFFFFF"/>
        </w:rPr>
        <w:t xml:space="preserve"> cap, and Small cap MFs available in India.” They analysed the performance of the MFs using a variety of statistical methods, including the Treynor Ratio, Jensen’s Ratio, Sharpe Ratio, and others.</w:t>
      </w:r>
    </w:p>
    <w:p w14:paraId="570F83E7" w14:textId="77777777" w:rsidR="00AE0575" w:rsidRDefault="00660FA4" w:rsidP="00D43D99">
      <w:pPr>
        <w:spacing w:line="360" w:lineRule="auto"/>
        <w:jc w:val="both"/>
        <w:rPr>
          <w:rStyle w:val="css-0"/>
          <w:rFonts w:ascii="Times New Roman" w:eastAsia="Times New Roman" w:hAnsi="Times New Roman" w:cs="Times New Roman"/>
          <w:color w:val="000000" w:themeColor="text1"/>
          <w:shd w:val="clear" w:color="auto" w:fill="FFFFFF"/>
        </w:rPr>
      </w:pPr>
      <w:proofErr w:type="spellStart"/>
      <w:r w:rsidRPr="00D43D99">
        <w:rPr>
          <w:rStyle w:val="css-0"/>
          <w:rFonts w:ascii="Times New Roman" w:eastAsia="Times New Roman" w:hAnsi="Times New Roman" w:cs="Times New Roman"/>
          <w:color w:val="000000" w:themeColor="text1"/>
          <w:shd w:val="clear" w:color="auto" w:fill="FFFFFF"/>
        </w:rPr>
        <w:t>Bala</w:t>
      </w:r>
      <w:proofErr w:type="spellEnd"/>
      <w:r w:rsidRPr="00D43D99">
        <w:rPr>
          <w:rStyle w:val="css-0"/>
          <w:rFonts w:ascii="Times New Roman" w:eastAsia="Times New Roman" w:hAnsi="Times New Roman" w:cs="Times New Roman"/>
          <w:color w:val="000000" w:themeColor="text1"/>
          <w:shd w:val="clear" w:color="auto" w:fill="FFFFFF"/>
        </w:rPr>
        <w:t xml:space="preserve"> (2021) examined the development and performance of open-ended Equity/Growth sectoral mutual fund schemes in India between 2010 and 2019. Eleven mutual fund schemes in total—two from the public sector and nine from the private sector—were chosen for the study. </w:t>
      </w:r>
    </w:p>
    <w:p w14:paraId="1165945E" w14:textId="09440FF6" w:rsidR="00736B84" w:rsidRPr="00D43D99" w:rsidRDefault="00660FA4" w:rsidP="00D43D99">
      <w:pPr>
        <w:spacing w:line="360" w:lineRule="auto"/>
        <w:jc w:val="both"/>
        <w:rPr>
          <w:rStyle w:val="css-0"/>
          <w:rFonts w:ascii="Times New Roman" w:eastAsia="Times New Roman" w:hAnsi="Times New Roman" w:cs="Times New Roman"/>
          <w:color w:val="000000" w:themeColor="text1"/>
          <w:shd w:val="clear" w:color="auto" w:fill="FFFFFF"/>
        </w:rPr>
      </w:pPr>
      <w:r w:rsidRPr="00D43D99">
        <w:rPr>
          <w:rStyle w:val="css-0"/>
          <w:rFonts w:ascii="Times New Roman" w:eastAsia="Times New Roman" w:hAnsi="Times New Roman" w:cs="Times New Roman"/>
          <w:color w:val="000000" w:themeColor="text1"/>
          <w:shd w:val="clear" w:color="auto" w:fill="FFFFFF"/>
        </w:rPr>
        <w:lastRenderedPageBreak/>
        <w:t>Data analysis methods included one-way ANOVA, the coefficient of correlation, the independent sample t-test, Jensen, Treynor, Sharpe, Jensen, Fama and Sortino, and CAGR. In terms of benchmark indices and quarterly returns, the majority of sectoral schemes were deemed to have outperformed the market. The positive beta values indicate that the sample schemes’ performance followed the market’s trajectory. There was no discernible statistically significant variation between the returns of</w:t>
      </w:r>
      <w:r w:rsidR="00736B84" w:rsidRPr="00D43D99">
        <w:rPr>
          <w:rStyle w:val="css-0"/>
          <w:rFonts w:ascii="Times New Roman" w:eastAsia="Times New Roman" w:hAnsi="Times New Roman" w:cs="Times New Roman"/>
          <w:color w:val="000000" w:themeColor="text1"/>
          <w:shd w:val="clear" w:color="auto" w:fill="FFFFFF"/>
        </w:rPr>
        <w:t xml:space="preserve"> selected Mutual funds.</w:t>
      </w:r>
    </w:p>
    <w:p w14:paraId="5DA8C5A7" w14:textId="77777777" w:rsidR="00D43D99" w:rsidRPr="00D43D99" w:rsidRDefault="003B0F25" w:rsidP="00D43D99">
      <w:pPr>
        <w:spacing w:line="360" w:lineRule="auto"/>
        <w:jc w:val="both"/>
        <w:rPr>
          <w:rStyle w:val="css-0"/>
          <w:rFonts w:ascii="Times New Roman" w:eastAsia="Times New Roman" w:hAnsi="Times New Roman" w:cs="Times New Roman"/>
          <w:color w:val="000000" w:themeColor="text1"/>
          <w:shd w:val="clear" w:color="auto" w:fill="FFFFFF"/>
        </w:rPr>
      </w:pPr>
      <w:proofErr w:type="spellStart"/>
      <w:r w:rsidRPr="00D43D99">
        <w:rPr>
          <w:rStyle w:val="css-0"/>
          <w:rFonts w:ascii="Times New Roman" w:eastAsia="Times New Roman" w:hAnsi="Times New Roman" w:cs="Times New Roman"/>
          <w:color w:val="000000" w:themeColor="text1"/>
          <w:shd w:val="clear" w:color="auto" w:fill="FFFFFF"/>
        </w:rPr>
        <w:t>Rokade</w:t>
      </w:r>
      <w:proofErr w:type="spellEnd"/>
      <w:r w:rsidRPr="00D43D99">
        <w:rPr>
          <w:rStyle w:val="css-0"/>
          <w:rFonts w:ascii="Times New Roman" w:eastAsia="Times New Roman" w:hAnsi="Times New Roman" w:cs="Times New Roman"/>
          <w:color w:val="000000" w:themeColor="text1"/>
          <w:shd w:val="clear" w:color="auto" w:fill="FFFFFF"/>
        </w:rPr>
        <w:t xml:space="preserve"> (2021) examined the performance of 15 mutual fund equity schemes operated by the top five mutual fund companies between 2009 and 2019. For the study, large-cap funds with growth options were chosen. The schemes were analysed using Jensen’s Alpha, Treynor’s measure, and the Sharpe ratio. </w:t>
      </w:r>
    </w:p>
    <w:p w14:paraId="55B0B374" w14:textId="2EB3800B" w:rsidR="00736B84" w:rsidRPr="00D43D99" w:rsidRDefault="003B0F25" w:rsidP="00D43D99">
      <w:pPr>
        <w:spacing w:line="360" w:lineRule="auto"/>
        <w:jc w:val="both"/>
        <w:rPr>
          <w:rStyle w:val="css-0"/>
          <w:rFonts w:ascii="Times New Roman" w:eastAsia="Times New Roman" w:hAnsi="Times New Roman" w:cs="Times New Roman"/>
          <w:color w:val="000000" w:themeColor="text1"/>
          <w:shd w:val="clear" w:color="auto" w:fill="FFFFFF"/>
        </w:rPr>
      </w:pPr>
      <w:r w:rsidRPr="00D43D99">
        <w:rPr>
          <w:rStyle w:val="css-0"/>
          <w:rFonts w:ascii="Times New Roman" w:eastAsia="Times New Roman" w:hAnsi="Times New Roman" w:cs="Times New Roman"/>
          <w:color w:val="000000" w:themeColor="text1"/>
          <w:shd w:val="clear" w:color="auto" w:fill="FFFFFF"/>
        </w:rPr>
        <w:t>The HDFC Top 200 was given the top spot based on the Sharpe Ratio, followed by the Birla Top 100, ICICI Top 100, and Reliance Top 200. The HDFC Top 200 was ranked top according to the Treynor Measure, followed by the Birla Top 100, ICICI Top 100, and Reliance Top 200. Jenson’s Alpha indicates that HDFC Top 200 is still at the top, followed by Birla Top 100 and Reliance.</w:t>
      </w:r>
    </w:p>
    <w:p w14:paraId="074DC80F" w14:textId="6797C9D1" w:rsidR="005C512E" w:rsidRPr="00D43D99" w:rsidRDefault="005C512E" w:rsidP="00D43D99">
      <w:pPr>
        <w:spacing w:line="360" w:lineRule="auto"/>
        <w:jc w:val="both"/>
        <w:divId w:val="1299723935"/>
        <w:rPr>
          <w:rFonts w:ascii="Times New Roman" w:eastAsia="Times New Roman" w:hAnsi="Times New Roman" w:cs="Times New Roman"/>
          <w:color w:val="000000" w:themeColor="text1"/>
          <w:kern w:val="0"/>
          <w14:ligatures w14:val="none"/>
        </w:rPr>
      </w:pPr>
      <w:proofErr w:type="spellStart"/>
      <w:r w:rsidRPr="00D43D99">
        <w:rPr>
          <w:rFonts w:ascii="Times New Roman" w:eastAsia="Times New Roman" w:hAnsi="Times New Roman" w:cs="Times New Roman"/>
          <w:color w:val="000000" w:themeColor="text1"/>
        </w:rPr>
        <w:t>Karunamoorthy</w:t>
      </w:r>
      <w:proofErr w:type="spellEnd"/>
      <w:r w:rsidRPr="00D43D99">
        <w:rPr>
          <w:rFonts w:ascii="Times New Roman" w:eastAsia="Times New Roman" w:hAnsi="Times New Roman" w:cs="Times New Roman"/>
          <w:color w:val="000000" w:themeColor="text1"/>
        </w:rPr>
        <w:t xml:space="preserve"> (2022) conducted her research </w:t>
      </w:r>
      <w:r w:rsidR="00DF7A85">
        <w:rPr>
          <w:rFonts w:ascii="Times New Roman" w:eastAsia="Times New Roman" w:hAnsi="Times New Roman" w:cs="Times New Roman"/>
          <w:color w:val="000000" w:themeColor="text1"/>
        </w:rPr>
        <w:t>to</w:t>
      </w:r>
      <w:r w:rsidRPr="00D43D99">
        <w:rPr>
          <w:rFonts w:ascii="Times New Roman" w:eastAsia="Times New Roman" w:hAnsi="Times New Roman" w:cs="Times New Roman"/>
          <w:color w:val="000000" w:themeColor="text1"/>
        </w:rPr>
        <w:t xml:space="preserve"> compare private and public sector businesses and comprehend how profits vary across various groups. Jenson's alpha, Treynor's index, and Sharpe's index were used to further the risk and return research. Additionally, an effort was made to ascertain the investor's temperament towards investing, level of risk tolerance, and preferences for mutual fund firm selection </w:t>
      </w:r>
      <w:r w:rsidR="00DF7A85">
        <w:rPr>
          <w:rFonts w:ascii="Times New Roman" w:eastAsia="Times New Roman" w:hAnsi="Times New Roman" w:cs="Times New Roman"/>
          <w:color w:val="000000" w:themeColor="text1"/>
        </w:rPr>
        <w:t>about</w:t>
      </w:r>
      <w:r w:rsidRPr="00D43D99">
        <w:rPr>
          <w:rFonts w:ascii="Times New Roman" w:eastAsia="Times New Roman" w:hAnsi="Times New Roman" w:cs="Times New Roman"/>
          <w:color w:val="000000" w:themeColor="text1"/>
        </w:rPr>
        <w:t xml:space="preserve"> risk tolerance. When investing in mutual fund products, the study demonstrates that investors consider </w:t>
      </w:r>
      <w:r w:rsidR="00DF7A85">
        <w:rPr>
          <w:rFonts w:ascii="Times New Roman" w:eastAsia="Times New Roman" w:hAnsi="Times New Roman" w:cs="Times New Roman"/>
          <w:color w:val="000000" w:themeColor="text1"/>
        </w:rPr>
        <w:t>several</w:t>
      </w:r>
      <w:r w:rsidRPr="00D43D99">
        <w:rPr>
          <w:rFonts w:ascii="Times New Roman" w:eastAsia="Times New Roman" w:hAnsi="Times New Roman" w:cs="Times New Roman"/>
          <w:color w:val="000000" w:themeColor="text1"/>
        </w:rPr>
        <w:t xml:space="preserve"> crucial factors, including fund quality, service quality, product core, and other factors. It was also discovered that every plan being examined was operating effectively.</w:t>
      </w:r>
    </w:p>
    <w:p w14:paraId="33F939A5" w14:textId="77777777" w:rsidR="0047505E" w:rsidRPr="00D43D99" w:rsidRDefault="0047505E" w:rsidP="00D43D99">
      <w:pPr>
        <w:spacing w:line="360" w:lineRule="auto"/>
        <w:jc w:val="both"/>
        <w:divId w:val="1667324090"/>
        <w:rPr>
          <w:rFonts w:ascii="Times New Roman" w:eastAsia="Times New Roman" w:hAnsi="Times New Roman" w:cs="Times New Roman"/>
          <w:color w:val="000000" w:themeColor="text1"/>
          <w:kern w:val="0"/>
          <w14:ligatures w14:val="none"/>
        </w:rPr>
      </w:pPr>
      <w:r w:rsidRPr="00D43D99">
        <w:rPr>
          <w:rFonts w:ascii="Times New Roman" w:eastAsia="Times New Roman" w:hAnsi="Times New Roman" w:cs="Times New Roman"/>
          <w:color w:val="000000" w:themeColor="text1"/>
        </w:rPr>
        <w:t>According to Khinchi (2022), there is a notable discrepancy between the returns produced by the schemes and their corresponding benchmark index, as well as a substantial disparity in the performance of the chosen schemes. According to the analysis, there is no discernible effect of Age of Fund, Age of Fund House, Expense Ratio, Portfolio Turnover Ratio, Sharpe Ratio, or Jensen Alpha on performance. It was discovered that the performance of the fund is significantly impacted by standard deviation, beta, and AUM.</w:t>
      </w:r>
    </w:p>
    <w:p w14:paraId="122CA4F5" w14:textId="77777777" w:rsidR="00DF7A85" w:rsidRDefault="00DF7A85" w:rsidP="00D43D99">
      <w:pPr>
        <w:spacing w:line="360" w:lineRule="auto"/>
        <w:jc w:val="both"/>
        <w:rPr>
          <w:rStyle w:val="css-0"/>
          <w:rFonts w:ascii="Times New Roman" w:eastAsia="Times New Roman" w:hAnsi="Times New Roman" w:cs="Times New Roman"/>
          <w:b/>
          <w:color w:val="000000" w:themeColor="text1"/>
          <w:sz w:val="28"/>
          <w:shd w:val="clear" w:color="auto" w:fill="FFFFFF"/>
        </w:rPr>
      </w:pPr>
    </w:p>
    <w:p w14:paraId="31FEF5BB" w14:textId="374400CF" w:rsidR="003B0F25" w:rsidRPr="00D43D99" w:rsidRDefault="00F374B3" w:rsidP="00D43D99">
      <w:pPr>
        <w:spacing w:line="360" w:lineRule="auto"/>
        <w:jc w:val="both"/>
        <w:rPr>
          <w:rStyle w:val="css-0"/>
          <w:rFonts w:ascii="Times New Roman" w:eastAsia="Times New Roman" w:hAnsi="Times New Roman" w:cs="Times New Roman"/>
          <w:b/>
          <w:color w:val="000000" w:themeColor="text1"/>
          <w:sz w:val="28"/>
          <w:shd w:val="clear" w:color="auto" w:fill="FFFFFF"/>
        </w:rPr>
      </w:pPr>
      <w:r w:rsidRPr="00D43D99">
        <w:rPr>
          <w:rStyle w:val="css-0"/>
          <w:rFonts w:ascii="Times New Roman" w:eastAsia="Times New Roman" w:hAnsi="Times New Roman" w:cs="Times New Roman"/>
          <w:b/>
          <w:color w:val="000000" w:themeColor="text1"/>
          <w:sz w:val="28"/>
          <w:shd w:val="clear" w:color="auto" w:fill="FFFFFF"/>
        </w:rPr>
        <w:lastRenderedPageBreak/>
        <w:t xml:space="preserve">Objectives </w:t>
      </w:r>
      <w:r w:rsidR="00BB34E7" w:rsidRPr="00D43D99">
        <w:rPr>
          <w:rStyle w:val="css-0"/>
          <w:rFonts w:ascii="Times New Roman" w:eastAsia="Times New Roman" w:hAnsi="Times New Roman" w:cs="Times New Roman"/>
          <w:b/>
          <w:color w:val="000000" w:themeColor="text1"/>
          <w:sz w:val="28"/>
          <w:shd w:val="clear" w:color="auto" w:fill="FFFFFF"/>
        </w:rPr>
        <w:t>of the study</w:t>
      </w:r>
      <w:r w:rsidR="00D43D99" w:rsidRPr="00D43D99">
        <w:rPr>
          <w:rStyle w:val="css-0"/>
          <w:rFonts w:ascii="Times New Roman" w:eastAsia="Times New Roman" w:hAnsi="Times New Roman" w:cs="Times New Roman"/>
          <w:b/>
          <w:color w:val="000000" w:themeColor="text1"/>
          <w:sz w:val="28"/>
          <w:shd w:val="clear" w:color="auto" w:fill="FFFFFF"/>
        </w:rPr>
        <w:t>:</w:t>
      </w:r>
    </w:p>
    <w:p w14:paraId="7402A221" w14:textId="77777777" w:rsidR="00DF7A85" w:rsidRDefault="001757C7" w:rsidP="00DF7A85">
      <w:pPr>
        <w:pStyle w:val="ListParagraph"/>
        <w:numPr>
          <w:ilvl w:val="0"/>
          <w:numId w:val="1"/>
        </w:numPr>
        <w:spacing w:line="360" w:lineRule="auto"/>
        <w:jc w:val="both"/>
        <w:rPr>
          <w:rStyle w:val="css-0"/>
          <w:rFonts w:ascii="Times New Roman" w:eastAsia="Times New Roman" w:hAnsi="Times New Roman" w:cs="Times New Roman"/>
          <w:color w:val="000000" w:themeColor="text1"/>
          <w:shd w:val="clear" w:color="auto" w:fill="FFFFFF"/>
        </w:rPr>
      </w:pPr>
      <w:r w:rsidRPr="00D43D99">
        <w:rPr>
          <w:rStyle w:val="css-0"/>
          <w:rFonts w:ascii="Times New Roman" w:eastAsia="Times New Roman" w:hAnsi="Times New Roman" w:cs="Times New Roman"/>
          <w:color w:val="000000" w:themeColor="text1"/>
          <w:shd w:val="clear" w:color="auto" w:fill="FFFFFF"/>
        </w:rPr>
        <w:t>To comprehend the general overview of equity mutual funds.</w:t>
      </w:r>
    </w:p>
    <w:p w14:paraId="6A28ACBF" w14:textId="57575070" w:rsidR="00DF7A85" w:rsidRPr="00DF7A85" w:rsidRDefault="00DF7A85" w:rsidP="00DF7A85">
      <w:pPr>
        <w:pStyle w:val="ListParagraph"/>
        <w:numPr>
          <w:ilvl w:val="0"/>
          <w:numId w:val="1"/>
        </w:numPr>
        <w:spacing w:line="360" w:lineRule="auto"/>
        <w:jc w:val="both"/>
        <w:rPr>
          <w:rStyle w:val="css-0"/>
          <w:rFonts w:ascii="Times New Roman" w:eastAsia="Times New Roman" w:hAnsi="Times New Roman" w:cs="Times New Roman"/>
          <w:color w:val="000000" w:themeColor="text1"/>
          <w:shd w:val="clear" w:color="auto" w:fill="FFFFFF"/>
        </w:rPr>
      </w:pPr>
      <w:r w:rsidRPr="00DF7A85">
        <w:rPr>
          <w:rFonts w:ascii="Times New Roman" w:hAnsi="Times New Roman" w:cs="Times New Roman"/>
        </w:rPr>
        <w:t>T</w:t>
      </w:r>
      <w:r w:rsidRPr="00DF7A85">
        <w:rPr>
          <w:rFonts w:ascii="Times New Roman" w:hAnsi="Times New Roman" w:cs="Times New Roman"/>
        </w:rPr>
        <w:t xml:space="preserve">he study is to compare the mutual fund schemes of selected public and private sector </w:t>
      </w:r>
      <w:r>
        <w:rPr>
          <w:rFonts w:ascii="Times New Roman" w:hAnsi="Times New Roman" w:cs="Times New Roman"/>
        </w:rPr>
        <w:t>AMCs.</w:t>
      </w:r>
    </w:p>
    <w:p w14:paraId="775B6078" w14:textId="7D955B2D" w:rsidR="00227AC6" w:rsidRPr="00D43D99" w:rsidRDefault="00D43D99" w:rsidP="00D43D99">
      <w:pPr>
        <w:spacing w:line="360" w:lineRule="auto"/>
        <w:jc w:val="both"/>
        <w:rPr>
          <w:rStyle w:val="css-0"/>
          <w:rFonts w:ascii="Times New Roman" w:eastAsia="Times New Roman" w:hAnsi="Times New Roman" w:cs="Times New Roman"/>
          <w:b/>
          <w:color w:val="000000" w:themeColor="text1"/>
          <w:sz w:val="28"/>
          <w:shd w:val="clear" w:color="auto" w:fill="FFFFFF"/>
        </w:rPr>
      </w:pPr>
      <w:r w:rsidRPr="00D43D99">
        <w:rPr>
          <w:rStyle w:val="css-0"/>
          <w:rFonts w:ascii="Times New Roman" w:eastAsia="Times New Roman" w:hAnsi="Times New Roman" w:cs="Times New Roman"/>
          <w:b/>
          <w:color w:val="000000" w:themeColor="text1"/>
          <w:sz w:val="28"/>
          <w:shd w:val="clear" w:color="auto" w:fill="FFFFFF"/>
        </w:rPr>
        <w:t>Overview</w:t>
      </w:r>
      <w:r w:rsidR="00DC773A" w:rsidRPr="00D43D99">
        <w:rPr>
          <w:rStyle w:val="css-0"/>
          <w:rFonts w:ascii="Times New Roman" w:eastAsia="Times New Roman" w:hAnsi="Times New Roman" w:cs="Times New Roman"/>
          <w:b/>
          <w:color w:val="000000" w:themeColor="text1"/>
          <w:sz w:val="28"/>
          <w:shd w:val="clear" w:color="auto" w:fill="FFFFFF"/>
        </w:rPr>
        <w:t xml:space="preserve"> </w:t>
      </w:r>
      <w:r w:rsidRPr="00D43D99">
        <w:rPr>
          <w:rStyle w:val="css-0"/>
          <w:rFonts w:ascii="Times New Roman" w:eastAsia="Times New Roman" w:hAnsi="Times New Roman" w:cs="Times New Roman"/>
          <w:b/>
          <w:color w:val="000000" w:themeColor="text1"/>
          <w:sz w:val="28"/>
          <w:shd w:val="clear" w:color="auto" w:fill="FFFFFF"/>
        </w:rPr>
        <w:t xml:space="preserve">of Equity </w:t>
      </w:r>
      <w:r w:rsidR="00A00893" w:rsidRPr="00D43D99">
        <w:rPr>
          <w:rStyle w:val="css-0"/>
          <w:rFonts w:ascii="Times New Roman" w:eastAsia="Times New Roman" w:hAnsi="Times New Roman" w:cs="Times New Roman"/>
          <w:b/>
          <w:color w:val="000000" w:themeColor="text1"/>
          <w:sz w:val="28"/>
          <w:shd w:val="clear" w:color="auto" w:fill="FFFFFF"/>
        </w:rPr>
        <w:t xml:space="preserve">Mutual </w:t>
      </w:r>
      <w:r w:rsidRPr="00D43D99">
        <w:rPr>
          <w:rStyle w:val="css-0"/>
          <w:rFonts w:ascii="Times New Roman" w:eastAsia="Times New Roman" w:hAnsi="Times New Roman" w:cs="Times New Roman"/>
          <w:b/>
          <w:color w:val="000000" w:themeColor="text1"/>
          <w:sz w:val="28"/>
          <w:shd w:val="clear" w:color="auto" w:fill="FFFFFF"/>
        </w:rPr>
        <w:t>Funds:</w:t>
      </w:r>
    </w:p>
    <w:p w14:paraId="3E6107BB" w14:textId="77777777" w:rsidR="00D43D99" w:rsidRPr="00D43D99" w:rsidRDefault="00D43D99" w:rsidP="00D43D99">
      <w:pPr>
        <w:spacing w:line="360" w:lineRule="auto"/>
        <w:jc w:val="both"/>
        <w:divId w:val="1190796092"/>
        <w:rPr>
          <w:rStyle w:val="css-0"/>
          <w:rFonts w:ascii="Times New Roman" w:eastAsia="Times New Roman" w:hAnsi="Times New Roman" w:cs="Times New Roman"/>
          <w:color w:val="000000" w:themeColor="text1"/>
          <w:shd w:val="clear" w:color="auto" w:fill="FFFFFF"/>
        </w:rPr>
      </w:pPr>
      <w:r w:rsidRPr="00D43D99">
        <w:rPr>
          <w:rStyle w:val="css-0"/>
          <w:rFonts w:ascii="Times New Roman" w:eastAsia="Times New Roman" w:hAnsi="Times New Roman" w:cs="Times New Roman"/>
          <w:color w:val="000000" w:themeColor="text1"/>
          <w:shd w:val="clear" w:color="auto" w:fill="FFFFFF"/>
        </w:rPr>
        <w:t>The MFS concept a</w:t>
      </w:r>
      <w:r w:rsidR="00A00893" w:rsidRPr="00D43D99">
        <w:rPr>
          <w:rStyle w:val="css-0"/>
          <w:rFonts w:ascii="Times New Roman" w:eastAsia="Times New Roman" w:hAnsi="Times New Roman" w:cs="Times New Roman"/>
          <w:color w:val="000000" w:themeColor="text1"/>
          <w:shd w:val="clear" w:color="auto" w:fill="FFFFFF"/>
        </w:rPr>
        <w:t xml:space="preserve">n investment plan that has been overseen by a professional organisation is known as an MF. The majority of the time, it has been managed by an asset management firm that puts together a group of individuals and other organisations to invest their funds in stocks, bonds, and other securities as well as other assets like gold. </w:t>
      </w:r>
    </w:p>
    <w:p w14:paraId="4E05927B" w14:textId="14F241B3" w:rsidR="001E1BD4" w:rsidRPr="00D43D99" w:rsidRDefault="00A00893" w:rsidP="00D43D99">
      <w:pPr>
        <w:spacing w:line="360" w:lineRule="auto"/>
        <w:jc w:val="both"/>
        <w:divId w:val="1190796092"/>
        <w:rPr>
          <w:rFonts w:ascii="Times New Roman" w:eastAsia="Times New Roman" w:hAnsi="Times New Roman" w:cs="Times New Roman"/>
          <w:color w:val="000000" w:themeColor="text1"/>
          <w:kern w:val="0"/>
          <w14:ligatures w14:val="none"/>
        </w:rPr>
      </w:pPr>
      <w:r w:rsidRPr="00D43D99">
        <w:rPr>
          <w:rStyle w:val="css-0"/>
          <w:rFonts w:ascii="Times New Roman" w:eastAsia="Times New Roman" w:hAnsi="Times New Roman" w:cs="Times New Roman"/>
          <w:color w:val="000000" w:themeColor="text1"/>
          <w:shd w:val="clear" w:color="auto" w:fill="FFFFFF"/>
        </w:rPr>
        <w:t xml:space="preserve">This kind of financial instrument consists of a collection of funds from numerous individuals used to purchase stocks, bonds, money market instruments, and other assets. Managing the MFs is the responsibility of qualified money managers. They distribute the assets of the fund and work to generate income or capital gains for the participants. </w:t>
      </w:r>
      <w:r w:rsidR="00083C70" w:rsidRPr="00D43D99">
        <w:rPr>
          <w:rStyle w:val="css-0"/>
          <w:rFonts w:ascii="Times New Roman" w:eastAsia="Times New Roman" w:hAnsi="Times New Roman" w:cs="Times New Roman"/>
          <w:color w:val="000000" w:themeColor="text1"/>
          <w:shd w:val="clear" w:color="auto" w:fill="FFFFFF"/>
        </w:rPr>
        <w:t xml:space="preserve">The prospectus outlines the investment objectives. Small or individual investors can access professionally managed portfolios of stocks, bonds, and other securities through mutual funds (MFs). As a result, each stakeholder shares proportionately in the fund’s gains or losses. The success of mutual funds (MFs), which invest in a large number of securities, is typically measured by the change in the fund’s total market capitalisation, which is determined by the performance of the underlying investments taken together. Small or individual investors can access professionally managed portfolios of stocks, bonds, and other securities through mutual funds (MFs). As a result, each stakeholder shares proportionately in the fund’s gains or losses. MFs invest in a wide range of securities, and the change in the fund’s overall market capitalisation is typically used to measure performance. </w:t>
      </w:r>
      <w:r w:rsidR="001E1BD4" w:rsidRPr="00D43D99">
        <w:rPr>
          <w:rFonts w:ascii="Times New Roman" w:eastAsia="Times New Roman" w:hAnsi="Times New Roman" w:cs="Times New Roman"/>
          <w:color w:val="000000" w:themeColor="text1"/>
        </w:rPr>
        <w:t>The success of mutual funds (MFs), which invest in a large number of securities, is typically measured by the change in the fund's total market capitalisation, which is derived from the performance of the underlying investments taken together. MFs can be divided into two categories based on the nature of their underlying portfolios: pure equity MFs and non-equity MFs (i.e., debt MFs, bond MFs, liquid MFs, etc.).</w:t>
      </w:r>
    </w:p>
    <w:p w14:paraId="1324F815" w14:textId="77777777" w:rsidR="00AE0575" w:rsidRDefault="00AE0575" w:rsidP="00D43D99">
      <w:pPr>
        <w:divId w:val="1296832502"/>
        <w:rPr>
          <w:rFonts w:ascii="Times New Roman" w:eastAsia="Times New Roman" w:hAnsi="Times New Roman" w:cs="Times New Roman"/>
          <w:b/>
          <w:sz w:val="28"/>
        </w:rPr>
      </w:pPr>
    </w:p>
    <w:p w14:paraId="0C4DFB73" w14:textId="77777777" w:rsidR="00AE0575" w:rsidRDefault="00AE0575" w:rsidP="00D43D99">
      <w:pPr>
        <w:divId w:val="1296832502"/>
        <w:rPr>
          <w:rFonts w:ascii="Times New Roman" w:eastAsia="Times New Roman" w:hAnsi="Times New Roman" w:cs="Times New Roman"/>
          <w:b/>
          <w:sz w:val="28"/>
        </w:rPr>
      </w:pPr>
    </w:p>
    <w:p w14:paraId="44F42657" w14:textId="552A0E2F" w:rsidR="00EF1FBD" w:rsidRPr="00D43D99" w:rsidRDefault="00DB63C8" w:rsidP="00D43D99">
      <w:pPr>
        <w:divId w:val="1296832502"/>
        <w:rPr>
          <w:rFonts w:ascii="Times New Roman" w:eastAsia="Times New Roman" w:hAnsi="Times New Roman" w:cs="Times New Roman"/>
          <w:b/>
          <w:sz w:val="28"/>
        </w:rPr>
      </w:pPr>
      <w:r w:rsidRPr="00D43D99">
        <w:rPr>
          <w:rFonts w:ascii="Times New Roman" w:eastAsia="Times New Roman" w:hAnsi="Times New Roman" w:cs="Times New Roman"/>
          <w:b/>
          <w:sz w:val="28"/>
        </w:rPr>
        <w:lastRenderedPageBreak/>
        <w:t xml:space="preserve">Types </w:t>
      </w:r>
      <w:r w:rsidR="00D43D99" w:rsidRPr="00D43D99">
        <w:rPr>
          <w:rFonts w:ascii="Times New Roman" w:eastAsia="Times New Roman" w:hAnsi="Times New Roman" w:cs="Times New Roman"/>
          <w:b/>
          <w:sz w:val="28"/>
        </w:rPr>
        <w:t xml:space="preserve">of </w:t>
      </w:r>
      <w:r w:rsidRPr="00D43D99">
        <w:rPr>
          <w:rFonts w:ascii="Times New Roman" w:eastAsia="Times New Roman" w:hAnsi="Times New Roman" w:cs="Times New Roman"/>
          <w:b/>
          <w:sz w:val="28"/>
        </w:rPr>
        <w:t xml:space="preserve">Equity </w:t>
      </w:r>
      <w:r w:rsidR="00D43D99" w:rsidRPr="00D43D99">
        <w:rPr>
          <w:rFonts w:ascii="Times New Roman" w:eastAsia="Times New Roman" w:hAnsi="Times New Roman" w:cs="Times New Roman"/>
          <w:b/>
          <w:sz w:val="28"/>
        </w:rPr>
        <w:t>Mutual Funds:</w:t>
      </w:r>
    </w:p>
    <w:p w14:paraId="5BB074C4" w14:textId="224135A6" w:rsidR="007A7D80" w:rsidRPr="00D43D99" w:rsidRDefault="00DF7A85" w:rsidP="00D43D99">
      <w:pPr>
        <w:spacing w:line="360" w:lineRule="auto"/>
        <w:jc w:val="both"/>
        <w:divId w:val="1598439412"/>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b/>
          <w:color w:val="000000" w:themeColor="text1"/>
        </w:rPr>
        <w:t>Large–Cap</w:t>
      </w:r>
      <w:r w:rsidR="00D43D99" w:rsidRPr="00D43D99">
        <w:rPr>
          <w:rFonts w:ascii="Times New Roman" w:eastAsia="Times New Roman" w:hAnsi="Times New Roman" w:cs="Times New Roman"/>
          <w:b/>
          <w:color w:val="000000" w:themeColor="text1"/>
        </w:rPr>
        <w:t xml:space="preserve"> Mutual Funds</w:t>
      </w:r>
      <w:r w:rsidR="00D43D99" w:rsidRPr="00D43D99">
        <w:rPr>
          <w:rFonts w:ascii="Times New Roman" w:eastAsia="Times New Roman" w:hAnsi="Times New Roman" w:cs="Times New Roman"/>
          <w:color w:val="000000" w:themeColor="text1"/>
        </w:rPr>
        <w:t xml:space="preserve">: </w:t>
      </w:r>
      <w:r w:rsidR="007A7D80" w:rsidRPr="00D43D99">
        <w:rPr>
          <w:rFonts w:ascii="Times New Roman" w:eastAsia="Times New Roman" w:hAnsi="Times New Roman" w:cs="Times New Roman"/>
          <w:color w:val="000000" w:themeColor="text1"/>
        </w:rPr>
        <w:t>Large-cap mutual funds are equity funds that invest a greater percentage of total assets in businesses wit</w:t>
      </w:r>
      <w:r w:rsidR="00D43D99" w:rsidRPr="00D43D99">
        <w:rPr>
          <w:rFonts w:ascii="Times New Roman" w:eastAsia="Times New Roman" w:hAnsi="Times New Roman" w:cs="Times New Roman"/>
          <w:color w:val="000000" w:themeColor="text1"/>
        </w:rPr>
        <w:t xml:space="preserve">h a high market capitalisation. </w:t>
      </w:r>
      <w:r w:rsidR="007A7D80" w:rsidRPr="00D43D99">
        <w:rPr>
          <w:rFonts w:ascii="Times New Roman" w:eastAsia="Times New Roman" w:hAnsi="Times New Roman" w:cs="Times New Roman"/>
          <w:color w:val="000000" w:themeColor="text1"/>
        </w:rPr>
        <w:t>Accor</w:t>
      </w:r>
      <w:r w:rsidR="00D43D99" w:rsidRPr="00D43D99">
        <w:rPr>
          <w:rFonts w:ascii="Times New Roman" w:eastAsia="Times New Roman" w:hAnsi="Times New Roman" w:cs="Times New Roman"/>
          <w:color w:val="000000" w:themeColor="text1"/>
        </w:rPr>
        <w:t xml:space="preserve">ding to market capitalisation, </w:t>
      </w:r>
      <w:r w:rsidR="007A7D80" w:rsidRPr="00D43D99">
        <w:rPr>
          <w:rFonts w:ascii="Times New Roman" w:eastAsia="Times New Roman" w:hAnsi="Times New Roman" w:cs="Times New Roman"/>
          <w:color w:val="000000" w:themeColor="text1"/>
        </w:rPr>
        <w:t>SEBI has taken into consideration that the large-cap companies are below the to</w:t>
      </w:r>
      <w:r w:rsidR="00D43D99" w:rsidRPr="00D43D99">
        <w:rPr>
          <w:rFonts w:ascii="Times New Roman" w:eastAsia="Times New Roman" w:hAnsi="Times New Roman" w:cs="Times New Roman"/>
          <w:color w:val="000000" w:themeColor="text1"/>
        </w:rPr>
        <w:t>p 100 in the list of companies.</w:t>
      </w:r>
      <w:r w:rsidR="007A7D80" w:rsidRPr="00D43D99">
        <w:rPr>
          <w:rFonts w:ascii="Times New Roman" w:eastAsia="Times New Roman" w:hAnsi="Times New Roman" w:cs="Times New Roman"/>
          <w:color w:val="000000" w:themeColor="text1"/>
        </w:rPr>
        <w:t xml:space="preserve"> Thus, large-cap funds contribute to compound wealth and consistent dividend generation. With a long investment horizon and comparatively minimal risk, large caps frequently produce more consistent returns.</w:t>
      </w:r>
    </w:p>
    <w:p w14:paraId="6D7604EA" w14:textId="1A3E80BA" w:rsidR="00D43D99" w:rsidRPr="00D43D99" w:rsidRDefault="00DF7A85" w:rsidP="00D43D99">
      <w:pPr>
        <w:spacing w:line="360" w:lineRule="auto"/>
        <w:jc w:val="both"/>
        <w:divId w:val="1181819508"/>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Mid-cap</w:t>
      </w:r>
      <w:r w:rsidR="00D43D99" w:rsidRPr="00D43D99">
        <w:rPr>
          <w:rFonts w:ascii="Times New Roman" w:eastAsia="Times New Roman" w:hAnsi="Times New Roman" w:cs="Times New Roman"/>
          <w:b/>
          <w:color w:val="000000" w:themeColor="text1"/>
        </w:rPr>
        <w:t xml:space="preserve"> Mutual Funds</w:t>
      </w:r>
      <w:r w:rsidR="004E373B" w:rsidRPr="00D43D99">
        <w:rPr>
          <w:rFonts w:ascii="Times New Roman" w:eastAsia="Times New Roman" w:hAnsi="Times New Roman" w:cs="Times New Roman"/>
          <w:color w:val="000000" w:themeColor="text1"/>
        </w:rPr>
        <w:t xml:space="preserve">" refers to funds that invest mostly in mid-cap companies. Based on market capitalisation, SEBI has determined that the mid-cap companies are ranked between 101 and 250. Compared to large-cap funds, some </w:t>
      </w:r>
      <w:r>
        <w:rPr>
          <w:rFonts w:ascii="Times New Roman" w:eastAsia="Times New Roman" w:hAnsi="Times New Roman" w:cs="Times New Roman"/>
          <w:color w:val="000000" w:themeColor="text1"/>
        </w:rPr>
        <w:t>mid-cap</w:t>
      </w:r>
      <w:r w:rsidR="004E373B" w:rsidRPr="00D43D99">
        <w:rPr>
          <w:rFonts w:ascii="Times New Roman" w:eastAsia="Times New Roman" w:hAnsi="Times New Roman" w:cs="Times New Roman"/>
          <w:color w:val="000000" w:themeColor="text1"/>
        </w:rPr>
        <w:t xml:space="preserve"> mutual funds have the potential to produce higher returns. Midcap funds are permitted by SEBI to hold at least 65% of all equity assets. </w:t>
      </w:r>
    </w:p>
    <w:p w14:paraId="690063A1" w14:textId="2740B24C" w:rsidR="00E674B6" w:rsidRPr="00D43D99" w:rsidRDefault="00DF7A85" w:rsidP="00D43D99">
      <w:pPr>
        <w:spacing w:line="360" w:lineRule="auto"/>
        <w:jc w:val="both"/>
        <w:divId w:val="817771648"/>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Small–Cap</w:t>
      </w:r>
      <w:r w:rsidR="00D43D99" w:rsidRPr="00D43D99">
        <w:rPr>
          <w:rFonts w:ascii="Times New Roman" w:eastAsia="Times New Roman" w:hAnsi="Times New Roman" w:cs="Times New Roman"/>
          <w:b/>
          <w:color w:val="000000" w:themeColor="text1"/>
        </w:rPr>
        <w:t xml:space="preserve"> Mutual Funds</w:t>
      </w:r>
      <w:r w:rsidR="00E674B6" w:rsidRPr="00D43D99">
        <w:rPr>
          <w:rFonts w:ascii="Times New Roman" w:eastAsia="Times New Roman" w:hAnsi="Times New Roman" w:cs="Times New Roman"/>
          <w:color w:val="000000" w:themeColor="text1"/>
        </w:rPr>
        <w:t>: These funds are those that mainly invest in small-cap businesses. According to market capitalisation, SEBI has taken into account that small-cap companies are ranked 251st on the list of companies. In reality, they are a subset of equity mutual funds whose performance is affected by changes in the market. The top small-cap funds are seen to have the capacity to produce significant returns over time. SEBI reports that small-cap equities account for 65% of the investment corpus of small-cap funds. It has been seen that small-cap funds produce significant long-term returns.</w:t>
      </w:r>
    </w:p>
    <w:p w14:paraId="411E7B4E" w14:textId="7B7A213F" w:rsidR="00D43D99" w:rsidRPr="00D43D99" w:rsidRDefault="00D43D99" w:rsidP="00D43D99">
      <w:pPr>
        <w:spacing w:line="360" w:lineRule="auto"/>
        <w:jc w:val="both"/>
        <w:divId w:val="817771648"/>
        <w:rPr>
          <w:rFonts w:ascii="Times New Roman" w:eastAsia="Times New Roman" w:hAnsi="Times New Roman" w:cs="Times New Roman"/>
          <w:b/>
          <w:color w:val="000000" w:themeColor="text1"/>
          <w:kern w:val="0"/>
          <w:sz w:val="28"/>
          <w14:ligatures w14:val="none"/>
        </w:rPr>
      </w:pPr>
      <w:r w:rsidRPr="00D43D99">
        <w:rPr>
          <w:rFonts w:ascii="Times New Roman" w:hAnsi="Times New Roman" w:cs="Times New Roman"/>
          <w:b/>
          <w:sz w:val="28"/>
        </w:rPr>
        <w:t>Recent Trends in Mutual Funds in India</w:t>
      </w:r>
    </w:p>
    <w:p w14:paraId="4A1884DC" w14:textId="1E7DA88E" w:rsidR="006C6CFB" w:rsidRDefault="00D43D99" w:rsidP="006C6CFB">
      <w:pPr>
        <w:spacing w:line="360" w:lineRule="auto"/>
        <w:jc w:val="both"/>
        <w:rPr>
          <w:rFonts w:ascii="Times New Roman" w:eastAsia="Times New Roman" w:hAnsi="Times New Roman" w:cs="Times New Roman"/>
          <w:kern w:val="0"/>
          <w:lang w:eastAsia="en-IN" w:bidi="ar-SA"/>
          <w14:ligatures w14:val="none"/>
        </w:rPr>
      </w:pPr>
      <w:r w:rsidRPr="00D43D99">
        <w:rPr>
          <w:rFonts w:ascii="Times New Roman" w:eastAsia="Times New Roman" w:hAnsi="Times New Roman" w:cs="Times New Roman"/>
          <w:kern w:val="0"/>
          <w:lang w:eastAsia="en-IN" w:bidi="ar-SA"/>
          <w14:ligatures w14:val="none"/>
        </w:rPr>
        <w:t xml:space="preserve">The Indian mutual fund business has grown in recent years due to factors including inflation, favourable interest rates, and encouraging stock market performance. </w:t>
      </w:r>
      <w:r w:rsidR="006C6CFB" w:rsidRPr="006C6CFB">
        <w:rPr>
          <w:rFonts w:ascii="Times New Roman" w:eastAsia="Times New Roman" w:hAnsi="Times New Roman" w:cs="Times New Roman"/>
          <w:kern w:val="0"/>
          <w:lang w:eastAsia="en-IN" w:bidi="ar-SA"/>
          <w14:ligatures w14:val="none"/>
        </w:rPr>
        <w:t xml:space="preserve">Investors may now invest, follow, and analyse their assets with ease because </w:t>
      </w:r>
      <w:r w:rsidR="00DF7A85">
        <w:rPr>
          <w:rFonts w:ascii="Times New Roman" w:eastAsia="Times New Roman" w:hAnsi="Times New Roman" w:cs="Times New Roman"/>
          <w:kern w:val="0"/>
          <w:lang w:eastAsia="en-IN" w:bidi="ar-SA"/>
          <w14:ligatures w14:val="none"/>
        </w:rPr>
        <w:t>of</w:t>
      </w:r>
      <w:r w:rsidR="006C6CFB" w:rsidRPr="006C6CFB">
        <w:rPr>
          <w:rFonts w:ascii="Times New Roman" w:eastAsia="Times New Roman" w:hAnsi="Times New Roman" w:cs="Times New Roman"/>
          <w:kern w:val="0"/>
          <w:lang w:eastAsia="en-IN" w:bidi="ar-SA"/>
          <w14:ligatures w14:val="none"/>
        </w:rPr>
        <w:t xml:space="preserve"> the industry's notable development in digitalisation. You may now invest in a variety of funds, watch them in </w:t>
      </w:r>
      <w:r w:rsidR="00DF7A85">
        <w:rPr>
          <w:rFonts w:ascii="Times New Roman" w:eastAsia="Times New Roman" w:hAnsi="Times New Roman" w:cs="Times New Roman"/>
          <w:kern w:val="0"/>
          <w:lang w:eastAsia="en-IN" w:bidi="ar-SA"/>
          <w14:ligatures w14:val="none"/>
        </w:rPr>
        <w:t>real-time</w:t>
      </w:r>
      <w:r w:rsidR="006C6CFB" w:rsidRPr="006C6CFB">
        <w:rPr>
          <w:rFonts w:ascii="Times New Roman" w:eastAsia="Times New Roman" w:hAnsi="Times New Roman" w:cs="Times New Roman"/>
          <w:kern w:val="0"/>
          <w:lang w:eastAsia="en-IN" w:bidi="ar-SA"/>
          <w14:ligatures w14:val="none"/>
        </w:rPr>
        <w:t xml:space="preserve">, and examine your assets from all angles thanks to applications developed </w:t>
      </w:r>
      <w:r w:rsidR="006C6CFB">
        <w:rPr>
          <w:rFonts w:ascii="Times New Roman" w:eastAsia="Times New Roman" w:hAnsi="Times New Roman" w:cs="Times New Roman"/>
          <w:kern w:val="0"/>
          <w:lang w:eastAsia="en-IN" w:bidi="ar-SA"/>
          <w14:ligatures w14:val="none"/>
        </w:rPr>
        <w:t xml:space="preserve">by several fintech companies. </w:t>
      </w:r>
      <w:r w:rsidR="006C6CFB" w:rsidRPr="006C6CFB">
        <w:rPr>
          <w:rFonts w:ascii="Times New Roman" w:eastAsia="Times New Roman" w:hAnsi="Times New Roman" w:cs="Times New Roman"/>
          <w:kern w:val="0"/>
          <w:lang w:eastAsia="en-IN" w:bidi="ar-SA"/>
          <w14:ligatures w14:val="none"/>
        </w:rPr>
        <w:t xml:space="preserve">Distributors are working with fintech firms to provide investors with individualised services by utilising their technology, in addition to investors. All things considered, digitalisation has greatly increased the accessibility and simplicity of investing in mutual funds. </w:t>
      </w:r>
    </w:p>
    <w:p w14:paraId="26B418A3" w14:textId="77777777" w:rsidR="00AE0575" w:rsidRDefault="00AE0575" w:rsidP="006C6CFB">
      <w:pPr>
        <w:spacing w:line="360" w:lineRule="auto"/>
        <w:jc w:val="both"/>
        <w:rPr>
          <w:rFonts w:ascii="Times New Roman" w:eastAsia="Times New Roman" w:hAnsi="Times New Roman" w:cs="Times New Roman"/>
          <w:kern w:val="0"/>
          <w:lang w:eastAsia="en-IN" w:bidi="ar-SA"/>
          <w14:ligatures w14:val="none"/>
        </w:rPr>
      </w:pPr>
    </w:p>
    <w:p w14:paraId="3187E1E3" w14:textId="0A8E5A58" w:rsidR="006C6CFB" w:rsidRDefault="006C6CFB" w:rsidP="006C6CFB">
      <w:pPr>
        <w:spacing w:line="360" w:lineRule="auto"/>
        <w:jc w:val="both"/>
        <w:rPr>
          <w:rFonts w:ascii="Times New Roman" w:eastAsia="Times New Roman" w:hAnsi="Times New Roman" w:cs="Times New Roman"/>
          <w:kern w:val="0"/>
          <w:lang w:eastAsia="en-IN" w:bidi="ar-SA"/>
          <w14:ligatures w14:val="none"/>
        </w:rPr>
      </w:pPr>
      <w:r w:rsidRPr="006C6CFB">
        <w:rPr>
          <w:rFonts w:ascii="Times New Roman" w:eastAsia="Times New Roman" w:hAnsi="Times New Roman" w:cs="Times New Roman"/>
          <w:kern w:val="0"/>
          <w:lang w:eastAsia="en-IN" w:bidi="ar-SA"/>
          <w14:ligatures w14:val="none"/>
        </w:rPr>
        <w:lastRenderedPageBreak/>
        <w:t>The preferred method of investing in mutual funds is now systematic investment plans or SIPs. Compared to Rs 13,041 crores in October 2022, the SIP contribution in October 2023 was Rs 16,927.86 crores. According to AMFI, there are presently aro</w:t>
      </w:r>
      <w:r>
        <w:rPr>
          <w:rFonts w:ascii="Times New Roman" w:eastAsia="Times New Roman" w:hAnsi="Times New Roman" w:cs="Times New Roman"/>
          <w:kern w:val="0"/>
          <w:lang w:eastAsia="en-IN" w:bidi="ar-SA"/>
          <w14:ligatures w14:val="none"/>
        </w:rPr>
        <w:t xml:space="preserve">und 7.44 crore SIPs in total. </w:t>
      </w:r>
      <w:r w:rsidRPr="006C6CFB">
        <w:rPr>
          <w:rFonts w:ascii="Times New Roman" w:eastAsia="Times New Roman" w:hAnsi="Times New Roman" w:cs="Times New Roman"/>
          <w:kern w:val="0"/>
          <w:lang w:eastAsia="en-IN" w:bidi="ar-SA"/>
          <w14:ligatures w14:val="none"/>
        </w:rPr>
        <w:t xml:space="preserve">SIPs provide you </w:t>
      </w:r>
      <w:r w:rsidR="00DF7A85">
        <w:rPr>
          <w:rFonts w:ascii="Times New Roman" w:eastAsia="Times New Roman" w:hAnsi="Times New Roman" w:cs="Times New Roman"/>
          <w:kern w:val="0"/>
          <w:lang w:eastAsia="en-IN" w:bidi="ar-SA"/>
          <w14:ligatures w14:val="none"/>
        </w:rPr>
        <w:t xml:space="preserve">with </w:t>
      </w:r>
      <w:r w:rsidRPr="006C6CFB">
        <w:rPr>
          <w:rFonts w:ascii="Times New Roman" w:eastAsia="Times New Roman" w:hAnsi="Times New Roman" w:cs="Times New Roman"/>
          <w:kern w:val="0"/>
          <w:lang w:eastAsia="en-IN" w:bidi="ar-SA"/>
          <w14:ligatures w14:val="none"/>
        </w:rPr>
        <w:t xml:space="preserve">the advantage of rupee cost averaging, make investing simple, and </w:t>
      </w:r>
      <w:r w:rsidR="00DF7A85">
        <w:rPr>
          <w:rFonts w:ascii="Times New Roman" w:eastAsia="Times New Roman" w:hAnsi="Times New Roman" w:cs="Times New Roman"/>
          <w:kern w:val="0"/>
          <w:lang w:eastAsia="en-IN" w:bidi="ar-SA"/>
          <w14:ligatures w14:val="none"/>
        </w:rPr>
        <w:t>instil</w:t>
      </w:r>
      <w:r w:rsidRPr="006C6CFB">
        <w:rPr>
          <w:rFonts w:ascii="Times New Roman" w:eastAsia="Times New Roman" w:hAnsi="Times New Roman" w:cs="Times New Roman"/>
          <w:kern w:val="0"/>
          <w:lang w:eastAsia="en-IN" w:bidi="ar-SA"/>
          <w14:ligatures w14:val="none"/>
        </w:rPr>
        <w:t xml:space="preserve"> a disciplined saving habit. They also help you stay invested throughout market cycles. When markets are down, you purchase more units, and when they are up, you purchase more. In the end, this evens out the investment cost and makes navigating market volatility easier.</w:t>
      </w:r>
      <w:r>
        <w:rPr>
          <w:rFonts w:ascii="Times New Roman" w:eastAsia="Times New Roman" w:hAnsi="Times New Roman" w:cs="Times New Roman"/>
          <w:kern w:val="0"/>
          <w:lang w:eastAsia="en-IN" w:bidi="ar-SA"/>
          <w14:ligatures w14:val="none"/>
        </w:rPr>
        <w:t xml:space="preserve"> </w:t>
      </w:r>
      <w:r w:rsidRPr="006C6CFB">
        <w:rPr>
          <w:rFonts w:ascii="Times New Roman" w:eastAsia="Times New Roman" w:hAnsi="Times New Roman" w:cs="Times New Roman"/>
          <w:kern w:val="0"/>
          <w:lang w:eastAsia="en-IN" w:bidi="ar-SA"/>
          <w14:ligatures w14:val="none"/>
        </w:rPr>
        <w:t xml:space="preserve">The rise in mutual fund investments from smaller locations is another intriguing pattern that has emerged. </w:t>
      </w:r>
    </w:p>
    <w:p w14:paraId="7F7903B3" w14:textId="77777777" w:rsidR="006C6CFB" w:rsidRDefault="006C6CFB" w:rsidP="006C6CFB">
      <w:pPr>
        <w:spacing w:line="360" w:lineRule="auto"/>
        <w:jc w:val="both"/>
        <w:rPr>
          <w:rFonts w:ascii="Times New Roman" w:eastAsia="Times New Roman" w:hAnsi="Times New Roman" w:cs="Times New Roman"/>
          <w:kern w:val="0"/>
          <w:lang w:eastAsia="en-IN" w:bidi="ar-SA"/>
          <w14:ligatures w14:val="none"/>
        </w:rPr>
      </w:pPr>
      <w:r w:rsidRPr="006C6CFB">
        <w:rPr>
          <w:rFonts w:ascii="Times New Roman" w:eastAsia="Times New Roman" w:hAnsi="Times New Roman" w:cs="Times New Roman"/>
          <w:kern w:val="0"/>
          <w:lang w:eastAsia="en-IN" w:bidi="ar-SA"/>
          <w14:ligatures w14:val="none"/>
        </w:rPr>
        <w:t xml:space="preserve">Established cities like </w:t>
      </w:r>
      <w:r>
        <w:rPr>
          <w:rFonts w:ascii="Times New Roman" w:eastAsia="Times New Roman" w:hAnsi="Times New Roman" w:cs="Times New Roman"/>
          <w:kern w:val="0"/>
          <w:lang w:eastAsia="en-IN" w:bidi="ar-SA"/>
          <w14:ligatures w14:val="none"/>
        </w:rPr>
        <w:t xml:space="preserve">Bengaluru, </w:t>
      </w:r>
      <w:r w:rsidRPr="006C6CFB">
        <w:rPr>
          <w:rFonts w:ascii="Times New Roman" w:eastAsia="Times New Roman" w:hAnsi="Times New Roman" w:cs="Times New Roman"/>
          <w:kern w:val="0"/>
          <w:lang w:eastAsia="en-IN" w:bidi="ar-SA"/>
          <w14:ligatures w14:val="none"/>
        </w:rPr>
        <w:t xml:space="preserve">Mumbai, Chennai, and Kolkata are under fierce competition from rapidly expanding investors from cities like Pune, Kota, Durgapur, </w:t>
      </w:r>
      <w:proofErr w:type="spellStart"/>
      <w:r w:rsidRPr="006C6CFB">
        <w:rPr>
          <w:rFonts w:ascii="Times New Roman" w:eastAsia="Times New Roman" w:hAnsi="Times New Roman" w:cs="Times New Roman"/>
          <w:kern w:val="0"/>
          <w:lang w:eastAsia="en-IN" w:bidi="ar-SA"/>
          <w14:ligatures w14:val="none"/>
        </w:rPr>
        <w:t>Alwar</w:t>
      </w:r>
      <w:proofErr w:type="spellEnd"/>
      <w:r w:rsidRPr="006C6CFB">
        <w:rPr>
          <w:rFonts w:ascii="Times New Roman" w:eastAsia="Times New Roman" w:hAnsi="Times New Roman" w:cs="Times New Roman"/>
          <w:kern w:val="0"/>
          <w:lang w:eastAsia="en-IN" w:bidi="ar-SA"/>
          <w14:ligatures w14:val="none"/>
        </w:rPr>
        <w:t>, etc. The combination of AMFI's eye-catching advertisements and mutual fund distributors' efforts has been crucial in drawing in i</w:t>
      </w:r>
      <w:r>
        <w:rPr>
          <w:rFonts w:ascii="Times New Roman" w:eastAsia="Times New Roman" w:hAnsi="Times New Roman" w:cs="Times New Roman"/>
          <w:kern w:val="0"/>
          <w:lang w:eastAsia="en-IN" w:bidi="ar-SA"/>
          <w14:ligatures w14:val="none"/>
        </w:rPr>
        <w:t xml:space="preserve">nvestors from smaller cities. </w:t>
      </w:r>
    </w:p>
    <w:p w14:paraId="186D8F0F" w14:textId="608FEDF9" w:rsidR="006C6CFB" w:rsidRDefault="006C6CFB" w:rsidP="006C6CFB">
      <w:pPr>
        <w:spacing w:line="360" w:lineRule="auto"/>
        <w:jc w:val="both"/>
        <w:rPr>
          <w:rFonts w:ascii="Times New Roman" w:eastAsia="Times New Roman" w:hAnsi="Times New Roman" w:cs="Times New Roman"/>
          <w:kern w:val="0"/>
          <w:lang w:eastAsia="en-IN" w:bidi="ar-SA"/>
          <w14:ligatures w14:val="none"/>
        </w:rPr>
      </w:pPr>
      <w:r w:rsidRPr="006C6CFB">
        <w:rPr>
          <w:rFonts w:ascii="Times New Roman" w:eastAsia="Times New Roman" w:hAnsi="Times New Roman" w:cs="Times New Roman"/>
          <w:kern w:val="0"/>
          <w:lang w:eastAsia="en-IN" w:bidi="ar-SA"/>
          <w14:ligatures w14:val="none"/>
        </w:rPr>
        <w:t>The programs have given investors from these areas the ability to understand the complexities of mutual fund investing and make decisions that support their objectives. The changing demographics of investors show that smaller cities are becoming more financially literate and savvy. These cities' investors are becoming more aware of mutual funds' potential as a powerful tool for building wealth and accomplishing long-term financial goals.</w:t>
      </w:r>
    </w:p>
    <w:p w14:paraId="3F925CEE" w14:textId="1AABAABF" w:rsidR="00A0203E" w:rsidRPr="00A0203E" w:rsidRDefault="00A0203E" w:rsidP="00832B77">
      <w:pPr>
        <w:spacing w:after="0" w:line="240" w:lineRule="auto"/>
        <w:jc w:val="both"/>
        <w:rPr>
          <w:rFonts w:ascii="Times New Roman" w:hAnsi="Times New Roman" w:cs="Times New Roman"/>
          <w:b/>
        </w:rPr>
      </w:pPr>
      <w:r w:rsidRPr="00A0203E">
        <w:rPr>
          <w:rFonts w:ascii="Times New Roman" w:hAnsi="Times New Roman" w:cs="Times New Roman"/>
          <w:b/>
          <w:sz w:val="28"/>
        </w:rPr>
        <w:t>Research M</w:t>
      </w:r>
      <w:r w:rsidRPr="00A0203E">
        <w:rPr>
          <w:rFonts w:ascii="Times New Roman" w:hAnsi="Times New Roman" w:cs="Times New Roman"/>
          <w:b/>
          <w:sz w:val="28"/>
        </w:rPr>
        <w:t>ethodology</w:t>
      </w:r>
      <w:r w:rsidRPr="00A0203E">
        <w:rPr>
          <w:rFonts w:ascii="Times New Roman" w:hAnsi="Times New Roman" w:cs="Times New Roman"/>
          <w:b/>
          <w:sz w:val="28"/>
        </w:rPr>
        <w:t xml:space="preserve"> </w:t>
      </w:r>
    </w:p>
    <w:p w14:paraId="54F82B92" w14:textId="144929C9" w:rsidR="000049F7" w:rsidRPr="00A0203E" w:rsidRDefault="00A0203E" w:rsidP="00A0203E">
      <w:pPr>
        <w:spacing w:before="240" w:after="0" w:line="360" w:lineRule="auto"/>
        <w:jc w:val="both"/>
        <w:rPr>
          <w:rFonts w:ascii="Times New Roman" w:eastAsia="Times New Roman" w:hAnsi="Times New Roman" w:cs="Times New Roman"/>
          <w:kern w:val="0"/>
          <w:lang w:eastAsia="en-IN" w:bidi="ar-SA"/>
          <w14:ligatures w14:val="none"/>
        </w:rPr>
      </w:pPr>
      <w:r w:rsidRPr="00A0203E">
        <w:rPr>
          <w:rFonts w:ascii="Times New Roman" w:hAnsi="Times New Roman" w:cs="Times New Roman"/>
        </w:rPr>
        <w:t xml:space="preserve">Data Collection The study considers </w:t>
      </w:r>
      <w:r w:rsidRPr="00A0203E">
        <w:rPr>
          <w:rFonts w:ascii="Times New Roman" w:hAnsi="Times New Roman" w:cs="Times New Roman"/>
        </w:rPr>
        <w:t>3 years from 1 January 2020 to 28 September 2023</w:t>
      </w:r>
      <w:r w:rsidRPr="00A0203E">
        <w:rPr>
          <w:rFonts w:ascii="Times New Roman" w:hAnsi="Times New Roman" w:cs="Times New Roman"/>
        </w:rPr>
        <w:t xml:space="preserve">. The data collected for the study are discussed below. </w:t>
      </w:r>
    </w:p>
    <w:p w14:paraId="0CC341FE" w14:textId="4592200C" w:rsidR="00A0203E" w:rsidRPr="00A0203E" w:rsidRDefault="00A0203E" w:rsidP="000049F7">
      <w:pPr>
        <w:spacing w:line="360" w:lineRule="auto"/>
        <w:jc w:val="both"/>
        <w:rPr>
          <w:rFonts w:ascii="Times New Roman" w:hAnsi="Times New Roman" w:cs="Times New Roman"/>
        </w:rPr>
      </w:pPr>
      <w:r>
        <w:rPr>
          <w:rFonts w:ascii="Times New Roman" w:hAnsi="Times New Roman" w:cs="Times New Roman"/>
          <w:b/>
          <w:sz w:val="28"/>
        </w:rPr>
        <w:t>Asset Management Companies</w:t>
      </w:r>
      <w:r w:rsidRPr="00A0203E">
        <w:rPr>
          <w:rFonts w:ascii="Times New Roman" w:hAnsi="Times New Roman" w:cs="Times New Roman"/>
        </w:rPr>
        <w:t xml:space="preserve"> </w:t>
      </w:r>
    </w:p>
    <w:p w14:paraId="30253F71" w14:textId="77777777" w:rsidR="00A0203E" w:rsidRPr="00A0203E" w:rsidRDefault="00A0203E" w:rsidP="000049F7">
      <w:pPr>
        <w:spacing w:line="360" w:lineRule="auto"/>
        <w:jc w:val="both"/>
        <w:rPr>
          <w:rFonts w:ascii="Times New Roman" w:hAnsi="Times New Roman" w:cs="Times New Roman"/>
        </w:rPr>
      </w:pPr>
      <w:r w:rsidRPr="00A0203E">
        <w:rPr>
          <w:rFonts w:ascii="Times New Roman" w:hAnsi="Times New Roman" w:cs="Times New Roman"/>
        </w:rPr>
        <w:t xml:space="preserve">The study has been carried out on 4 AMC’s which are </w:t>
      </w:r>
    </w:p>
    <w:p w14:paraId="7316FB2C" w14:textId="1FFF9E68" w:rsidR="00963C0F" w:rsidRPr="00A0203E" w:rsidRDefault="00A0203E" w:rsidP="000049F7">
      <w:pPr>
        <w:spacing w:line="360" w:lineRule="auto"/>
        <w:jc w:val="both"/>
        <w:rPr>
          <w:rFonts w:ascii="Times New Roman" w:hAnsi="Times New Roman" w:cs="Times New Roman"/>
        </w:rPr>
      </w:pPr>
      <w:r w:rsidRPr="00A0203E">
        <w:rPr>
          <w:rFonts w:ascii="Times New Roman" w:hAnsi="Times New Roman" w:cs="Times New Roman"/>
        </w:rPr>
        <w:t>1. Aditya Birla Sun Life (ABSL)</w:t>
      </w:r>
    </w:p>
    <w:p w14:paraId="03D0AB36" w14:textId="4D84BB9A" w:rsidR="00A0203E" w:rsidRPr="00A0203E" w:rsidRDefault="00A0203E" w:rsidP="000049F7">
      <w:pPr>
        <w:spacing w:line="360" w:lineRule="auto"/>
        <w:jc w:val="both"/>
        <w:rPr>
          <w:rFonts w:ascii="Times New Roman" w:hAnsi="Times New Roman" w:cs="Times New Roman"/>
        </w:rPr>
      </w:pPr>
      <w:r w:rsidRPr="00A0203E">
        <w:rPr>
          <w:rFonts w:ascii="Times New Roman" w:hAnsi="Times New Roman" w:cs="Times New Roman"/>
        </w:rPr>
        <w:t xml:space="preserve">2. </w:t>
      </w:r>
      <w:r w:rsidRPr="00A0203E">
        <w:rPr>
          <w:rFonts w:ascii="Times New Roman" w:hAnsi="Times New Roman" w:cs="Times New Roman"/>
        </w:rPr>
        <w:t xml:space="preserve">Industrial Credit and Investment Corporation of India (ICICI) </w:t>
      </w:r>
    </w:p>
    <w:p w14:paraId="65D27BAC" w14:textId="05E1E448" w:rsidR="00A0203E" w:rsidRPr="00A0203E" w:rsidRDefault="00A0203E" w:rsidP="000049F7">
      <w:pPr>
        <w:spacing w:line="360" w:lineRule="auto"/>
        <w:jc w:val="both"/>
        <w:rPr>
          <w:rFonts w:ascii="Times New Roman" w:hAnsi="Times New Roman" w:cs="Times New Roman"/>
        </w:rPr>
      </w:pPr>
      <w:r w:rsidRPr="00A0203E">
        <w:rPr>
          <w:rFonts w:ascii="Times New Roman" w:hAnsi="Times New Roman" w:cs="Times New Roman"/>
        </w:rPr>
        <w:t>3. State Bank o</w:t>
      </w:r>
      <w:r w:rsidRPr="00A0203E">
        <w:rPr>
          <w:rFonts w:ascii="Times New Roman" w:hAnsi="Times New Roman" w:cs="Times New Roman"/>
        </w:rPr>
        <w:t xml:space="preserve">f India (SBI) and </w:t>
      </w:r>
    </w:p>
    <w:p w14:paraId="781DE134" w14:textId="77777777" w:rsidR="00A0203E" w:rsidRPr="00A0203E" w:rsidRDefault="00A0203E" w:rsidP="000049F7">
      <w:pPr>
        <w:spacing w:line="360" w:lineRule="auto"/>
        <w:jc w:val="both"/>
        <w:rPr>
          <w:rFonts w:ascii="Times New Roman" w:hAnsi="Times New Roman" w:cs="Times New Roman"/>
        </w:rPr>
      </w:pPr>
      <w:r w:rsidRPr="00A0203E">
        <w:rPr>
          <w:rFonts w:ascii="Times New Roman" w:hAnsi="Times New Roman" w:cs="Times New Roman"/>
        </w:rPr>
        <w:t>4. Unit Trust o</w:t>
      </w:r>
      <w:r w:rsidRPr="00A0203E">
        <w:rPr>
          <w:rFonts w:ascii="Times New Roman" w:hAnsi="Times New Roman" w:cs="Times New Roman"/>
        </w:rPr>
        <w:t xml:space="preserve">f India (UTI) </w:t>
      </w:r>
    </w:p>
    <w:p w14:paraId="452EC4B1" w14:textId="77777777" w:rsidR="00A0203E" w:rsidRPr="00A0203E" w:rsidRDefault="00A0203E" w:rsidP="00A0203E">
      <w:pPr>
        <w:spacing w:after="0" w:line="240" w:lineRule="auto"/>
        <w:rPr>
          <w:rFonts w:ascii="Times New Roman" w:eastAsia="Times New Roman" w:hAnsi="Times New Roman" w:cs="Times New Roman"/>
          <w:kern w:val="0"/>
          <w:lang w:eastAsia="en-IN" w:bidi="ar-SA"/>
          <w14:ligatures w14:val="none"/>
        </w:rPr>
      </w:pPr>
      <w:r w:rsidRPr="00A0203E">
        <w:rPr>
          <w:rFonts w:ascii="Times New Roman" w:eastAsia="Times New Roman" w:hAnsi="Times New Roman" w:cs="Times New Roman"/>
          <w:kern w:val="0"/>
          <w:lang w:eastAsia="en-IN" w:bidi="ar-SA"/>
          <w14:ligatures w14:val="none"/>
        </w:rPr>
        <w:t>The private sector includes ABSL and ICICI, while the public sector includes SBI and UTI.</w:t>
      </w:r>
    </w:p>
    <w:p w14:paraId="39669001" w14:textId="2EAF38FA" w:rsidR="000049F7" w:rsidRDefault="000049F7" w:rsidP="000049F7">
      <w:pPr>
        <w:spacing w:after="0" w:line="240" w:lineRule="auto"/>
        <w:jc w:val="both"/>
        <w:rPr>
          <w:rFonts w:ascii="Times New Roman" w:eastAsia="Times New Roman" w:hAnsi="Times New Roman" w:cs="Times New Roman"/>
          <w:kern w:val="0"/>
          <w:lang w:eastAsia="en-IN" w:bidi="ar-SA"/>
          <w14:ligatures w14:val="none"/>
        </w:rPr>
      </w:pPr>
    </w:p>
    <w:p w14:paraId="3B947946" w14:textId="418777C2" w:rsidR="00A0203E" w:rsidRDefault="00A0203E" w:rsidP="00A0203E">
      <w:pPr>
        <w:spacing w:after="0" w:line="360" w:lineRule="auto"/>
        <w:jc w:val="both"/>
        <w:rPr>
          <w:rFonts w:ascii="Times New Roman" w:eastAsia="Times New Roman" w:hAnsi="Times New Roman" w:cs="Times New Roman"/>
          <w:kern w:val="0"/>
          <w:lang w:eastAsia="en-IN" w:bidi="ar-SA"/>
          <w14:ligatures w14:val="none"/>
        </w:rPr>
      </w:pPr>
      <w:r w:rsidRPr="00A0203E">
        <w:rPr>
          <w:rFonts w:ascii="Times New Roman" w:eastAsia="Times New Roman" w:hAnsi="Times New Roman" w:cs="Times New Roman"/>
          <w:kern w:val="0"/>
          <w:lang w:eastAsia="en-IN" w:bidi="ar-SA"/>
          <w14:ligatures w14:val="none"/>
        </w:rPr>
        <w:t xml:space="preserve">The mutual fund schemes' benchmark: The data obtained from </w:t>
      </w:r>
      <w:r>
        <w:rPr>
          <w:rFonts w:ascii="Times New Roman" w:eastAsia="Times New Roman" w:hAnsi="Times New Roman" w:cs="Times New Roman"/>
          <w:kern w:val="0"/>
          <w:lang w:eastAsia="en-IN" w:bidi="ar-SA"/>
          <w14:ligatures w14:val="none"/>
        </w:rPr>
        <w:t xml:space="preserve">the </w:t>
      </w:r>
      <w:r w:rsidRPr="00A0203E">
        <w:rPr>
          <w:rFonts w:ascii="Times New Roman" w:eastAsia="Times New Roman" w:hAnsi="Times New Roman" w:cs="Times New Roman"/>
          <w:kern w:val="0"/>
          <w:lang w:eastAsia="en-IN" w:bidi="ar-SA"/>
          <w14:ligatures w14:val="none"/>
        </w:rPr>
        <w:t>value study is used to determine the benchmark. According to this standard, additional information</w:t>
      </w:r>
      <w:r>
        <w:rPr>
          <w:rFonts w:ascii="Times New Roman" w:eastAsia="Times New Roman" w:hAnsi="Times New Roman" w:cs="Times New Roman"/>
          <w:kern w:val="0"/>
          <w:lang w:eastAsia="en-IN" w:bidi="ar-SA"/>
          <w14:ligatures w14:val="none"/>
        </w:rPr>
        <w:t xml:space="preserve"> </w:t>
      </w:r>
      <w:r w:rsidRPr="00A0203E">
        <w:rPr>
          <w:rFonts w:ascii="Times New Roman" w:eastAsia="Times New Roman" w:hAnsi="Times New Roman" w:cs="Times New Roman"/>
          <w:kern w:val="0"/>
          <w:lang w:eastAsia="en-IN" w:bidi="ar-SA"/>
          <w14:ligatures w14:val="none"/>
        </w:rPr>
        <w:t xml:space="preserve">is gathered for the study </w:t>
      </w:r>
      <w:r>
        <w:rPr>
          <w:rFonts w:ascii="Times New Roman" w:eastAsia="Times New Roman" w:hAnsi="Times New Roman" w:cs="Times New Roman"/>
          <w:kern w:val="0"/>
          <w:lang w:eastAsia="en-IN" w:bidi="ar-SA"/>
          <w14:ligatures w14:val="none"/>
        </w:rPr>
        <w:t xml:space="preserve">to compute the benchmark. </w:t>
      </w:r>
      <w:r w:rsidRPr="00A0203E">
        <w:rPr>
          <w:rFonts w:ascii="Times New Roman" w:eastAsia="Times New Roman" w:hAnsi="Times New Roman" w:cs="Times New Roman"/>
          <w:kern w:val="0"/>
          <w:lang w:eastAsia="en-IN" w:bidi="ar-SA"/>
          <w14:ligatures w14:val="none"/>
        </w:rPr>
        <w:t>The mutual fund schemes' market returns: The market return in this study is calculated using the SENSEX and NIFTY growth rates over the previous five years of data. Depending on the mutual fund's benchmark, either the SENSEX or NIFTY is chosen. The Yahoo Finance website provides the statistics for the SENSEX or NIFTY's daily growth rate. Additionally, the compound annual growth rate formula (CAGR) is used to de</w:t>
      </w:r>
      <w:r>
        <w:rPr>
          <w:rFonts w:ascii="Times New Roman" w:eastAsia="Times New Roman" w:hAnsi="Times New Roman" w:cs="Times New Roman"/>
          <w:kern w:val="0"/>
          <w:lang w:eastAsia="en-IN" w:bidi="ar-SA"/>
          <w14:ligatures w14:val="none"/>
        </w:rPr>
        <w:t xml:space="preserve">termine the yearly growth rate. </w:t>
      </w:r>
      <w:r w:rsidRPr="00A0203E">
        <w:rPr>
          <w:rFonts w:ascii="Times New Roman" w:eastAsia="Times New Roman" w:hAnsi="Times New Roman" w:cs="Times New Roman"/>
          <w:kern w:val="0"/>
          <w:lang w:eastAsia="en-IN" w:bidi="ar-SA"/>
          <w14:ligatures w14:val="none"/>
        </w:rPr>
        <w:t xml:space="preserve">Return without risk: The fixed deposit rate of nationalised banks has been adopted </w:t>
      </w:r>
      <w:r>
        <w:rPr>
          <w:rFonts w:ascii="Times New Roman" w:eastAsia="Times New Roman" w:hAnsi="Times New Roman" w:cs="Times New Roman"/>
          <w:kern w:val="0"/>
          <w:lang w:eastAsia="en-IN" w:bidi="ar-SA"/>
          <w14:ligatures w14:val="none"/>
        </w:rPr>
        <w:t xml:space="preserve">to provide a risk-free return. </w:t>
      </w:r>
      <w:r w:rsidRPr="00A0203E">
        <w:rPr>
          <w:rFonts w:ascii="Times New Roman" w:eastAsia="Times New Roman" w:hAnsi="Times New Roman" w:cs="Times New Roman"/>
          <w:kern w:val="0"/>
          <w:lang w:eastAsia="en-IN" w:bidi="ar-SA"/>
          <w14:ligatures w14:val="none"/>
        </w:rPr>
        <w:t xml:space="preserve">Data source: Yahoo Finance, the Association of Mutual Funds in India (AMFI) website, and the Value Research website provided the necessary mutual fund data. The money control website provides </w:t>
      </w:r>
      <w:r>
        <w:rPr>
          <w:rFonts w:ascii="Times New Roman" w:eastAsia="Times New Roman" w:hAnsi="Times New Roman" w:cs="Times New Roman"/>
          <w:kern w:val="0"/>
          <w:lang w:eastAsia="en-IN" w:bidi="ar-SA"/>
          <w14:ligatures w14:val="none"/>
        </w:rPr>
        <w:t>a</w:t>
      </w:r>
      <w:r w:rsidRPr="00A0203E">
        <w:rPr>
          <w:rFonts w:ascii="Times New Roman" w:eastAsia="Times New Roman" w:hAnsi="Times New Roman" w:cs="Times New Roman"/>
          <w:kern w:val="0"/>
          <w:lang w:eastAsia="en-IN" w:bidi="ar-SA"/>
          <w14:ligatures w14:val="none"/>
        </w:rPr>
        <w:t xml:space="preserve"> risk-free rate.</w:t>
      </w:r>
    </w:p>
    <w:p w14:paraId="5C0A332D" w14:textId="6621DEFC" w:rsidR="00A0203E" w:rsidRPr="00A0203E" w:rsidRDefault="00A0203E" w:rsidP="00A0203E">
      <w:pPr>
        <w:spacing w:after="0" w:line="360" w:lineRule="auto"/>
        <w:jc w:val="both"/>
        <w:rPr>
          <w:rFonts w:ascii="Times New Roman" w:eastAsia="Times New Roman" w:hAnsi="Times New Roman" w:cs="Times New Roman"/>
          <w:b/>
          <w:kern w:val="0"/>
          <w:sz w:val="28"/>
          <w:lang w:eastAsia="en-IN" w:bidi="ar-SA"/>
          <w14:ligatures w14:val="none"/>
        </w:rPr>
      </w:pPr>
      <w:r w:rsidRPr="00A0203E">
        <w:rPr>
          <w:rFonts w:ascii="Times New Roman" w:hAnsi="Times New Roman" w:cs="Times New Roman"/>
          <w:b/>
          <w:sz w:val="28"/>
        </w:rPr>
        <w:t>Data Analysis</w:t>
      </w:r>
      <w:r w:rsidR="00AE0575">
        <w:rPr>
          <w:rFonts w:ascii="Times New Roman" w:hAnsi="Times New Roman" w:cs="Times New Roman"/>
          <w:b/>
          <w:sz w:val="28"/>
        </w:rPr>
        <w:t>:</w:t>
      </w:r>
    </w:p>
    <w:p w14:paraId="373AD0C9" w14:textId="77777777" w:rsidR="00A0203E" w:rsidRPr="00A0203E" w:rsidRDefault="00A0203E" w:rsidP="00A0203E">
      <w:pPr>
        <w:spacing w:after="240" w:line="240" w:lineRule="auto"/>
        <w:rPr>
          <w:rFonts w:ascii="Times New Roman" w:eastAsia="Times New Roman" w:hAnsi="Times New Roman" w:cs="Times New Roman"/>
          <w:kern w:val="0"/>
          <w:lang w:eastAsia="en-IN" w:bidi="ar-SA"/>
          <w14:ligatures w14:val="none"/>
        </w:rPr>
      </w:pPr>
      <w:r w:rsidRPr="00A0203E">
        <w:rPr>
          <w:rFonts w:ascii="Times New Roman" w:eastAsia="Times New Roman" w:hAnsi="Times New Roman" w:cs="Times New Roman"/>
          <w:kern w:val="0"/>
          <w:lang w:eastAsia="en-IN" w:bidi="ar-SA"/>
          <w14:ligatures w14:val="none"/>
        </w:rPr>
        <w:t xml:space="preserve">Schemes' performance according to their risk-return metrics </w:t>
      </w:r>
      <w:r w:rsidRPr="00A0203E">
        <w:rPr>
          <w:rFonts w:ascii="Times New Roman" w:eastAsia="Times New Roman" w:hAnsi="Times New Roman" w:cs="Times New Roman"/>
          <w:kern w:val="0"/>
          <w:lang w:eastAsia="en-IN" w:bidi="ar-SA"/>
          <w14:ligatures w14:val="none"/>
        </w:rPr>
        <w:br/>
      </w:r>
    </w:p>
    <w:tbl>
      <w:tblPr>
        <w:tblStyle w:val="TableGrid"/>
        <w:tblW w:w="0" w:type="auto"/>
        <w:tblLook w:val="04A0" w:firstRow="1" w:lastRow="0" w:firstColumn="1" w:lastColumn="0" w:noHBand="0" w:noVBand="1"/>
      </w:tblPr>
      <w:tblGrid>
        <w:gridCol w:w="3847"/>
        <w:gridCol w:w="691"/>
        <w:gridCol w:w="1163"/>
        <w:gridCol w:w="1043"/>
        <w:gridCol w:w="1176"/>
        <w:gridCol w:w="1430"/>
      </w:tblGrid>
      <w:tr w:rsidR="006F01F3" w:rsidRPr="00DA0597" w14:paraId="5ACA99B3" w14:textId="77777777" w:rsidTr="006F01F3">
        <w:tc>
          <w:tcPr>
            <w:tcW w:w="3847" w:type="dxa"/>
          </w:tcPr>
          <w:p w14:paraId="2163906C" w14:textId="14DAD705" w:rsidR="006F01F3" w:rsidRPr="00DA0597" w:rsidRDefault="006F01F3" w:rsidP="006F01F3">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Funds</w:t>
            </w:r>
          </w:p>
        </w:tc>
        <w:tc>
          <w:tcPr>
            <w:tcW w:w="691" w:type="dxa"/>
          </w:tcPr>
          <w:p w14:paraId="03A83197" w14:textId="69E46B4D" w:rsidR="006F01F3" w:rsidRPr="00DA0597" w:rsidRDefault="006F01F3" w:rsidP="006F01F3">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Beta</w:t>
            </w:r>
          </w:p>
        </w:tc>
        <w:tc>
          <w:tcPr>
            <w:tcW w:w="1163" w:type="dxa"/>
          </w:tcPr>
          <w:p w14:paraId="668323BA" w14:textId="7A5908A2" w:rsidR="006F01F3" w:rsidRPr="00DA0597" w:rsidRDefault="006F01F3" w:rsidP="006F01F3">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Expected Returns</w:t>
            </w:r>
          </w:p>
        </w:tc>
        <w:tc>
          <w:tcPr>
            <w:tcW w:w="0" w:type="auto"/>
          </w:tcPr>
          <w:p w14:paraId="46718233" w14:textId="6095EE58" w:rsidR="006F01F3" w:rsidRPr="00DA0597" w:rsidRDefault="006F01F3" w:rsidP="006F01F3">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Actual</w:t>
            </w:r>
          </w:p>
          <w:p w14:paraId="4FFE8769" w14:textId="693104EB" w:rsidR="006F01F3" w:rsidRPr="00DA0597" w:rsidRDefault="006F01F3" w:rsidP="006F01F3">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Returns</w:t>
            </w:r>
          </w:p>
        </w:tc>
        <w:tc>
          <w:tcPr>
            <w:tcW w:w="1176" w:type="dxa"/>
          </w:tcPr>
          <w:p w14:paraId="729DB61C" w14:textId="70314F1B" w:rsidR="006F01F3" w:rsidRPr="00DA0597" w:rsidRDefault="006F01F3" w:rsidP="006F01F3">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Volatility</w:t>
            </w:r>
          </w:p>
        </w:tc>
        <w:tc>
          <w:tcPr>
            <w:tcW w:w="1430" w:type="dxa"/>
          </w:tcPr>
          <w:p w14:paraId="276050C0" w14:textId="47BE0A17" w:rsidR="006F01F3" w:rsidRPr="00DA0597" w:rsidRDefault="006F01F3" w:rsidP="006F01F3">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Result</w:t>
            </w:r>
          </w:p>
        </w:tc>
      </w:tr>
      <w:tr w:rsidR="006F01F3" w:rsidRPr="00DA0597" w14:paraId="014F298B" w14:textId="77777777" w:rsidTr="006F01F3">
        <w:tc>
          <w:tcPr>
            <w:tcW w:w="3847" w:type="dxa"/>
          </w:tcPr>
          <w:p w14:paraId="29775E7E" w14:textId="6B027EBE"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 xml:space="preserve">Aditya Birla Sun Life Banking &amp; Financial Services Fund </w:t>
            </w:r>
          </w:p>
        </w:tc>
        <w:tc>
          <w:tcPr>
            <w:tcW w:w="691" w:type="dxa"/>
          </w:tcPr>
          <w:p w14:paraId="6370C1EA" w14:textId="69DB14EE"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eastAsia="Times New Roman" w:hAnsi="Times New Roman" w:cs="Times New Roman"/>
                <w:kern w:val="0"/>
                <w:lang w:eastAsia="en-IN" w:bidi="ar-SA"/>
                <w14:ligatures w14:val="none"/>
              </w:rPr>
              <w:t>0.78</w:t>
            </w:r>
          </w:p>
        </w:tc>
        <w:tc>
          <w:tcPr>
            <w:tcW w:w="1163" w:type="dxa"/>
          </w:tcPr>
          <w:p w14:paraId="77CC2C69" w14:textId="76E26B67"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 xml:space="preserve">11.7558 </w:t>
            </w:r>
          </w:p>
        </w:tc>
        <w:tc>
          <w:tcPr>
            <w:tcW w:w="0" w:type="auto"/>
          </w:tcPr>
          <w:p w14:paraId="6ED0A264" w14:textId="02649F57"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 xml:space="preserve">17.53 </w:t>
            </w:r>
          </w:p>
        </w:tc>
        <w:tc>
          <w:tcPr>
            <w:tcW w:w="1176" w:type="dxa"/>
          </w:tcPr>
          <w:p w14:paraId="54F2C60C" w14:textId="0DCABA9D"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 xml:space="preserve">5.7742 </w:t>
            </w:r>
          </w:p>
        </w:tc>
        <w:tc>
          <w:tcPr>
            <w:tcW w:w="1430" w:type="dxa"/>
          </w:tcPr>
          <w:p w14:paraId="00A48D9C" w14:textId="4A20DD92" w:rsidR="006F01F3" w:rsidRPr="00DA0597" w:rsidRDefault="006F01F3" w:rsidP="006F01F3">
            <w:pPr>
              <w:jc w:val="cente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High</w:t>
            </w:r>
          </w:p>
        </w:tc>
      </w:tr>
      <w:tr w:rsidR="006F01F3" w:rsidRPr="00DA0597" w14:paraId="68718D56" w14:textId="77777777" w:rsidTr="006F01F3">
        <w:tc>
          <w:tcPr>
            <w:tcW w:w="3847" w:type="dxa"/>
          </w:tcPr>
          <w:p w14:paraId="54F97237" w14:textId="3991DD32"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 xml:space="preserve">Aditya Birla Sun Life Equity Advantage Fund - </w:t>
            </w:r>
          </w:p>
        </w:tc>
        <w:tc>
          <w:tcPr>
            <w:tcW w:w="691" w:type="dxa"/>
          </w:tcPr>
          <w:p w14:paraId="009F9515" w14:textId="34F4F764"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eastAsia="Times New Roman" w:hAnsi="Times New Roman" w:cs="Times New Roman"/>
                <w:kern w:val="0"/>
                <w:lang w:eastAsia="en-IN" w:bidi="ar-SA"/>
                <w14:ligatures w14:val="none"/>
              </w:rPr>
              <w:t>0.93</w:t>
            </w:r>
          </w:p>
        </w:tc>
        <w:tc>
          <w:tcPr>
            <w:tcW w:w="1163" w:type="dxa"/>
          </w:tcPr>
          <w:p w14:paraId="0526F131" w14:textId="4E6F374D"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12.5986</w:t>
            </w:r>
          </w:p>
        </w:tc>
        <w:tc>
          <w:tcPr>
            <w:tcW w:w="0" w:type="auto"/>
          </w:tcPr>
          <w:p w14:paraId="41FF9EDF" w14:textId="02E6B130"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23.3</w:t>
            </w:r>
          </w:p>
        </w:tc>
        <w:tc>
          <w:tcPr>
            <w:tcW w:w="1176" w:type="dxa"/>
          </w:tcPr>
          <w:p w14:paraId="067EAD96" w14:textId="62FA0544"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10.7014</w:t>
            </w:r>
          </w:p>
        </w:tc>
        <w:tc>
          <w:tcPr>
            <w:tcW w:w="1430" w:type="dxa"/>
          </w:tcPr>
          <w:p w14:paraId="44D5FC2E" w14:textId="644590C3" w:rsidR="006F01F3" w:rsidRPr="00DA0597" w:rsidRDefault="006F01F3" w:rsidP="006F01F3">
            <w:pPr>
              <w:jc w:val="cente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High</w:t>
            </w:r>
          </w:p>
        </w:tc>
      </w:tr>
      <w:tr w:rsidR="006F01F3" w:rsidRPr="00DA0597" w14:paraId="1F677DAC" w14:textId="77777777" w:rsidTr="006F01F3">
        <w:tc>
          <w:tcPr>
            <w:tcW w:w="3847" w:type="dxa"/>
          </w:tcPr>
          <w:p w14:paraId="6748013E" w14:textId="2C68AA96"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Aditya Birla Sun Life Equity</w:t>
            </w:r>
            <w:r w:rsidRPr="00DA0597">
              <w:rPr>
                <w:rFonts w:ascii="Times New Roman" w:hAnsi="Times New Roman" w:cs="Times New Roman"/>
              </w:rPr>
              <w:t xml:space="preserve"> </w:t>
            </w:r>
            <w:r w:rsidRPr="00DA0597">
              <w:rPr>
                <w:rFonts w:ascii="Times New Roman" w:hAnsi="Times New Roman" w:cs="Times New Roman"/>
              </w:rPr>
              <w:t xml:space="preserve">Fund </w:t>
            </w:r>
          </w:p>
        </w:tc>
        <w:tc>
          <w:tcPr>
            <w:tcW w:w="691" w:type="dxa"/>
          </w:tcPr>
          <w:p w14:paraId="5064A208" w14:textId="3FF06FF3"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eastAsia="Times New Roman" w:hAnsi="Times New Roman" w:cs="Times New Roman"/>
                <w:kern w:val="0"/>
                <w:lang w:eastAsia="en-IN" w:bidi="ar-SA"/>
                <w14:ligatures w14:val="none"/>
              </w:rPr>
              <w:t>0.92</w:t>
            </w:r>
          </w:p>
        </w:tc>
        <w:tc>
          <w:tcPr>
            <w:tcW w:w="1163" w:type="dxa"/>
          </w:tcPr>
          <w:p w14:paraId="3FA8E612" w14:textId="7764FB7A"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12.0568</w:t>
            </w:r>
          </w:p>
        </w:tc>
        <w:tc>
          <w:tcPr>
            <w:tcW w:w="0" w:type="auto"/>
          </w:tcPr>
          <w:p w14:paraId="4D8F2039" w14:textId="58081770"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24.53</w:t>
            </w:r>
          </w:p>
        </w:tc>
        <w:tc>
          <w:tcPr>
            <w:tcW w:w="1176" w:type="dxa"/>
          </w:tcPr>
          <w:p w14:paraId="06D402D4" w14:textId="72A0D853"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12.4732</w:t>
            </w:r>
          </w:p>
        </w:tc>
        <w:tc>
          <w:tcPr>
            <w:tcW w:w="1430" w:type="dxa"/>
          </w:tcPr>
          <w:p w14:paraId="0E7D2382" w14:textId="5BCF86A5" w:rsidR="006F01F3" w:rsidRPr="00DA0597" w:rsidRDefault="006F01F3" w:rsidP="006F01F3">
            <w:pPr>
              <w:jc w:val="cente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High</w:t>
            </w:r>
          </w:p>
        </w:tc>
      </w:tr>
    </w:tbl>
    <w:p w14:paraId="260A443F" w14:textId="7CA73F78" w:rsidR="00A0203E" w:rsidRDefault="00A0203E" w:rsidP="00A0203E">
      <w:pPr>
        <w:spacing w:after="240" w:line="240" w:lineRule="auto"/>
        <w:rPr>
          <w:rFonts w:ascii="Times New Roman" w:eastAsia="Times New Roman" w:hAnsi="Times New Roman" w:cs="Times New Roman"/>
          <w:kern w:val="0"/>
          <w:lang w:eastAsia="en-IN" w:bidi="ar-SA"/>
          <w14:ligatures w14:val="none"/>
        </w:rPr>
      </w:pPr>
    </w:p>
    <w:tbl>
      <w:tblPr>
        <w:tblStyle w:val="TableGrid"/>
        <w:tblW w:w="0" w:type="auto"/>
        <w:tblLook w:val="04A0" w:firstRow="1" w:lastRow="0" w:firstColumn="1" w:lastColumn="0" w:noHBand="0" w:noVBand="1"/>
      </w:tblPr>
      <w:tblGrid>
        <w:gridCol w:w="3847"/>
        <w:gridCol w:w="691"/>
        <w:gridCol w:w="1163"/>
        <w:gridCol w:w="1043"/>
        <w:gridCol w:w="1176"/>
        <w:gridCol w:w="1430"/>
      </w:tblGrid>
      <w:tr w:rsidR="006F01F3" w:rsidRPr="00DA0597" w14:paraId="7438AF9C" w14:textId="77777777" w:rsidTr="00622AB9">
        <w:tc>
          <w:tcPr>
            <w:tcW w:w="3847" w:type="dxa"/>
          </w:tcPr>
          <w:p w14:paraId="7A55EFA4" w14:textId="77777777" w:rsidR="006F01F3" w:rsidRPr="00DA0597" w:rsidRDefault="006F01F3"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Funds</w:t>
            </w:r>
          </w:p>
        </w:tc>
        <w:tc>
          <w:tcPr>
            <w:tcW w:w="691" w:type="dxa"/>
          </w:tcPr>
          <w:p w14:paraId="4DD754CC" w14:textId="77777777" w:rsidR="006F01F3" w:rsidRPr="00DA0597" w:rsidRDefault="006F01F3"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Beta</w:t>
            </w:r>
          </w:p>
        </w:tc>
        <w:tc>
          <w:tcPr>
            <w:tcW w:w="1163" w:type="dxa"/>
          </w:tcPr>
          <w:p w14:paraId="58DCF771" w14:textId="77777777" w:rsidR="006F01F3" w:rsidRPr="00DA0597" w:rsidRDefault="006F01F3"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Expected Returns</w:t>
            </w:r>
          </w:p>
        </w:tc>
        <w:tc>
          <w:tcPr>
            <w:tcW w:w="0" w:type="auto"/>
          </w:tcPr>
          <w:p w14:paraId="300D8205" w14:textId="77777777" w:rsidR="006F01F3" w:rsidRPr="00DA0597" w:rsidRDefault="006F01F3"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Actual</w:t>
            </w:r>
          </w:p>
          <w:p w14:paraId="1141B6BC" w14:textId="77777777" w:rsidR="006F01F3" w:rsidRPr="00DA0597" w:rsidRDefault="006F01F3"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Returns</w:t>
            </w:r>
          </w:p>
        </w:tc>
        <w:tc>
          <w:tcPr>
            <w:tcW w:w="1176" w:type="dxa"/>
          </w:tcPr>
          <w:p w14:paraId="210C17A0" w14:textId="77777777" w:rsidR="006F01F3" w:rsidRPr="00DA0597" w:rsidRDefault="006F01F3"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Volatility</w:t>
            </w:r>
          </w:p>
        </w:tc>
        <w:tc>
          <w:tcPr>
            <w:tcW w:w="1430" w:type="dxa"/>
          </w:tcPr>
          <w:p w14:paraId="67F319FB" w14:textId="77777777" w:rsidR="006F01F3" w:rsidRPr="00DA0597" w:rsidRDefault="006F01F3"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Result</w:t>
            </w:r>
          </w:p>
        </w:tc>
      </w:tr>
      <w:tr w:rsidR="006F01F3" w:rsidRPr="00DA0597" w14:paraId="5D45A147" w14:textId="77777777" w:rsidTr="00622AB9">
        <w:tc>
          <w:tcPr>
            <w:tcW w:w="3847" w:type="dxa"/>
          </w:tcPr>
          <w:p w14:paraId="3DB5F66C" w14:textId="1FB6BC28" w:rsidR="006F01F3" w:rsidRPr="00DA0597" w:rsidRDefault="006F01F3" w:rsidP="006F01F3">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 xml:space="preserve">ICICI Prudential </w:t>
            </w:r>
            <w:r w:rsidR="00DA0597" w:rsidRPr="00DA0597">
              <w:rPr>
                <w:rFonts w:ascii="Times New Roman" w:hAnsi="Times New Roman" w:cs="Times New Roman"/>
              </w:rPr>
              <w:t>Blue-chip</w:t>
            </w:r>
            <w:r w:rsidRPr="00DA0597">
              <w:rPr>
                <w:rFonts w:ascii="Times New Roman" w:hAnsi="Times New Roman" w:cs="Times New Roman"/>
              </w:rPr>
              <w:t xml:space="preserve"> Fund</w:t>
            </w:r>
          </w:p>
        </w:tc>
        <w:tc>
          <w:tcPr>
            <w:tcW w:w="691" w:type="dxa"/>
          </w:tcPr>
          <w:p w14:paraId="08BB65BA" w14:textId="265DB0F5" w:rsidR="006F01F3" w:rsidRPr="00DA0597" w:rsidRDefault="006F01F3" w:rsidP="00622AB9">
            <w:pPr>
              <w:rPr>
                <w:rFonts w:ascii="Times New Roman" w:eastAsia="Times New Roman" w:hAnsi="Times New Roman" w:cs="Times New Roman"/>
                <w:kern w:val="0"/>
                <w:lang w:eastAsia="en-IN" w:bidi="ar-SA"/>
                <w14:ligatures w14:val="none"/>
              </w:rPr>
            </w:pPr>
            <w:r w:rsidRPr="00DA0597">
              <w:rPr>
                <w:rFonts w:ascii="Times New Roman" w:eastAsia="Times New Roman" w:hAnsi="Times New Roman" w:cs="Times New Roman"/>
                <w:kern w:val="0"/>
                <w:lang w:eastAsia="en-IN" w:bidi="ar-SA"/>
                <w14:ligatures w14:val="none"/>
              </w:rPr>
              <w:t>0.91</w:t>
            </w:r>
          </w:p>
        </w:tc>
        <w:tc>
          <w:tcPr>
            <w:tcW w:w="1163" w:type="dxa"/>
          </w:tcPr>
          <w:p w14:paraId="183A57E8" w14:textId="573BA8B2" w:rsidR="006F01F3" w:rsidRPr="00DA0597" w:rsidRDefault="00DA0597"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12.5146</w:t>
            </w:r>
          </w:p>
        </w:tc>
        <w:tc>
          <w:tcPr>
            <w:tcW w:w="0" w:type="auto"/>
          </w:tcPr>
          <w:p w14:paraId="114B0FC3" w14:textId="0628BC33" w:rsidR="006F01F3" w:rsidRPr="00DA0597" w:rsidRDefault="00DA0597"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14.18</w:t>
            </w:r>
          </w:p>
        </w:tc>
        <w:tc>
          <w:tcPr>
            <w:tcW w:w="1176" w:type="dxa"/>
          </w:tcPr>
          <w:p w14:paraId="07A87353" w14:textId="4E9E3DA0" w:rsidR="006F01F3" w:rsidRPr="00DA0597" w:rsidRDefault="00DA0597"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1.6654</w:t>
            </w:r>
          </w:p>
        </w:tc>
        <w:tc>
          <w:tcPr>
            <w:tcW w:w="1430" w:type="dxa"/>
          </w:tcPr>
          <w:p w14:paraId="645CF591" w14:textId="47F419F0" w:rsidR="006F01F3" w:rsidRPr="00DA0597" w:rsidRDefault="00DA0597" w:rsidP="00622AB9">
            <w:pPr>
              <w:jc w:val="center"/>
              <w:rPr>
                <w:rFonts w:ascii="Times New Roman" w:eastAsia="Times New Roman" w:hAnsi="Times New Roman" w:cs="Times New Roman"/>
                <w:kern w:val="0"/>
                <w:lang w:eastAsia="en-IN" w:bidi="ar-SA"/>
                <w14:ligatures w14:val="none"/>
              </w:rPr>
            </w:pPr>
            <w:r w:rsidRPr="00DA0597">
              <w:rPr>
                <w:rFonts w:ascii="Times New Roman" w:eastAsia="Times New Roman" w:hAnsi="Times New Roman" w:cs="Times New Roman"/>
                <w:kern w:val="0"/>
                <w:lang w:eastAsia="en-IN" w:bidi="ar-SA"/>
                <w14:ligatures w14:val="none"/>
              </w:rPr>
              <w:t>High</w:t>
            </w:r>
          </w:p>
        </w:tc>
      </w:tr>
      <w:tr w:rsidR="006F01F3" w:rsidRPr="00DA0597" w14:paraId="68663A29" w14:textId="77777777" w:rsidTr="00DA0597">
        <w:trPr>
          <w:trHeight w:val="260"/>
        </w:trPr>
        <w:tc>
          <w:tcPr>
            <w:tcW w:w="3847" w:type="dxa"/>
          </w:tcPr>
          <w:p w14:paraId="53490652" w14:textId="18ECFC46" w:rsidR="006F01F3" w:rsidRPr="00DA0597" w:rsidRDefault="006F01F3"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 xml:space="preserve">ICICI Prudential Nifty Next50 Index Fund </w:t>
            </w:r>
          </w:p>
        </w:tc>
        <w:tc>
          <w:tcPr>
            <w:tcW w:w="691" w:type="dxa"/>
          </w:tcPr>
          <w:p w14:paraId="3384565A" w14:textId="5C7A8C47" w:rsidR="006F01F3" w:rsidRPr="00DA0597" w:rsidRDefault="006F01F3" w:rsidP="00622AB9">
            <w:pPr>
              <w:rPr>
                <w:rFonts w:ascii="Times New Roman" w:eastAsia="Times New Roman" w:hAnsi="Times New Roman" w:cs="Times New Roman"/>
                <w:kern w:val="0"/>
                <w:lang w:eastAsia="en-IN" w:bidi="ar-SA"/>
                <w14:ligatures w14:val="none"/>
              </w:rPr>
            </w:pPr>
            <w:r w:rsidRPr="00DA0597">
              <w:rPr>
                <w:rFonts w:ascii="Times New Roman" w:eastAsia="Times New Roman" w:hAnsi="Times New Roman" w:cs="Times New Roman"/>
                <w:kern w:val="0"/>
                <w:lang w:eastAsia="en-IN" w:bidi="ar-SA"/>
                <w14:ligatures w14:val="none"/>
              </w:rPr>
              <w:t>0.95</w:t>
            </w:r>
          </w:p>
        </w:tc>
        <w:tc>
          <w:tcPr>
            <w:tcW w:w="1163" w:type="dxa"/>
          </w:tcPr>
          <w:p w14:paraId="76F17702" w14:textId="7C60F66D" w:rsidR="006F01F3" w:rsidRPr="00DA0597" w:rsidRDefault="00DA0597"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14.9705</w:t>
            </w:r>
          </w:p>
        </w:tc>
        <w:tc>
          <w:tcPr>
            <w:tcW w:w="0" w:type="auto"/>
          </w:tcPr>
          <w:p w14:paraId="286F9066" w14:textId="613ADB1C" w:rsidR="006F01F3" w:rsidRPr="00DA0597" w:rsidRDefault="00DA0597"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 xml:space="preserve">16.49 </w:t>
            </w:r>
          </w:p>
        </w:tc>
        <w:tc>
          <w:tcPr>
            <w:tcW w:w="1176" w:type="dxa"/>
          </w:tcPr>
          <w:p w14:paraId="5B035885" w14:textId="10D8F558" w:rsidR="006F01F3" w:rsidRPr="00DA0597" w:rsidRDefault="00DA0597"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1.5195</w:t>
            </w:r>
          </w:p>
        </w:tc>
        <w:tc>
          <w:tcPr>
            <w:tcW w:w="1430" w:type="dxa"/>
          </w:tcPr>
          <w:p w14:paraId="2A67BA63" w14:textId="44EFFD4B" w:rsidR="006F01F3" w:rsidRPr="00DA0597" w:rsidRDefault="00DA0597" w:rsidP="00622AB9">
            <w:pPr>
              <w:jc w:val="center"/>
              <w:rPr>
                <w:rFonts w:ascii="Times New Roman" w:eastAsia="Times New Roman" w:hAnsi="Times New Roman" w:cs="Times New Roman"/>
                <w:kern w:val="0"/>
                <w:lang w:eastAsia="en-IN" w:bidi="ar-SA"/>
                <w14:ligatures w14:val="none"/>
              </w:rPr>
            </w:pPr>
            <w:r w:rsidRPr="00DA0597">
              <w:rPr>
                <w:rFonts w:ascii="Times New Roman" w:eastAsia="Times New Roman" w:hAnsi="Times New Roman" w:cs="Times New Roman"/>
                <w:kern w:val="0"/>
                <w:lang w:eastAsia="en-IN" w:bidi="ar-SA"/>
                <w14:ligatures w14:val="none"/>
              </w:rPr>
              <w:t>High</w:t>
            </w:r>
          </w:p>
        </w:tc>
      </w:tr>
      <w:tr w:rsidR="006F01F3" w:rsidRPr="00DA0597" w14:paraId="7BFBDF8D" w14:textId="77777777" w:rsidTr="00622AB9">
        <w:tc>
          <w:tcPr>
            <w:tcW w:w="3847" w:type="dxa"/>
          </w:tcPr>
          <w:p w14:paraId="34D21AB3" w14:textId="0E9D5BCA" w:rsidR="006F01F3" w:rsidRPr="00DA0597" w:rsidRDefault="006F01F3"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ICICI Prudential Nifty 100ETF</w:t>
            </w:r>
          </w:p>
        </w:tc>
        <w:tc>
          <w:tcPr>
            <w:tcW w:w="691" w:type="dxa"/>
          </w:tcPr>
          <w:p w14:paraId="7B571CC4" w14:textId="416F4BDB" w:rsidR="006F01F3" w:rsidRPr="00DA0597" w:rsidRDefault="006F01F3" w:rsidP="00622AB9">
            <w:pPr>
              <w:rPr>
                <w:rFonts w:ascii="Times New Roman" w:eastAsia="Times New Roman" w:hAnsi="Times New Roman" w:cs="Times New Roman"/>
                <w:kern w:val="0"/>
                <w:lang w:eastAsia="en-IN" w:bidi="ar-SA"/>
                <w14:ligatures w14:val="none"/>
              </w:rPr>
            </w:pPr>
            <w:r w:rsidRPr="00DA0597">
              <w:rPr>
                <w:rFonts w:ascii="Times New Roman" w:eastAsia="Times New Roman" w:hAnsi="Times New Roman" w:cs="Times New Roman"/>
                <w:kern w:val="0"/>
                <w:lang w:eastAsia="en-IN" w:bidi="ar-SA"/>
                <w14:ligatures w14:val="none"/>
              </w:rPr>
              <w:t>0.99</w:t>
            </w:r>
          </w:p>
        </w:tc>
        <w:tc>
          <w:tcPr>
            <w:tcW w:w="1163" w:type="dxa"/>
          </w:tcPr>
          <w:p w14:paraId="57F77FF1" w14:textId="4BD26229" w:rsidR="006F01F3" w:rsidRPr="00DA0597" w:rsidRDefault="006F01F3"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12.9994</w:t>
            </w:r>
          </w:p>
        </w:tc>
        <w:tc>
          <w:tcPr>
            <w:tcW w:w="0" w:type="auto"/>
          </w:tcPr>
          <w:p w14:paraId="4CF41A64" w14:textId="6DC59F73" w:rsidR="006F01F3" w:rsidRPr="00DA0597" w:rsidRDefault="006F01F3"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18.77</w:t>
            </w:r>
          </w:p>
        </w:tc>
        <w:tc>
          <w:tcPr>
            <w:tcW w:w="1176" w:type="dxa"/>
          </w:tcPr>
          <w:p w14:paraId="4BA54000" w14:textId="0659900F" w:rsidR="006F01F3" w:rsidRPr="00DA0597" w:rsidRDefault="006F01F3" w:rsidP="00622AB9">
            <w:pP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5.7706</w:t>
            </w:r>
          </w:p>
        </w:tc>
        <w:tc>
          <w:tcPr>
            <w:tcW w:w="1430" w:type="dxa"/>
          </w:tcPr>
          <w:p w14:paraId="1D951964" w14:textId="2BE22494" w:rsidR="006F01F3" w:rsidRPr="00DA0597" w:rsidRDefault="006F01F3" w:rsidP="00622AB9">
            <w:pPr>
              <w:jc w:val="center"/>
              <w:rPr>
                <w:rFonts w:ascii="Times New Roman" w:eastAsia="Times New Roman" w:hAnsi="Times New Roman" w:cs="Times New Roman"/>
                <w:kern w:val="0"/>
                <w:lang w:eastAsia="en-IN" w:bidi="ar-SA"/>
                <w14:ligatures w14:val="none"/>
              </w:rPr>
            </w:pPr>
            <w:r w:rsidRPr="00DA0597">
              <w:rPr>
                <w:rFonts w:ascii="Times New Roman" w:eastAsia="Times New Roman" w:hAnsi="Times New Roman" w:cs="Times New Roman"/>
                <w:kern w:val="0"/>
                <w:lang w:eastAsia="en-IN" w:bidi="ar-SA"/>
                <w14:ligatures w14:val="none"/>
              </w:rPr>
              <w:t>High</w:t>
            </w:r>
          </w:p>
        </w:tc>
      </w:tr>
    </w:tbl>
    <w:p w14:paraId="3E5C69DC" w14:textId="77777777" w:rsidR="006F01F3" w:rsidRPr="00A0203E" w:rsidRDefault="006F01F3" w:rsidP="00A0203E">
      <w:pPr>
        <w:spacing w:after="240" w:line="240" w:lineRule="auto"/>
        <w:rPr>
          <w:rFonts w:ascii="Times New Roman" w:eastAsia="Times New Roman" w:hAnsi="Times New Roman" w:cs="Times New Roman"/>
          <w:kern w:val="0"/>
          <w:lang w:eastAsia="en-IN" w:bidi="ar-SA"/>
          <w14:ligatures w14:val="none"/>
        </w:rPr>
      </w:pPr>
    </w:p>
    <w:tbl>
      <w:tblPr>
        <w:tblStyle w:val="TableGrid"/>
        <w:tblW w:w="0" w:type="auto"/>
        <w:tblLook w:val="04A0" w:firstRow="1" w:lastRow="0" w:firstColumn="1" w:lastColumn="0" w:noHBand="0" w:noVBand="1"/>
      </w:tblPr>
      <w:tblGrid>
        <w:gridCol w:w="3847"/>
        <w:gridCol w:w="691"/>
        <w:gridCol w:w="1163"/>
        <w:gridCol w:w="1043"/>
        <w:gridCol w:w="1176"/>
        <w:gridCol w:w="1430"/>
      </w:tblGrid>
      <w:tr w:rsidR="00DA0597" w:rsidRPr="00DA0597" w14:paraId="18E2D123" w14:textId="77777777" w:rsidTr="00622AB9">
        <w:tc>
          <w:tcPr>
            <w:tcW w:w="3847" w:type="dxa"/>
          </w:tcPr>
          <w:p w14:paraId="44BCE042" w14:textId="77777777" w:rsidR="00DA0597" w:rsidRPr="00DA0597" w:rsidRDefault="00DA0597"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Funds</w:t>
            </w:r>
          </w:p>
        </w:tc>
        <w:tc>
          <w:tcPr>
            <w:tcW w:w="691" w:type="dxa"/>
          </w:tcPr>
          <w:p w14:paraId="1CF41101" w14:textId="77777777" w:rsidR="00DA0597" w:rsidRPr="00DA0597" w:rsidRDefault="00DA0597"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Beta</w:t>
            </w:r>
          </w:p>
        </w:tc>
        <w:tc>
          <w:tcPr>
            <w:tcW w:w="1163" w:type="dxa"/>
          </w:tcPr>
          <w:p w14:paraId="5A3D22B6" w14:textId="77777777" w:rsidR="00DA0597" w:rsidRPr="00DA0597" w:rsidRDefault="00DA0597"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Expected Returns</w:t>
            </w:r>
          </w:p>
        </w:tc>
        <w:tc>
          <w:tcPr>
            <w:tcW w:w="0" w:type="auto"/>
          </w:tcPr>
          <w:p w14:paraId="766987AA" w14:textId="77777777" w:rsidR="00DA0597" w:rsidRPr="00DA0597" w:rsidRDefault="00DA0597"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Actual</w:t>
            </w:r>
          </w:p>
          <w:p w14:paraId="49868602" w14:textId="77777777" w:rsidR="00DA0597" w:rsidRPr="00DA0597" w:rsidRDefault="00DA0597"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Returns</w:t>
            </w:r>
          </w:p>
        </w:tc>
        <w:tc>
          <w:tcPr>
            <w:tcW w:w="1176" w:type="dxa"/>
          </w:tcPr>
          <w:p w14:paraId="48CFE14E" w14:textId="77777777" w:rsidR="00DA0597" w:rsidRPr="00DA0597" w:rsidRDefault="00DA0597"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Volatility</w:t>
            </w:r>
          </w:p>
        </w:tc>
        <w:tc>
          <w:tcPr>
            <w:tcW w:w="1430" w:type="dxa"/>
          </w:tcPr>
          <w:p w14:paraId="6A033A5C" w14:textId="77777777" w:rsidR="00DA0597" w:rsidRPr="00DA0597" w:rsidRDefault="00DA0597" w:rsidP="00622AB9">
            <w:pPr>
              <w:jc w:val="center"/>
              <w:rPr>
                <w:rFonts w:ascii="Times New Roman" w:eastAsia="Times New Roman" w:hAnsi="Times New Roman" w:cs="Times New Roman"/>
                <w:b/>
                <w:kern w:val="0"/>
                <w:lang w:eastAsia="en-IN" w:bidi="ar-SA"/>
                <w14:ligatures w14:val="none"/>
              </w:rPr>
            </w:pPr>
            <w:r w:rsidRPr="00DA0597">
              <w:rPr>
                <w:rFonts w:ascii="Times New Roman" w:eastAsia="Times New Roman" w:hAnsi="Times New Roman" w:cs="Times New Roman"/>
                <w:b/>
                <w:kern w:val="0"/>
                <w:lang w:eastAsia="en-IN" w:bidi="ar-SA"/>
                <w14:ligatures w14:val="none"/>
              </w:rPr>
              <w:t>Result</w:t>
            </w:r>
          </w:p>
        </w:tc>
      </w:tr>
      <w:tr w:rsidR="00DA0597" w:rsidRPr="00DA0597" w14:paraId="49C0004C" w14:textId="77777777" w:rsidTr="00622AB9">
        <w:tc>
          <w:tcPr>
            <w:tcW w:w="3847" w:type="dxa"/>
          </w:tcPr>
          <w:p w14:paraId="507DECE7" w14:textId="257EB6C4" w:rsidR="00DA0597" w:rsidRPr="00DA0597" w:rsidRDefault="00DA0597" w:rsidP="00DA0597">
            <w:pPr>
              <w:jc w:val="cente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 xml:space="preserve">SBI </w:t>
            </w:r>
            <w:r w:rsidRPr="00DA0597">
              <w:rPr>
                <w:rFonts w:ascii="Times New Roman" w:hAnsi="Times New Roman" w:cs="Times New Roman"/>
              </w:rPr>
              <w:t>Blue-chip</w:t>
            </w:r>
            <w:r w:rsidRPr="00DA0597">
              <w:rPr>
                <w:rFonts w:ascii="Times New Roman" w:hAnsi="Times New Roman" w:cs="Times New Roman"/>
              </w:rPr>
              <w:t xml:space="preserve"> Fund</w:t>
            </w:r>
          </w:p>
        </w:tc>
        <w:tc>
          <w:tcPr>
            <w:tcW w:w="691" w:type="dxa"/>
          </w:tcPr>
          <w:p w14:paraId="09F634CF" w14:textId="5498FD23"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0.87</w:t>
            </w:r>
          </w:p>
        </w:tc>
        <w:tc>
          <w:tcPr>
            <w:tcW w:w="1163" w:type="dxa"/>
          </w:tcPr>
          <w:p w14:paraId="4554A956" w14:textId="502E954A"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12.2374</w:t>
            </w:r>
          </w:p>
        </w:tc>
        <w:tc>
          <w:tcPr>
            <w:tcW w:w="0" w:type="auto"/>
          </w:tcPr>
          <w:p w14:paraId="5BF134A9" w14:textId="0A5E6BA5"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10.73</w:t>
            </w:r>
          </w:p>
        </w:tc>
        <w:tc>
          <w:tcPr>
            <w:tcW w:w="1176" w:type="dxa"/>
          </w:tcPr>
          <w:p w14:paraId="4F7E313A" w14:textId="76BD1D8C"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-1.5074</w:t>
            </w:r>
          </w:p>
        </w:tc>
        <w:tc>
          <w:tcPr>
            <w:tcW w:w="1430" w:type="dxa"/>
          </w:tcPr>
          <w:p w14:paraId="3733653F" w14:textId="77C237CD"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Low</w:t>
            </w:r>
          </w:p>
        </w:tc>
      </w:tr>
      <w:tr w:rsidR="00DA0597" w:rsidRPr="00DA0597" w14:paraId="2F1D4DD8" w14:textId="77777777" w:rsidTr="00622AB9">
        <w:tc>
          <w:tcPr>
            <w:tcW w:w="3847" w:type="dxa"/>
          </w:tcPr>
          <w:p w14:paraId="65D8385A" w14:textId="37F78B01" w:rsidR="00DA0597" w:rsidRPr="00DA0597" w:rsidRDefault="00DA0597" w:rsidP="00DA0597">
            <w:pPr>
              <w:jc w:val="cente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SBI ETF Nifty Next 50Fund</w:t>
            </w:r>
          </w:p>
        </w:tc>
        <w:tc>
          <w:tcPr>
            <w:tcW w:w="691" w:type="dxa"/>
          </w:tcPr>
          <w:p w14:paraId="32F6BF3F" w14:textId="4C680C0E"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1.01</w:t>
            </w:r>
          </w:p>
        </w:tc>
        <w:tc>
          <w:tcPr>
            <w:tcW w:w="1163" w:type="dxa"/>
          </w:tcPr>
          <w:p w14:paraId="3F13929A" w14:textId="3B7AC733"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5.0103</w:t>
            </w:r>
          </w:p>
        </w:tc>
        <w:tc>
          <w:tcPr>
            <w:tcW w:w="0" w:type="auto"/>
          </w:tcPr>
          <w:p w14:paraId="6CEBF90E" w14:textId="141D85DC"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11.17</w:t>
            </w:r>
          </w:p>
        </w:tc>
        <w:tc>
          <w:tcPr>
            <w:tcW w:w="1176" w:type="dxa"/>
          </w:tcPr>
          <w:p w14:paraId="33BE897E" w14:textId="170D5652"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6.1597</w:t>
            </w:r>
          </w:p>
        </w:tc>
        <w:tc>
          <w:tcPr>
            <w:tcW w:w="1430" w:type="dxa"/>
          </w:tcPr>
          <w:p w14:paraId="2FAD86E8" w14:textId="7195B900"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High</w:t>
            </w:r>
          </w:p>
        </w:tc>
      </w:tr>
      <w:tr w:rsidR="00DA0597" w:rsidRPr="00DA0597" w14:paraId="06C0660E" w14:textId="77777777" w:rsidTr="00622AB9">
        <w:tc>
          <w:tcPr>
            <w:tcW w:w="3847" w:type="dxa"/>
          </w:tcPr>
          <w:p w14:paraId="12402FF6" w14:textId="0936322E" w:rsidR="00DA0597" w:rsidRPr="00DA0597" w:rsidRDefault="00DA0597" w:rsidP="00DA0597">
            <w:pPr>
              <w:jc w:val="center"/>
              <w:rPr>
                <w:rFonts w:ascii="Times New Roman" w:eastAsia="Times New Roman" w:hAnsi="Times New Roman" w:cs="Times New Roman"/>
                <w:kern w:val="0"/>
                <w:lang w:eastAsia="en-IN" w:bidi="ar-SA"/>
                <w14:ligatures w14:val="none"/>
              </w:rPr>
            </w:pPr>
            <w:r w:rsidRPr="00DA0597">
              <w:rPr>
                <w:rFonts w:ascii="Times New Roman" w:hAnsi="Times New Roman" w:cs="Times New Roman"/>
              </w:rPr>
              <w:t>SBI Large &amp; Midcap Fund</w:t>
            </w:r>
          </w:p>
        </w:tc>
        <w:tc>
          <w:tcPr>
            <w:tcW w:w="691" w:type="dxa"/>
          </w:tcPr>
          <w:p w14:paraId="437CB7B3" w14:textId="557DF609"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0.9</w:t>
            </w:r>
          </w:p>
        </w:tc>
        <w:tc>
          <w:tcPr>
            <w:tcW w:w="1163" w:type="dxa"/>
          </w:tcPr>
          <w:p w14:paraId="22A024DF" w14:textId="249E21BD"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12.4</w:t>
            </w:r>
          </w:p>
        </w:tc>
        <w:tc>
          <w:tcPr>
            <w:tcW w:w="0" w:type="auto"/>
          </w:tcPr>
          <w:p w14:paraId="74B3467E" w14:textId="74D16E65"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12.07</w:t>
            </w:r>
          </w:p>
        </w:tc>
        <w:tc>
          <w:tcPr>
            <w:tcW w:w="1176" w:type="dxa"/>
          </w:tcPr>
          <w:p w14:paraId="1CA4348E" w14:textId="6634797F"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-0.33</w:t>
            </w:r>
          </w:p>
        </w:tc>
        <w:tc>
          <w:tcPr>
            <w:tcW w:w="1430" w:type="dxa"/>
          </w:tcPr>
          <w:p w14:paraId="6280EAE6" w14:textId="7F2FD24B" w:rsidR="00DA0597" w:rsidRPr="00DA0597" w:rsidRDefault="00DA0597" w:rsidP="00DA0597">
            <w:pPr>
              <w:jc w:val="center"/>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Average</w:t>
            </w:r>
          </w:p>
        </w:tc>
      </w:tr>
    </w:tbl>
    <w:p w14:paraId="68A3814D" w14:textId="77777777" w:rsidR="00DA0597" w:rsidRDefault="00DA0597" w:rsidP="00832B77">
      <w:pPr>
        <w:spacing w:after="240" w:line="240" w:lineRule="auto"/>
        <w:jc w:val="both"/>
        <w:rPr>
          <w:rFonts w:ascii="Times New Roman" w:eastAsia="Times New Roman" w:hAnsi="Times New Roman" w:cs="Times New Roman"/>
          <w:kern w:val="0"/>
          <w:lang w:eastAsia="en-IN" w:bidi="ar-SA"/>
          <w14:ligatures w14:val="none"/>
        </w:rPr>
      </w:pPr>
    </w:p>
    <w:tbl>
      <w:tblPr>
        <w:tblStyle w:val="TableGrid"/>
        <w:tblW w:w="0" w:type="auto"/>
        <w:tblLook w:val="04A0" w:firstRow="1" w:lastRow="0" w:firstColumn="1" w:lastColumn="0" w:noHBand="0" w:noVBand="1"/>
      </w:tblPr>
      <w:tblGrid>
        <w:gridCol w:w="3847"/>
        <w:gridCol w:w="691"/>
        <w:gridCol w:w="1163"/>
        <w:gridCol w:w="1043"/>
        <w:gridCol w:w="1176"/>
        <w:gridCol w:w="1430"/>
      </w:tblGrid>
      <w:tr w:rsidR="00CE2CFC" w:rsidRPr="00CE2CFC" w14:paraId="0ED857A4" w14:textId="77777777" w:rsidTr="00622AB9">
        <w:tc>
          <w:tcPr>
            <w:tcW w:w="3847" w:type="dxa"/>
          </w:tcPr>
          <w:p w14:paraId="513FEE58" w14:textId="77777777" w:rsidR="00CE2CFC" w:rsidRPr="00CE2CFC" w:rsidRDefault="00CE2CFC" w:rsidP="00622AB9">
            <w:pPr>
              <w:jc w:val="center"/>
              <w:rPr>
                <w:rFonts w:ascii="Times New Roman" w:eastAsia="Times New Roman" w:hAnsi="Times New Roman" w:cs="Times New Roman"/>
                <w:b/>
                <w:kern w:val="0"/>
                <w:lang w:eastAsia="en-IN" w:bidi="ar-SA"/>
                <w14:ligatures w14:val="none"/>
              </w:rPr>
            </w:pPr>
            <w:r w:rsidRPr="00CE2CFC">
              <w:rPr>
                <w:rFonts w:ascii="Times New Roman" w:eastAsia="Times New Roman" w:hAnsi="Times New Roman" w:cs="Times New Roman"/>
                <w:b/>
                <w:kern w:val="0"/>
                <w:lang w:eastAsia="en-IN" w:bidi="ar-SA"/>
                <w14:ligatures w14:val="none"/>
              </w:rPr>
              <w:lastRenderedPageBreak/>
              <w:t>Funds</w:t>
            </w:r>
          </w:p>
        </w:tc>
        <w:tc>
          <w:tcPr>
            <w:tcW w:w="691" w:type="dxa"/>
          </w:tcPr>
          <w:p w14:paraId="1CA77D0A" w14:textId="77777777" w:rsidR="00CE2CFC" w:rsidRPr="00CE2CFC" w:rsidRDefault="00CE2CFC" w:rsidP="00622AB9">
            <w:pPr>
              <w:jc w:val="center"/>
              <w:rPr>
                <w:rFonts w:ascii="Times New Roman" w:eastAsia="Times New Roman" w:hAnsi="Times New Roman" w:cs="Times New Roman"/>
                <w:b/>
                <w:kern w:val="0"/>
                <w:lang w:eastAsia="en-IN" w:bidi="ar-SA"/>
                <w14:ligatures w14:val="none"/>
              </w:rPr>
            </w:pPr>
            <w:r w:rsidRPr="00CE2CFC">
              <w:rPr>
                <w:rFonts w:ascii="Times New Roman" w:eastAsia="Times New Roman" w:hAnsi="Times New Roman" w:cs="Times New Roman"/>
                <w:b/>
                <w:kern w:val="0"/>
                <w:lang w:eastAsia="en-IN" w:bidi="ar-SA"/>
                <w14:ligatures w14:val="none"/>
              </w:rPr>
              <w:t>Beta</w:t>
            </w:r>
          </w:p>
        </w:tc>
        <w:tc>
          <w:tcPr>
            <w:tcW w:w="1163" w:type="dxa"/>
          </w:tcPr>
          <w:p w14:paraId="60749EA8" w14:textId="77777777" w:rsidR="00CE2CFC" w:rsidRPr="00CE2CFC" w:rsidRDefault="00CE2CFC" w:rsidP="00622AB9">
            <w:pPr>
              <w:jc w:val="center"/>
              <w:rPr>
                <w:rFonts w:ascii="Times New Roman" w:eastAsia="Times New Roman" w:hAnsi="Times New Roman" w:cs="Times New Roman"/>
                <w:b/>
                <w:kern w:val="0"/>
                <w:lang w:eastAsia="en-IN" w:bidi="ar-SA"/>
                <w14:ligatures w14:val="none"/>
              </w:rPr>
            </w:pPr>
            <w:r w:rsidRPr="00CE2CFC">
              <w:rPr>
                <w:rFonts w:ascii="Times New Roman" w:eastAsia="Times New Roman" w:hAnsi="Times New Roman" w:cs="Times New Roman"/>
                <w:b/>
                <w:kern w:val="0"/>
                <w:lang w:eastAsia="en-IN" w:bidi="ar-SA"/>
                <w14:ligatures w14:val="none"/>
              </w:rPr>
              <w:t>Expected Returns</w:t>
            </w:r>
          </w:p>
        </w:tc>
        <w:tc>
          <w:tcPr>
            <w:tcW w:w="0" w:type="auto"/>
          </w:tcPr>
          <w:p w14:paraId="74F76B72" w14:textId="77777777" w:rsidR="00CE2CFC" w:rsidRPr="00CE2CFC" w:rsidRDefault="00CE2CFC" w:rsidP="00622AB9">
            <w:pPr>
              <w:jc w:val="center"/>
              <w:rPr>
                <w:rFonts w:ascii="Times New Roman" w:eastAsia="Times New Roman" w:hAnsi="Times New Roman" w:cs="Times New Roman"/>
                <w:b/>
                <w:kern w:val="0"/>
                <w:lang w:eastAsia="en-IN" w:bidi="ar-SA"/>
                <w14:ligatures w14:val="none"/>
              </w:rPr>
            </w:pPr>
            <w:r w:rsidRPr="00CE2CFC">
              <w:rPr>
                <w:rFonts w:ascii="Times New Roman" w:eastAsia="Times New Roman" w:hAnsi="Times New Roman" w:cs="Times New Roman"/>
                <w:b/>
                <w:kern w:val="0"/>
                <w:lang w:eastAsia="en-IN" w:bidi="ar-SA"/>
                <w14:ligatures w14:val="none"/>
              </w:rPr>
              <w:t>Actual</w:t>
            </w:r>
          </w:p>
          <w:p w14:paraId="52E1DB24" w14:textId="77777777" w:rsidR="00CE2CFC" w:rsidRPr="00CE2CFC" w:rsidRDefault="00CE2CFC" w:rsidP="00622AB9">
            <w:pPr>
              <w:jc w:val="center"/>
              <w:rPr>
                <w:rFonts w:ascii="Times New Roman" w:eastAsia="Times New Roman" w:hAnsi="Times New Roman" w:cs="Times New Roman"/>
                <w:b/>
                <w:kern w:val="0"/>
                <w:lang w:eastAsia="en-IN" w:bidi="ar-SA"/>
                <w14:ligatures w14:val="none"/>
              </w:rPr>
            </w:pPr>
            <w:r w:rsidRPr="00CE2CFC">
              <w:rPr>
                <w:rFonts w:ascii="Times New Roman" w:eastAsia="Times New Roman" w:hAnsi="Times New Roman" w:cs="Times New Roman"/>
                <w:b/>
                <w:kern w:val="0"/>
                <w:lang w:eastAsia="en-IN" w:bidi="ar-SA"/>
                <w14:ligatures w14:val="none"/>
              </w:rPr>
              <w:t>Returns</w:t>
            </w:r>
          </w:p>
        </w:tc>
        <w:tc>
          <w:tcPr>
            <w:tcW w:w="1176" w:type="dxa"/>
          </w:tcPr>
          <w:p w14:paraId="3DA0CF1E" w14:textId="77777777" w:rsidR="00CE2CFC" w:rsidRPr="00CE2CFC" w:rsidRDefault="00CE2CFC" w:rsidP="00622AB9">
            <w:pPr>
              <w:jc w:val="center"/>
              <w:rPr>
                <w:rFonts w:ascii="Times New Roman" w:eastAsia="Times New Roman" w:hAnsi="Times New Roman" w:cs="Times New Roman"/>
                <w:b/>
                <w:kern w:val="0"/>
                <w:lang w:eastAsia="en-IN" w:bidi="ar-SA"/>
                <w14:ligatures w14:val="none"/>
              </w:rPr>
            </w:pPr>
            <w:r w:rsidRPr="00CE2CFC">
              <w:rPr>
                <w:rFonts w:ascii="Times New Roman" w:eastAsia="Times New Roman" w:hAnsi="Times New Roman" w:cs="Times New Roman"/>
                <w:b/>
                <w:kern w:val="0"/>
                <w:lang w:eastAsia="en-IN" w:bidi="ar-SA"/>
                <w14:ligatures w14:val="none"/>
              </w:rPr>
              <w:t>Volatility</w:t>
            </w:r>
          </w:p>
        </w:tc>
        <w:tc>
          <w:tcPr>
            <w:tcW w:w="1430" w:type="dxa"/>
          </w:tcPr>
          <w:p w14:paraId="5D367FF9" w14:textId="77777777" w:rsidR="00CE2CFC" w:rsidRPr="00CE2CFC" w:rsidRDefault="00CE2CFC" w:rsidP="00622AB9">
            <w:pPr>
              <w:jc w:val="center"/>
              <w:rPr>
                <w:rFonts w:ascii="Times New Roman" w:eastAsia="Times New Roman" w:hAnsi="Times New Roman" w:cs="Times New Roman"/>
                <w:b/>
                <w:kern w:val="0"/>
                <w:lang w:eastAsia="en-IN" w:bidi="ar-SA"/>
                <w14:ligatures w14:val="none"/>
              </w:rPr>
            </w:pPr>
            <w:r w:rsidRPr="00CE2CFC">
              <w:rPr>
                <w:rFonts w:ascii="Times New Roman" w:eastAsia="Times New Roman" w:hAnsi="Times New Roman" w:cs="Times New Roman"/>
                <w:b/>
                <w:kern w:val="0"/>
                <w:lang w:eastAsia="en-IN" w:bidi="ar-SA"/>
                <w14:ligatures w14:val="none"/>
              </w:rPr>
              <w:t>Result</w:t>
            </w:r>
          </w:p>
        </w:tc>
      </w:tr>
      <w:tr w:rsidR="00CE2CFC" w:rsidRPr="00CE2CFC" w14:paraId="19FC3008" w14:textId="77777777" w:rsidTr="00622AB9">
        <w:tc>
          <w:tcPr>
            <w:tcW w:w="3847" w:type="dxa"/>
          </w:tcPr>
          <w:p w14:paraId="1CA6DC70" w14:textId="250E39CC"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hAnsi="Times New Roman" w:cs="Times New Roman"/>
              </w:rPr>
              <w:t>UTI Nifty Exchange Traded Fund</w:t>
            </w:r>
          </w:p>
        </w:tc>
        <w:tc>
          <w:tcPr>
            <w:tcW w:w="691" w:type="dxa"/>
          </w:tcPr>
          <w:p w14:paraId="48636E75" w14:textId="54E64E72"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0.66</w:t>
            </w:r>
          </w:p>
        </w:tc>
        <w:tc>
          <w:tcPr>
            <w:tcW w:w="1163" w:type="dxa"/>
          </w:tcPr>
          <w:p w14:paraId="29915A11" w14:textId="6A625281"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7.297</w:t>
            </w:r>
          </w:p>
        </w:tc>
        <w:tc>
          <w:tcPr>
            <w:tcW w:w="0" w:type="auto"/>
          </w:tcPr>
          <w:p w14:paraId="483916AA" w14:textId="4CAA103E"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12.19</w:t>
            </w:r>
          </w:p>
        </w:tc>
        <w:tc>
          <w:tcPr>
            <w:tcW w:w="1176" w:type="dxa"/>
          </w:tcPr>
          <w:p w14:paraId="51276574" w14:textId="3E39426B"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4.893</w:t>
            </w:r>
          </w:p>
        </w:tc>
        <w:tc>
          <w:tcPr>
            <w:tcW w:w="1430" w:type="dxa"/>
          </w:tcPr>
          <w:p w14:paraId="6F6BE9FB" w14:textId="0E3D9DF6"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High</w:t>
            </w:r>
          </w:p>
        </w:tc>
      </w:tr>
      <w:tr w:rsidR="00CE2CFC" w:rsidRPr="00CE2CFC" w14:paraId="6A95B131" w14:textId="77777777" w:rsidTr="00622AB9">
        <w:tc>
          <w:tcPr>
            <w:tcW w:w="3847" w:type="dxa"/>
          </w:tcPr>
          <w:p w14:paraId="7ACB6178" w14:textId="5A2F582D"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hAnsi="Times New Roman" w:cs="Times New Roman"/>
              </w:rPr>
              <w:t xml:space="preserve">UTI Sensex Exchange Traded Fund </w:t>
            </w:r>
          </w:p>
        </w:tc>
        <w:tc>
          <w:tcPr>
            <w:tcW w:w="691" w:type="dxa"/>
          </w:tcPr>
          <w:p w14:paraId="67672C22" w14:textId="292BED27"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0.98</w:t>
            </w:r>
          </w:p>
        </w:tc>
        <w:tc>
          <w:tcPr>
            <w:tcW w:w="1163" w:type="dxa"/>
          </w:tcPr>
          <w:p w14:paraId="7C14F1C9" w14:textId="52C558DC"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7.0294</w:t>
            </w:r>
          </w:p>
        </w:tc>
        <w:tc>
          <w:tcPr>
            <w:tcW w:w="0" w:type="auto"/>
          </w:tcPr>
          <w:p w14:paraId="4A8C9944" w14:textId="7AF580AE"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12.31</w:t>
            </w:r>
          </w:p>
        </w:tc>
        <w:tc>
          <w:tcPr>
            <w:tcW w:w="1176" w:type="dxa"/>
          </w:tcPr>
          <w:p w14:paraId="0EE09940" w14:textId="0A9AE326"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5.2806</w:t>
            </w:r>
          </w:p>
        </w:tc>
        <w:tc>
          <w:tcPr>
            <w:tcW w:w="1430" w:type="dxa"/>
          </w:tcPr>
          <w:p w14:paraId="5963F408" w14:textId="3C0A8581" w:rsidR="00CE2CFC" w:rsidRPr="00CE2CFC" w:rsidRDefault="00CE2CFC" w:rsidP="00622AB9">
            <w:pPr>
              <w:jc w:val="center"/>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High</w:t>
            </w:r>
          </w:p>
        </w:tc>
      </w:tr>
    </w:tbl>
    <w:p w14:paraId="33C2BFAC" w14:textId="77777777" w:rsidR="00CE2CFC" w:rsidRDefault="00CE2CFC" w:rsidP="00832B77">
      <w:pPr>
        <w:spacing w:after="240" w:line="240" w:lineRule="auto"/>
        <w:jc w:val="both"/>
        <w:rPr>
          <w:rFonts w:ascii="Times New Roman" w:eastAsia="Times New Roman" w:hAnsi="Times New Roman" w:cs="Times New Roman"/>
          <w:kern w:val="0"/>
          <w:lang w:eastAsia="en-IN" w:bidi="ar-SA"/>
          <w14:ligatures w14:val="none"/>
        </w:rPr>
      </w:pPr>
    </w:p>
    <w:p w14:paraId="5A6862F6" w14:textId="77777777" w:rsidR="00CE2CFC" w:rsidRDefault="00CE2CFC" w:rsidP="00CE2CFC">
      <w:pPr>
        <w:spacing w:line="360" w:lineRule="auto"/>
        <w:jc w:val="both"/>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sz w:val="28"/>
          <w:lang w:eastAsia="en-IN" w:bidi="ar-SA"/>
          <w14:ligatures w14:val="none"/>
        </w:rPr>
        <w:t>Interpretation</w:t>
      </w:r>
      <w:r>
        <w:rPr>
          <w:rFonts w:ascii="Times New Roman" w:eastAsia="Times New Roman" w:hAnsi="Times New Roman" w:cs="Times New Roman"/>
          <w:kern w:val="0"/>
          <w:lang w:eastAsia="en-IN" w:bidi="ar-SA"/>
          <w14:ligatures w14:val="none"/>
        </w:rPr>
        <w:t xml:space="preserve">: </w:t>
      </w:r>
    </w:p>
    <w:p w14:paraId="083868F2" w14:textId="77777777" w:rsidR="00CE2CFC" w:rsidRDefault="00CE2CFC" w:rsidP="00CE2CFC">
      <w:pPr>
        <w:spacing w:line="360" w:lineRule="auto"/>
        <w:jc w:val="both"/>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 xml:space="preserve">Beta: </w:t>
      </w:r>
      <w:r w:rsidRPr="00CE2CFC">
        <w:rPr>
          <w:rFonts w:ascii="Times New Roman" w:eastAsia="Times New Roman" w:hAnsi="Times New Roman" w:cs="Times New Roman"/>
          <w:kern w:val="0"/>
          <w:lang w:eastAsia="en-IN" w:bidi="ar-SA"/>
          <w14:ligatures w14:val="none"/>
        </w:rPr>
        <w:t>evaluates the volatility of a fund in comparison to a benchma</w:t>
      </w:r>
      <w:r>
        <w:rPr>
          <w:rFonts w:ascii="Times New Roman" w:eastAsia="Times New Roman" w:hAnsi="Times New Roman" w:cs="Times New Roman"/>
          <w:kern w:val="0"/>
          <w:lang w:eastAsia="en-IN" w:bidi="ar-SA"/>
          <w14:ligatures w14:val="none"/>
        </w:rPr>
        <w:t xml:space="preserve">rk index, usually the Nifty 50. </w:t>
      </w:r>
      <w:r w:rsidRPr="00CE2CFC">
        <w:rPr>
          <w:rFonts w:ascii="Times New Roman" w:eastAsia="Times New Roman" w:hAnsi="Times New Roman" w:cs="Times New Roman"/>
          <w:kern w:val="0"/>
          <w:lang w:eastAsia="en-IN" w:bidi="ar-SA"/>
          <w14:ligatures w14:val="none"/>
        </w:rPr>
        <w:t>A fund that has a beta of 1 tends to move in tandem with the market.</w:t>
      </w:r>
      <w:r w:rsidRPr="00CE2CFC">
        <w:rPr>
          <w:rFonts w:ascii="Times New Roman" w:eastAsia="Times New Roman" w:hAnsi="Times New Roman" w:cs="Times New Roman"/>
          <w:kern w:val="0"/>
          <w:lang w:eastAsia="en-IN" w:bidi="ar-SA"/>
          <w14:ligatures w14:val="none"/>
        </w:rPr>
        <w:br/>
        <w:t>Higher volatility than the market is ind</w:t>
      </w:r>
      <w:r>
        <w:rPr>
          <w:rFonts w:ascii="Times New Roman" w:eastAsia="Times New Roman" w:hAnsi="Times New Roman" w:cs="Times New Roman"/>
          <w:kern w:val="0"/>
          <w:lang w:eastAsia="en-IN" w:bidi="ar-SA"/>
          <w14:ligatures w14:val="none"/>
        </w:rPr>
        <w:t xml:space="preserve">icated by a beta larger than 1. </w:t>
      </w:r>
      <w:r w:rsidRPr="00CE2CFC">
        <w:rPr>
          <w:rFonts w:ascii="Times New Roman" w:eastAsia="Times New Roman" w:hAnsi="Times New Roman" w:cs="Times New Roman"/>
          <w:kern w:val="0"/>
          <w:lang w:eastAsia="en-IN" w:bidi="ar-SA"/>
          <w14:ligatures w14:val="none"/>
        </w:rPr>
        <w:t>Lower volatility is implied by a beta of les</w:t>
      </w:r>
      <w:r>
        <w:rPr>
          <w:rFonts w:ascii="Times New Roman" w:eastAsia="Times New Roman" w:hAnsi="Times New Roman" w:cs="Times New Roman"/>
          <w:kern w:val="0"/>
          <w:lang w:eastAsia="en-IN" w:bidi="ar-SA"/>
          <w14:ligatures w14:val="none"/>
        </w:rPr>
        <w:t xml:space="preserve">s than 1. </w:t>
      </w:r>
    </w:p>
    <w:p w14:paraId="3FAAE4A7" w14:textId="77777777" w:rsidR="00CE2CFC" w:rsidRDefault="00CE2CFC" w:rsidP="00CE2CFC">
      <w:pPr>
        <w:spacing w:line="360" w:lineRule="auto"/>
        <w:jc w:val="both"/>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 xml:space="preserve">Anticipated Returns: </w:t>
      </w:r>
      <w:r w:rsidRPr="00CE2CFC">
        <w:rPr>
          <w:rFonts w:ascii="Times New Roman" w:eastAsia="Times New Roman" w:hAnsi="Times New Roman" w:cs="Times New Roman"/>
          <w:kern w:val="0"/>
          <w:lang w:eastAsia="en-IN" w:bidi="ar-SA"/>
          <w14:ligatures w14:val="none"/>
        </w:rPr>
        <w:t>the fund's anticipated return as determined by past performance and anticipated ma</w:t>
      </w:r>
      <w:r>
        <w:rPr>
          <w:rFonts w:ascii="Times New Roman" w:eastAsia="Times New Roman" w:hAnsi="Times New Roman" w:cs="Times New Roman"/>
          <w:kern w:val="0"/>
          <w:lang w:eastAsia="en-IN" w:bidi="ar-SA"/>
          <w14:ligatures w14:val="none"/>
        </w:rPr>
        <w:t xml:space="preserve">rket conditions. Real Returns: </w:t>
      </w:r>
      <w:r w:rsidRPr="00CE2CFC">
        <w:rPr>
          <w:rFonts w:ascii="Times New Roman" w:eastAsia="Times New Roman" w:hAnsi="Times New Roman" w:cs="Times New Roman"/>
          <w:kern w:val="0"/>
          <w:lang w:eastAsia="en-IN" w:bidi="ar-SA"/>
          <w14:ligatures w14:val="none"/>
        </w:rPr>
        <w:t>the real return that the fund produced during a given time f</w:t>
      </w:r>
      <w:r>
        <w:rPr>
          <w:rFonts w:ascii="Times New Roman" w:eastAsia="Times New Roman" w:hAnsi="Times New Roman" w:cs="Times New Roman"/>
          <w:kern w:val="0"/>
          <w:lang w:eastAsia="en-IN" w:bidi="ar-SA"/>
          <w14:ligatures w14:val="none"/>
        </w:rPr>
        <w:t xml:space="preserve">rame. The degree of volatility </w:t>
      </w:r>
      <w:r w:rsidRPr="00CE2CFC">
        <w:rPr>
          <w:rFonts w:ascii="Times New Roman" w:eastAsia="Times New Roman" w:hAnsi="Times New Roman" w:cs="Times New Roman"/>
          <w:kern w:val="0"/>
          <w:lang w:eastAsia="en-IN" w:bidi="ar-SA"/>
          <w14:ligatures w14:val="none"/>
        </w:rPr>
        <w:t>evaluates how muc</w:t>
      </w:r>
      <w:r>
        <w:rPr>
          <w:rFonts w:ascii="Times New Roman" w:eastAsia="Times New Roman" w:hAnsi="Times New Roman" w:cs="Times New Roman"/>
          <w:kern w:val="0"/>
          <w:lang w:eastAsia="en-IN" w:bidi="ar-SA"/>
          <w14:ligatures w14:val="none"/>
        </w:rPr>
        <w:t xml:space="preserve">h the fund's returns fluctuate. </w:t>
      </w:r>
      <w:r w:rsidRPr="00CE2CFC">
        <w:rPr>
          <w:rFonts w:ascii="Times New Roman" w:eastAsia="Times New Roman" w:hAnsi="Times New Roman" w:cs="Times New Roman"/>
          <w:kern w:val="0"/>
          <w:lang w:eastAsia="en-IN" w:bidi="ar-SA"/>
          <w14:ligatures w14:val="none"/>
        </w:rPr>
        <w:t>Greater price swings are indicated by hi</w:t>
      </w:r>
      <w:r>
        <w:rPr>
          <w:rFonts w:ascii="Times New Roman" w:eastAsia="Times New Roman" w:hAnsi="Times New Roman" w:cs="Times New Roman"/>
          <w:kern w:val="0"/>
          <w:lang w:eastAsia="en-IN" w:bidi="ar-SA"/>
          <w14:ligatures w14:val="none"/>
        </w:rPr>
        <w:t>gher volatility. Outcome: A</w:t>
      </w:r>
      <w:r w:rsidRPr="00CE2CFC">
        <w:rPr>
          <w:rFonts w:ascii="Times New Roman" w:eastAsia="Times New Roman" w:hAnsi="Times New Roman" w:cs="Times New Roman"/>
          <w:kern w:val="0"/>
          <w:lang w:eastAsia="en-IN" w:bidi="ar-SA"/>
          <w14:ligatures w14:val="none"/>
        </w:rPr>
        <w:t xml:space="preserve"> qualitative evaluation based on volatility and</w:t>
      </w:r>
      <w:r>
        <w:rPr>
          <w:rFonts w:ascii="Times New Roman" w:eastAsia="Times New Roman" w:hAnsi="Times New Roman" w:cs="Times New Roman"/>
          <w:kern w:val="0"/>
          <w:lang w:eastAsia="en-IN" w:bidi="ar-SA"/>
          <w14:ligatures w14:val="none"/>
        </w:rPr>
        <w:t xml:space="preserve"> real return. </w:t>
      </w:r>
    </w:p>
    <w:p w14:paraId="5B1F4B56" w14:textId="77777777" w:rsidR="00CE2CFC" w:rsidRDefault="00CE2CFC" w:rsidP="00CE2CFC">
      <w:pPr>
        <w:spacing w:line="360" w:lineRule="auto"/>
        <w:jc w:val="both"/>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 xml:space="preserve">Funds with High Volatility: </w:t>
      </w:r>
      <w:r w:rsidRPr="00CE2CFC">
        <w:rPr>
          <w:rFonts w:ascii="Times New Roman" w:eastAsia="Times New Roman" w:hAnsi="Times New Roman" w:cs="Times New Roman"/>
          <w:kern w:val="0"/>
          <w:lang w:eastAsia="en-IN" w:bidi="ar-SA"/>
          <w14:ligatures w14:val="none"/>
        </w:rPr>
        <w:t xml:space="preserve">Birla Aditya Sun Life funds: These funds have demonstrated outstanding stock-picking skills by continuously outperforming their predicted returns. But </w:t>
      </w:r>
      <w:r>
        <w:rPr>
          <w:rFonts w:ascii="Times New Roman" w:eastAsia="Times New Roman" w:hAnsi="Times New Roman" w:cs="Times New Roman"/>
          <w:kern w:val="0"/>
          <w:lang w:eastAsia="en-IN" w:bidi="ar-SA"/>
          <w14:ligatures w14:val="none"/>
        </w:rPr>
        <w:t>a</w:t>
      </w:r>
      <w:r w:rsidRPr="00CE2CFC">
        <w:rPr>
          <w:rFonts w:ascii="Times New Roman" w:eastAsia="Times New Roman" w:hAnsi="Times New Roman" w:cs="Times New Roman"/>
          <w:kern w:val="0"/>
          <w:lang w:eastAsia="en-IN" w:bidi="ar-SA"/>
          <w14:ligatures w14:val="none"/>
        </w:rPr>
        <w:t xml:space="preserve">lthough ICICI Prudential funds have also produced returns that are higher than anticipated, they are a little less hazardous choice due to their reduced volatility when </w:t>
      </w:r>
      <w:r>
        <w:rPr>
          <w:rFonts w:ascii="Times New Roman" w:eastAsia="Times New Roman" w:hAnsi="Times New Roman" w:cs="Times New Roman"/>
          <w:kern w:val="0"/>
          <w:lang w:eastAsia="en-IN" w:bidi="ar-SA"/>
          <w14:ligatures w14:val="none"/>
        </w:rPr>
        <w:t xml:space="preserve">compared to Aditya Birla funds. </w:t>
      </w:r>
      <w:r w:rsidRPr="00CE2CFC">
        <w:rPr>
          <w:rFonts w:ascii="Times New Roman" w:eastAsia="Times New Roman" w:hAnsi="Times New Roman" w:cs="Times New Roman"/>
          <w:kern w:val="0"/>
          <w:lang w:eastAsia="en-IN" w:bidi="ar-SA"/>
          <w14:ligatures w14:val="none"/>
        </w:rPr>
        <w:t>Although the gains from the SBI ETF, Nifty Next 50 Fund, and UTI ETFs have exceeded expectations, their high volatility points to the possibility of large price swings</w:t>
      </w:r>
      <w:r>
        <w:rPr>
          <w:rFonts w:ascii="Times New Roman" w:eastAsia="Times New Roman" w:hAnsi="Times New Roman" w:cs="Times New Roman"/>
          <w:kern w:val="0"/>
          <w:lang w:eastAsia="en-IN" w:bidi="ar-SA"/>
          <w14:ligatures w14:val="none"/>
        </w:rPr>
        <w:t xml:space="preserve">. </w:t>
      </w:r>
    </w:p>
    <w:p w14:paraId="0E7E27B3" w14:textId="77777777" w:rsidR="00CE2CFC" w:rsidRDefault="00CE2CFC" w:rsidP="00CE2CFC">
      <w:pPr>
        <w:spacing w:line="360" w:lineRule="auto"/>
        <w:jc w:val="both"/>
        <w:rPr>
          <w:rFonts w:ascii="Times New Roman" w:eastAsia="Times New Roman" w:hAnsi="Times New Roman" w:cs="Times New Roman"/>
          <w:kern w:val="0"/>
          <w:lang w:eastAsia="en-IN" w:bidi="ar-SA"/>
          <w14:ligatures w14:val="none"/>
        </w:rPr>
      </w:pPr>
      <w:r>
        <w:rPr>
          <w:rFonts w:ascii="Times New Roman" w:eastAsia="Times New Roman" w:hAnsi="Times New Roman" w:cs="Times New Roman"/>
          <w:kern w:val="0"/>
          <w:lang w:eastAsia="en-IN" w:bidi="ar-SA"/>
          <w14:ligatures w14:val="none"/>
        </w:rPr>
        <w:t xml:space="preserve">Funds with Lower Volatility: </w:t>
      </w:r>
      <w:r w:rsidRPr="00CE2CFC">
        <w:rPr>
          <w:rFonts w:ascii="Times New Roman" w:eastAsia="Times New Roman" w:hAnsi="Times New Roman" w:cs="Times New Roman"/>
          <w:kern w:val="0"/>
          <w:lang w:eastAsia="en-IN" w:bidi="ar-SA"/>
          <w14:ligatures w14:val="none"/>
        </w:rPr>
        <w:t>The underperformance of the SBI Blue-chip Fund indicates that its stock-picking method hasn't been as successful as anticipated. Nonetheless, it is a comparatively safer ch</w:t>
      </w:r>
      <w:r>
        <w:rPr>
          <w:rFonts w:ascii="Times New Roman" w:eastAsia="Times New Roman" w:hAnsi="Times New Roman" w:cs="Times New Roman"/>
          <w:kern w:val="0"/>
          <w:lang w:eastAsia="en-IN" w:bidi="ar-SA"/>
          <w14:ligatures w14:val="none"/>
        </w:rPr>
        <w:t xml:space="preserve">oice due to its low volatility. </w:t>
      </w:r>
    </w:p>
    <w:p w14:paraId="5E547F42" w14:textId="18C5C656" w:rsidR="00CE2CFC" w:rsidRDefault="00CE2CFC" w:rsidP="00CE2CFC">
      <w:pPr>
        <w:spacing w:line="360" w:lineRule="auto"/>
        <w:jc w:val="both"/>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SBI Large &amp; Midcap Fund: This fund has produced returns that are almost in line with expectations, but its average volatility points to a risk-return profile that is balanced.</w:t>
      </w:r>
    </w:p>
    <w:p w14:paraId="538C1BA9" w14:textId="77777777" w:rsidR="00AE0575" w:rsidRDefault="00AE0575" w:rsidP="00CE2CFC">
      <w:pPr>
        <w:spacing w:line="360" w:lineRule="auto"/>
        <w:rPr>
          <w:rFonts w:ascii="Times New Roman" w:eastAsia="Times New Roman" w:hAnsi="Times New Roman" w:cs="Times New Roman"/>
          <w:b/>
          <w:kern w:val="0"/>
          <w:sz w:val="28"/>
          <w:lang w:eastAsia="en-IN" w:bidi="ar-SA"/>
          <w14:ligatures w14:val="none"/>
        </w:rPr>
      </w:pPr>
    </w:p>
    <w:p w14:paraId="410E1017" w14:textId="77777777" w:rsidR="00AE0575" w:rsidRDefault="00AE0575" w:rsidP="00CE2CFC">
      <w:pPr>
        <w:spacing w:line="360" w:lineRule="auto"/>
        <w:rPr>
          <w:rFonts w:ascii="Times New Roman" w:eastAsia="Times New Roman" w:hAnsi="Times New Roman" w:cs="Times New Roman"/>
          <w:b/>
          <w:kern w:val="0"/>
          <w:sz w:val="28"/>
          <w:lang w:eastAsia="en-IN" w:bidi="ar-SA"/>
          <w14:ligatures w14:val="none"/>
        </w:rPr>
      </w:pPr>
    </w:p>
    <w:p w14:paraId="6287CADB" w14:textId="797D3648" w:rsidR="00CE2CFC" w:rsidRDefault="00CE2CFC" w:rsidP="00CE2CFC">
      <w:pPr>
        <w:spacing w:line="360" w:lineRule="auto"/>
        <w:rPr>
          <w:rFonts w:ascii="Times New Roman" w:eastAsia="Times New Roman" w:hAnsi="Times New Roman" w:cs="Times New Roman"/>
          <w:b/>
          <w:kern w:val="0"/>
          <w:sz w:val="28"/>
          <w:lang w:eastAsia="en-IN" w:bidi="ar-SA"/>
          <w14:ligatures w14:val="none"/>
        </w:rPr>
      </w:pPr>
      <w:r w:rsidRPr="00CE2CFC">
        <w:rPr>
          <w:rFonts w:ascii="Times New Roman" w:eastAsia="Times New Roman" w:hAnsi="Times New Roman" w:cs="Times New Roman"/>
          <w:b/>
          <w:kern w:val="0"/>
          <w:sz w:val="28"/>
          <w:lang w:eastAsia="en-IN" w:bidi="ar-SA"/>
          <w14:ligatures w14:val="none"/>
        </w:rPr>
        <w:lastRenderedPageBreak/>
        <w:t>Conclusion</w:t>
      </w:r>
      <w:r>
        <w:rPr>
          <w:rFonts w:ascii="Times New Roman" w:eastAsia="Times New Roman" w:hAnsi="Times New Roman" w:cs="Times New Roman"/>
          <w:b/>
          <w:kern w:val="0"/>
          <w:sz w:val="28"/>
          <w:lang w:eastAsia="en-IN" w:bidi="ar-SA"/>
          <w14:ligatures w14:val="none"/>
        </w:rPr>
        <w:t>:</w:t>
      </w:r>
    </w:p>
    <w:p w14:paraId="00179B01" w14:textId="5641665F" w:rsidR="00CE2CFC" w:rsidRPr="00CE2CFC" w:rsidRDefault="00CE2CFC" w:rsidP="00CE2CFC">
      <w:pPr>
        <w:spacing w:after="0" w:line="360" w:lineRule="auto"/>
        <w:jc w:val="both"/>
        <w:rPr>
          <w:rFonts w:ascii="Times New Roman" w:eastAsia="Times New Roman" w:hAnsi="Times New Roman" w:cs="Times New Roman"/>
          <w:kern w:val="0"/>
          <w:lang w:eastAsia="en-IN" w:bidi="ar-SA"/>
          <w14:ligatures w14:val="none"/>
        </w:rPr>
      </w:pPr>
      <w:r w:rsidRPr="00CE2CFC">
        <w:rPr>
          <w:rFonts w:ascii="Times New Roman" w:eastAsia="Times New Roman" w:hAnsi="Times New Roman" w:cs="Times New Roman"/>
          <w:kern w:val="0"/>
          <w:lang w:eastAsia="en-IN" w:bidi="ar-SA"/>
          <w14:ligatures w14:val="none"/>
        </w:rPr>
        <w:t xml:space="preserve">Using CAPM, the study examined the performance of equity-based mutual fund schemes in India. Companies in the private sector have outperformed those in the public sector, according to a five-year data review. While ABSL and ICICI have had the greatest performances compared to others.  Every one of ABSL's seven mutual fund schemes has outperformed.  </w:t>
      </w:r>
      <w:r w:rsidRPr="00CE2CFC">
        <w:rPr>
          <w:rFonts w:ascii="Times New Roman" w:hAnsi="Times New Roman" w:cs="Times New Roman"/>
        </w:rPr>
        <w:t>Understanding</w:t>
      </w:r>
      <w:r w:rsidRPr="00CE2CFC">
        <w:rPr>
          <w:rFonts w:ascii="Times New Roman" w:hAnsi="Times New Roman" w:cs="Times New Roman"/>
        </w:rPr>
        <w:t xml:space="preserve"> a fund’s volatility and anticipated returns is crucial for informed investment decisions. Funds with higher volatility, such as Birla Aditya Sun Life Funds, offer the potential for significant returns but also carry higher risk. Conversely, funds with lower volatility, like SBI Blue-chip Fund, provide a more stable investment option, although with potentially lower returns. By carefully considering individual risk tolerance and investment goals, investors can select funds that align with their specific needs. Diversification across various asset classes and funds can further help mitigate risk and optimize returns.</w:t>
      </w:r>
    </w:p>
    <w:p w14:paraId="24A217D5" w14:textId="7B2DCAC1" w:rsidR="00CE2CFC" w:rsidRDefault="00AE0575" w:rsidP="00CE2CFC">
      <w:pPr>
        <w:spacing w:after="0" w:line="240" w:lineRule="auto"/>
        <w:jc w:val="both"/>
        <w:rPr>
          <w:rFonts w:ascii="Times New Roman" w:eastAsia="Times New Roman" w:hAnsi="Times New Roman" w:cs="Times New Roman"/>
          <w:b/>
          <w:kern w:val="0"/>
          <w:sz w:val="28"/>
          <w:lang w:eastAsia="en-IN" w:bidi="ar-SA"/>
          <w14:ligatures w14:val="none"/>
        </w:rPr>
      </w:pPr>
      <w:r w:rsidRPr="00AE0575">
        <w:rPr>
          <w:rFonts w:ascii="Times New Roman" w:eastAsia="Times New Roman" w:hAnsi="Times New Roman" w:cs="Times New Roman"/>
          <w:b/>
          <w:kern w:val="0"/>
          <w:sz w:val="28"/>
          <w:lang w:eastAsia="en-IN" w:bidi="ar-SA"/>
          <w14:ligatures w14:val="none"/>
        </w:rPr>
        <w:t>Reference</w:t>
      </w:r>
      <w:r>
        <w:rPr>
          <w:rFonts w:ascii="Times New Roman" w:eastAsia="Times New Roman" w:hAnsi="Times New Roman" w:cs="Times New Roman"/>
          <w:b/>
          <w:kern w:val="0"/>
          <w:sz w:val="28"/>
          <w:lang w:eastAsia="en-IN" w:bidi="ar-SA"/>
          <w14:ligatures w14:val="none"/>
        </w:rPr>
        <w:t>:</w:t>
      </w:r>
    </w:p>
    <w:p w14:paraId="550BB3C6" w14:textId="4910C323" w:rsidR="00AE0575" w:rsidRPr="00AE0575" w:rsidRDefault="00AE0575" w:rsidP="00AE0575">
      <w:pPr>
        <w:pStyle w:val="ListParagraph"/>
        <w:numPr>
          <w:ilvl w:val="0"/>
          <w:numId w:val="4"/>
        </w:numPr>
        <w:jc w:val="both"/>
        <w:rPr>
          <w:rFonts w:ascii="Times New Roman" w:hAnsi="Times New Roman" w:cs="Times New Roman"/>
        </w:rPr>
      </w:pPr>
      <w:proofErr w:type="spellStart"/>
      <w:r w:rsidRPr="00AE0575">
        <w:rPr>
          <w:rFonts w:ascii="Times New Roman" w:hAnsi="Times New Roman" w:cs="Times New Roman"/>
        </w:rPr>
        <w:t>Sankaran</w:t>
      </w:r>
      <w:proofErr w:type="spellEnd"/>
      <w:r w:rsidRPr="00AE0575">
        <w:rPr>
          <w:rFonts w:ascii="Times New Roman" w:hAnsi="Times New Roman" w:cs="Times New Roman"/>
        </w:rPr>
        <w:t xml:space="preserve">, S. (2019). Indian MFs handbook. A guide for industry professionals and intelligent investors. (2nd </w:t>
      </w:r>
      <w:proofErr w:type="gramStart"/>
      <w:r w:rsidRPr="00AE0575">
        <w:rPr>
          <w:rFonts w:ascii="Times New Roman" w:hAnsi="Times New Roman" w:cs="Times New Roman"/>
        </w:rPr>
        <w:t>ed</w:t>
      </w:r>
      <w:proofErr w:type="gramEnd"/>
      <w:r w:rsidRPr="00AE0575">
        <w:rPr>
          <w:rFonts w:ascii="Times New Roman" w:hAnsi="Times New Roman" w:cs="Times New Roman"/>
        </w:rPr>
        <w:t xml:space="preserve">.). </w:t>
      </w:r>
      <w:proofErr w:type="gramStart"/>
      <w:r w:rsidRPr="00AE0575">
        <w:rPr>
          <w:rFonts w:ascii="Times New Roman" w:hAnsi="Times New Roman" w:cs="Times New Roman"/>
        </w:rPr>
        <w:t>and</w:t>
      </w:r>
      <w:proofErr w:type="gramEnd"/>
      <w:r w:rsidRPr="00AE0575">
        <w:rPr>
          <w:rFonts w:ascii="Times New Roman" w:hAnsi="Times New Roman" w:cs="Times New Roman"/>
        </w:rPr>
        <w:t xml:space="preserve"> (3rd Revised ed.), pp. 41. </w:t>
      </w:r>
    </w:p>
    <w:p w14:paraId="4C4FEB55" w14:textId="0EE7C795" w:rsidR="00AE0575" w:rsidRPr="00AE0575" w:rsidRDefault="00AE0575" w:rsidP="00AE0575">
      <w:pPr>
        <w:pStyle w:val="ListParagraph"/>
        <w:numPr>
          <w:ilvl w:val="0"/>
          <w:numId w:val="4"/>
        </w:numPr>
        <w:jc w:val="both"/>
        <w:rPr>
          <w:rFonts w:ascii="Times New Roman" w:hAnsi="Times New Roman" w:cs="Times New Roman"/>
        </w:rPr>
      </w:pPr>
      <w:r w:rsidRPr="00AE0575">
        <w:rPr>
          <w:rFonts w:ascii="Times New Roman" w:hAnsi="Times New Roman" w:cs="Times New Roman"/>
        </w:rPr>
        <w:t xml:space="preserve">Graham, Benjamin, &amp; Luke Daniels. (2015). </w:t>
      </w:r>
      <w:proofErr w:type="gramStart"/>
      <w:r w:rsidRPr="00AE0575">
        <w:rPr>
          <w:rFonts w:ascii="Times New Roman" w:hAnsi="Times New Roman" w:cs="Times New Roman"/>
        </w:rPr>
        <w:t>The</w:t>
      </w:r>
      <w:proofErr w:type="gramEnd"/>
      <w:r w:rsidRPr="00AE0575">
        <w:rPr>
          <w:rFonts w:ascii="Times New Roman" w:hAnsi="Times New Roman" w:cs="Times New Roman"/>
        </w:rPr>
        <w:t xml:space="preserve"> intelligent investor. (Rev. </w:t>
      </w:r>
      <w:proofErr w:type="gramStart"/>
      <w:r w:rsidRPr="00AE0575">
        <w:rPr>
          <w:rFonts w:ascii="Times New Roman" w:hAnsi="Times New Roman" w:cs="Times New Roman"/>
        </w:rPr>
        <w:t>ed</w:t>
      </w:r>
      <w:proofErr w:type="gramEnd"/>
      <w:r w:rsidRPr="00AE0575">
        <w:rPr>
          <w:rFonts w:ascii="Times New Roman" w:hAnsi="Times New Roman" w:cs="Times New Roman"/>
        </w:rPr>
        <w:t>.). HarperCollins.</w:t>
      </w:r>
    </w:p>
    <w:p w14:paraId="40522BFF" w14:textId="3CF59A49" w:rsidR="00AE0575" w:rsidRPr="00AE0575" w:rsidRDefault="00AE0575" w:rsidP="00AE0575">
      <w:pPr>
        <w:pStyle w:val="ListParagraph"/>
        <w:numPr>
          <w:ilvl w:val="0"/>
          <w:numId w:val="4"/>
        </w:numPr>
        <w:jc w:val="both"/>
        <w:rPr>
          <w:rFonts w:ascii="Times New Roman" w:hAnsi="Times New Roman" w:cs="Times New Roman"/>
        </w:rPr>
      </w:pPr>
      <w:proofErr w:type="spellStart"/>
      <w:r w:rsidRPr="00AE0575">
        <w:rPr>
          <w:rFonts w:ascii="Times New Roman" w:hAnsi="Times New Roman" w:cs="Times New Roman"/>
        </w:rPr>
        <w:t>Alwi</w:t>
      </w:r>
      <w:proofErr w:type="spellEnd"/>
      <w:r w:rsidRPr="00AE0575">
        <w:rPr>
          <w:rFonts w:ascii="Times New Roman" w:hAnsi="Times New Roman" w:cs="Times New Roman"/>
        </w:rPr>
        <w:t xml:space="preserve">, S., Ahmad, R., </w:t>
      </w:r>
      <w:proofErr w:type="spellStart"/>
      <w:r w:rsidRPr="00AE0575">
        <w:rPr>
          <w:rFonts w:ascii="Times New Roman" w:hAnsi="Times New Roman" w:cs="Times New Roman"/>
        </w:rPr>
        <w:t>Hashim</w:t>
      </w:r>
      <w:proofErr w:type="spellEnd"/>
      <w:r w:rsidRPr="00AE0575">
        <w:rPr>
          <w:rFonts w:ascii="Times New Roman" w:hAnsi="Times New Roman" w:cs="Times New Roman"/>
        </w:rPr>
        <w:t xml:space="preserve">, I. Z. A., &amp; </w:t>
      </w:r>
      <w:proofErr w:type="spellStart"/>
      <w:r w:rsidRPr="00AE0575">
        <w:rPr>
          <w:rFonts w:ascii="Times New Roman" w:hAnsi="Times New Roman" w:cs="Times New Roman"/>
        </w:rPr>
        <w:t>Naim</w:t>
      </w:r>
      <w:proofErr w:type="spellEnd"/>
      <w:r w:rsidRPr="00AE0575">
        <w:rPr>
          <w:rFonts w:ascii="Times New Roman" w:hAnsi="Times New Roman" w:cs="Times New Roman"/>
        </w:rPr>
        <w:t xml:space="preserve">, N. M. (2019). Investigating the Islamic and conventional MF performance: Evidence from Malaysia equity market. Journal of Modern Accounting and Auditing, 15(7), 371-384. </w:t>
      </w:r>
    </w:p>
    <w:p w14:paraId="50266ECD" w14:textId="2A8C68AD" w:rsidR="00AE0575" w:rsidRPr="00AE0575" w:rsidRDefault="00AE0575" w:rsidP="00AE0575">
      <w:pPr>
        <w:pStyle w:val="ListParagraph"/>
        <w:numPr>
          <w:ilvl w:val="0"/>
          <w:numId w:val="4"/>
        </w:numPr>
        <w:jc w:val="both"/>
        <w:rPr>
          <w:rFonts w:ascii="Times New Roman" w:hAnsi="Times New Roman" w:cs="Times New Roman"/>
        </w:rPr>
      </w:pPr>
      <w:r w:rsidRPr="00AE0575">
        <w:rPr>
          <w:rFonts w:ascii="Times New Roman" w:hAnsi="Times New Roman" w:cs="Times New Roman"/>
        </w:rPr>
        <w:t xml:space="preserve">Mirza, N., </w:t>
      </w:r>
      <w:proofErr w:type="spellStart"/>
      <w:r w:rsidRPr="00AE0575">
        <w:rPr>
          <w:rFonts w:ascii="Times New Roman" w:hAnsi="Times New Roman" w:cs="Times New Roman"/>
        </w:rPr>
        <w:t>Hasnaoui</w:t>
      </w:r>
      <w:proofErr w:type="spellEnd"/>
      <w:r w:rsidRPr="00AE0575">
        <w:rPr>
          <w:rFonts w:ascii="Times New Roman" w:hAnsi="Times New Roman" w:cs="Times New Roman"/>
        </w:rPr>
        <w:t xml:space="preserve">, J. A., Naqvi, B., &amp; Rizvi, S. K. A. (2020). The impact of human capital efficiency on Latin American MFs during covid-19 outbreak. Swiss Journal of Economics and Statistics, 156(1), 1-7. </w:t>
      </w:r>
    </w:p>
    <w:p w14:paraId="53CF9625" w14:textId="0F48FCB3" w:rsidR="00AE0575" w:rsidRPr="00AE0575" w:rsidRDefault="00AE0575" w:rsidP="00AE0575">
      <w:pPr>
        <w:pStyle w:val="ListParagraph"/>
        <w:numPr>
          <w:ilvl w:val="0"/>
          <w:numId w:val="4"/>
        </w:numPr>
        <w:jc w:val="both"/>
        <w:rPr>
          <w:rFonts w:ascii="Times New Roman" w:hAnsi="Times New Roman" w:cs="Times New Roman"/>
        </w:rPr>
      </w:pPr>
      <w:r w:rsidRPr="00AE0575">
        <w:rPr>
          <w:rFonts w:ascii="Times New Roman" w:hAnsi="Times New Roman" w:cs="Times New Roman"/>
        </w:rPr>
        <w:t xml:space="preserve">Xia, Y. (2021). Real-time predictability of MF performance predictors. Available at: SSRN 3876180. </w:t>
      </w:r>
    </w:p>
    <w:p w14:paraId="250C1801" w14:textId="5850B8D3" w:rsidR="00AE0575" w:rsidRPr="00AE0575" w:rsidRDefault="00AE0575" w:rsidP="00AE0575">
      <w:pPr>
        <w:pStyle w:val="ListParagraph"/>
        <w:numPr>
          <w:ilvl w:val="0"/>
          <w:numId w:val="4"/>
        </w:numPr>
        <w:jc w:val="both"/>
        <w:rPr>
          <w:rFonts w:ascii="Times New Roman" w:hAnsi="Times New Roman" w:cs="Times New Roman"/>
        </w:rPr>
      </w:pPr>
      <w:proofErr w:type="spellStart"/>
      <w:r w:rsidRPr="00AE0575">
        <w:rPr>
          <w:rFonts w:ascii="Times New Roman" w:hAnsi="Times New Roman" w:cs="Times New Roman"/>
        </w:rPr>
        <w:t>Bandono</w:t>
      </w:r>
      <w:proofErr w:type="spellEnd"/>
      <w:r w:rsidRPr="00AE0575">
        <w:rPr>
          <w:rFonts w:ascii="Times New Roman" w:hAnsi="Times New Roman" w:cs="Times New Roman"/>
        </w:rPr>
        <w:t xml:space="preserve">, B., </w:t>
      </w:r>
      <w:proofErr w:type="spellStart"/>
      <w:r w:rsidRPr="00AE0575">
        <w:rPr>
          <w:rFonts w:ascii="Times New Roman" w:hAnsi="Times New Roman" w:cs="Times New Roman"/>
        </w:rPr>
        <w:t>Pasaribu</w:t>
      </w:r>
      <w:proofErr w:type="spellEnd"/>
      <w:r w:rsidRPr="00AE0575">
        <w:rPr>
          <w:rFonts w:ascii="Times New Roman" w:hAnsi="Times New Roman" w:cs="Times New Roman"/>
        </w:rPr>
        <w:t xml:space="preserve">, S. H., </w:t>
      </w:r>
      <w:proofErr w:type="spellStart"/>
      <w:r w:rsidRPr="00AE0575">
        <w:rPr>
          <w:rFonts w:ascii="Times New Roman" w:hAnsi="Times New Roman" w:cs="Times New Roman"/>
        </w:rPr>
        <w:t>Nuryartono</w:t>
      </w:r>
      <w:proofErr w:type="spellEnd"/>
      <w:r w:rsidRPr="00AE0575">
        <w:rPr>
          <w:rFonts w:ascii="Times New Roman" w:hAnsi="Times New Roman" w:cs="Times New Roman"/>
        </w:rPr>
        <w:t xml:space="preserve">, N., </w:t>
      </w:r>
      <w:proofErr w:type="spellStart"/>
      <w:r w:rsidRPr="00AE0575">
        <w:rPr>
          <w:rFonts w:ascii="Times New Roman" w:hAnsi="Times New Roman" w:cs="Times New Roman"/>
        </w:rPr>
        <w:t>Fariyanti</w:t>
      </w:r>
      <w:proofErr w:type="spellEnd"/>
      <w:r w:rsidRPr="00AE0575">
        <w:rPr>
          <w:rFonts w:ascii="Times New Roman" w:hAnsi="Times New Roman" w:cs="Times New Roman"/>
        </w:rPr>
        <w:t xml:space="preserve">, A., </w:t>
      </w:r>
      <w:proofErr w:type="spellStart"/>
      <w:r w:rsidRPr="00AE0575">
        <w:rPr>
          <w:rFonts w:ascii="Times New Roman" w:hAnsi="Times New Roman" w:cs="Times New Roman"/>
        </w:rPr>
        <w:t>Yusdianto</w:t>
      </w:r>
      <w:proofErr w:type="spellEnd"/>
      <w:r w:rsidRPr="00AE0575">
        <w:rPr>
          <w:rFonts w:ascii="Times New Roman" w:hAnsi="Times New Roman" w:cs="Times New Roman"/>
        </w:rPr>
        <w:t xml:space="preserve">, S., </w:t>
      </w:r>
      <w:proofErr w:type="spellStart"/>
      <w:r w:rsidRPr="00AE0575">
        <w:rPr>
          <w:rFonts w:ascii="Times New Roman" w:hAnsi="Times New Roman" w:cs="Times New Roman"/>
        </w:rPr>
        <w:t>Anggraenie</w:t>
      </w:r>
      <w:proofErr w:type="spellEnd"/>
      <w:r w:rsidRPr="00AE0575">
        <w:rPr>
          <w:rFonts w:ascii="Times New Roman" w:hAnsi="Times New Roman" w:cs="Times New Roman"/>
        </w:rPr>
        <w:t xml:space="preserve">, T., &amp; </w:t>
      </w:r>
      <w:proofErr w:type="spellStart"/>
      <w:r w:rsidRPr="00AE0575">
        <w:rPr>
          <w:rFonts w:ascii="Times New Roman" w:hAnsi="Times New Roman" w:cs="Times New Roman"/>
        </w:rPr>
        <w:t>Ardiyanti</w:t>
      </w:r>
      <w:proofErr w:type="spellEnd"/>
      <w:r w:rsidRPr="00AE0575">
        <w:rPr>
          <w:rFonts w:ascii="Times New Roman" w:hAnsi="Times New Roman" w:cs="Times New Roman"/>
        </w:rPr>
        <w:t xml:space="preserve">, H. (2020). The impacts of general MFs and macroeconomic factors on the performance of an infrastructure oriented MF in Indonesia. Jakarta: </w:t>
      </w:r>
      <w:proofErr w:type="spellStart"/>
      <w:r w:rsidRPr="00AE0575">
        <w:rPr>
          <w:rFonts w:ascii="Times New Roman" w:hAnsi="Times New Roman" w:cs="Times New Roman"/>
        </w:rPr>
        <w:t>Otoritas</w:t>
      </w:r>
      <w:proofErr w:type="spellEnd"/>
      <w:r w:rsidRPr="00AE0575">
        <w:rPr>
          <w:rFonts w:ascii="Times New Roman" w:hAnsi="Times New Roman" w:cs="Times New Roman"/>
        </w:rPr>
        <w:t xml:space="preserve"> </w:t>
      </w:r>
      <w:proofErr w:type="spellStart"/>
      <w:r w:rsidRPr="00AE0575">
        <w:rPr>
          <w:rFonts w:ascii="Times New Roman" w:hAnsi="Times New Roman" w:cs="Times New Roman"/>
        </w:rPr>
        <w:t>Jasa</w:t>
      </w:r>
      <w:proofErr w:type="spellEnd"/>
      <w:r w:rsidRPr="00AE0575">
        <w:rPr>
          <w:rFonts w:ascii="Times New Roman" w:hAnsi="Times New Roman" w:cs="Times New Roman"/>
        </w:rPr>
        <w:t xml:space="preserve"> </w:t>
      </w:r>
      <w:proofErr w:type="spellStart"/>
      <w:r w:rsidRPr="00AE0575">
        <w:rPr>
          <w:rFonts w:ascii="Times New Roman" w:hAnsi="Times New Roman" w:cs="Times New Roman"/>
        </w:rPr>
        <w:t>Keuangan</w:t>
      </w:r>
      <w:proofErr w:type="spellEnd"/>
      <w:r w:rsidRPr="00AE0575">
        <w:rPr>
          <w:rFonts w:ascii="Times New Roman" w:hAnsi="Times New Roman" w:cs="Times New Roman"/>
        </w:rPr>
        <w:t xml:space="preserve"> (OJK). </w:t>
      </w:r>
    </w:p>
    <w:p w14:paraId="44E863E5" w14:textId="457947A4" w:rsidR="00AE0575" w:rsidRPr="00AE0575" w:rsidRDefault="00AE0575" w:rsidP="00AE0575">
      <w:pPr>
        <w:pStyle w:val="ListParagraph"/>
        <w:numPr>
          <w:ilvl w:val="0"/>
          <w:numId w:val="4"/>
        </w:numPr>
        <w:jc w:val="both"/>
        <w:rPr>
          <w:rFonts w:ascii="Times New Roman" w:hAnsi="Times New Roman" w:cs="Times New Roman"/>
        </w:rPr>
      </w:pPr>
      <w:proofErr w:type="spellStart"/>
      <w:r w:rsidRPr="00AE0575">
        <w:rPr>
          <w:rFonts w:ascii="Times New Roman" w:hAnsi="Times New Roman" w:cs="Times New Roman"/>
        </w:rPr>
        <w:t>Wermers</w:t>
      </w:r>
      <w:proofErr w:type="spellEnd"/>
      <w:r w:rsidRPr="00AE0575">
        <w:rPr>
          <w:rFonts w:ascii="Times New Roman" w:hAnsi="Times New Roman" w:cs="Times New Roman"/>
        </w:rPr>
        <w:t xml:space="preserve">, R. (2001). The potential effects of more frequent portfolio disclosure on MF performance. Perspective, 7(3), 1-11. </w:t>
      </w:r>
    </w:p>
    <w:p w14:paraId="05DFCA68" w14:textId="369A9B42" w:rsidR="00AE0575" w:rsidRPr="00AE0575" w:rsidRDefault="00AE0575" w:rsidP="00AE0575">
      <w:pPr>
        <w:pStyle w:val="ListParagraph"/>
        <w:numPr>
          <w:ilvl w:val="0"/>
          <w:numId w:val="4"/>
        </w:numPr>
        <w:jc w:val="both"/>
        <w:rPr>
          <w:rFonts w:ascii="Times New Roman" w:hAnsi="Times New Roman" w:cs="Times New Roman"/>
        </w:rPr>
      </w:pPr>
      <w:r w:rsidRPr="00AE0575">
        <w:rPr>
          <w:rFonts w:ascii="Times New Roman" w:hAnsi="Times New Roman" w:cs="Times New Roman"/>
        </w:rPr>
        <w:t xml:space="preserve">Redman, A. L., </w:t>
      </w:r>
      <w:proofErr w:type="spellStart"/>
      <w:r w:rsidRPr="00AE0575">
        <w:rPr>
          <w:rFonts w:ascii="Times New Roman" w:hAnsi="Times New Roman" w:cs="Times New Roman"/>
        </w:rPr>
        <w:t>Gullett</w:t>
      </w:r>
      <w:proofErr w:type="spellEnd"/>
      <w:r w:rsidRPr="00AE0575">
        <w:rPr>
          <w:rFonts w:ascii="Times New Roman" w:hAnsi="Times New Roman" w:cs="Times New Roman"/>
        </w:rPr>
        <w:t xml:space="preserve">, N. S., &amp; </w:t>
      </w:r>
      <w:proofErr w:type="spellStart"/>
      <w:r w:rsidRPr="00AE0575">
        <w:rPr>
          <w:rFonts w:ascii="Times New Roman" w:hAnsi="Times New Roman" w:cs="Times New Roman"/>
        </w:rPr>
        <w:t>Manakyan</w:t>
      </w:r>
      <w:proofErr w:type="spellEnd"/>
      <w:r w:rsidRPr="00AE0575">
        <w:rPr>
          <w:rFonts w:ascii="Times New Roman" w:hAnsi="Times New Roman" w:cs="Times New Roman"/>
        </w:rPr>
        <w:t xml:space="preserve">, H. (2000). The performance of global and international MFs. Journal of Financial and Strategic Decisions, 13(1), 75-85. </w:t>
      </w:r>
    </w:p>
    <w:p w14:paraId="495697BC" w14:textId="3A45AD3A" w:rsidR="00AE0575" w:rsidRPr="00AE0575" w:rsidRDefault="00AE0575" w:rsidP="00AE0575">
      <w:pPr>
        <w:pStyle w:val="ListParagraph"/>
        <w:numPr>
          <w:ilvl w:val="0"/>
          <w:numId w:val="4"/>
        </w:numPr>
        <w:jc w:val="both"/>
        <w:rPr>
          <w:rFonts w:ascii="Times New Roman" w:hAnsi="Times New Roman" w:cs="Times New Roman"/>
        </w:rPr>
      </w:pPr>
      <w:proofErr w:type="spellStart"/>
      <w:r w:rsidRPr="00AE0575">
        <w:rPr>
          <w:rFonts w:ascii="Times New Roman" w:hAnsi="Times New Roman" w:cs="Times New Roman"/>
        </w:rPr>
        <w:t>Biasa</w:t>
      </w:r>
      <w:proofErr w:type="spellEnd"/>
      <w:r w:rsidRPr="00AE0575">
        <w:rPr>
          <w:rFonts w:ascii="Times New Roman" w:hAnsi="Times New Roman" w:cs="Times New Roman"/>
        </w:rPr>
        <w:t xml:space="preserve">, D., </w:t>
      </w:r>
      <w:proofErr w:type="spellStart"/>
      <w:r w:rsidRPr="00AE0575">
        <w:rPr>
          <w:rFonts w:ascii="Times New Roman" w:hAnsi="Times New Roman" w:cs="Times New Roman"/>
        </w:rPr>
        <w:t>Guaglianob</w:t>
      </w:r>
      <w:proofErr w:type="spellEnd"/>
      <w:r w:rsidRPr="00AE0575">
        <w:rPr>
          <w:rFonts w:ascii="Times New Roman" w:hAnsi="Times New Roman" w:cs="Times New Roman"/>
        </w:rPr>
        <w:t xml:space="preserve">, C., </w:t>
      </w:r>
      <w:proofErr w:type="spellStart"/>
      <w:r w:rsidRPr="00AE0575">
        <w:rPr>
          <w:rFonts w:ascii="Times New Roman" w:hAnsi="Times New Roman" w:cs="Times New Roman"/>
        </w:rPr>
        <w:t>Haferkornb</w:t>
      </w:r>
      <w:proofErr w:type="spellEnd"/>
      <w:r w:rsidRPr="00AE0575">
        <w:rPr>
          <w:rFonts w:ascii="Times New Roman" w:hAnsi="Times New Roman" w:cs="Times New Roman"/>
        </w:rPr>
        <w:t xml:space="preserve">, M., </w:t>
      </w:r>
      <w:proofErr w:type="spellStart"/>
      <w:r w:rsidRPr="00AE0575">
        <w:rPr>
          <w:rFonts w:ascii="Times New Roman" w:hAnsi="Times New Roman" w:cs="Times New Roman"/>
        </w:rPr>
        <w:t>Haimanna</w:t>
      </w:r>
      <w:proofErr w:type="spellEnd"/>
      <w:r w:rsidRPr="00AE0575">
        <w:rPr>
          <w:rFonts w:ascii="Times New Roman" w:hAnsi="Times New Roman" w:cs="Times New Roman"/>
        </w:rPr>
        <w:t xml:space="preserve">, M., &amp; </w:t>
      </w:r>
      <w:proofErr w:type="spellStart"/>
      <w:r w:rsidRPr="00AE0575">
        <w:rPr>
          <w:rFonts w:ascii="Times New Roman" w:hAnsi="Times New Roman" w:cs="Times New Roman"/>
        </w:rPr>
        <w:t>Kaserera</w:t>
      </w:r>
      <w:proofErr w:type="spellEnd"/>
      <w:r w:rsidRPr="00AE0575">
        <w:rPr>
          <w:rFonts w:ascii="Times New Roman" w:hAnsi="Times New Roman" w:cs="Times New Roman"/>
        </w:rPr>
        <w:t xml:space="preserve">, C. (2021). MFs and derivatives: Evidence from Linked Fund-Trade Data$. </w:t>
      </w:r>
    </w:p>
    <w:p w14:paraId="58454CBF" w14:textId="0C58E27E" w:rsidR="00AE0575" w:rsidRPr="00AE0575" w:rsidRDefault="00AE0575" w:rsidP="00AE0575">
      <w:pPr>
        <w:pStyle w:val="ListParagraph"/>
        <w:numPr>
          <w:ilvl w:val="0"/>
          <w:numId w:val="4"/>
        </w:numPr>
        <w:jc w:val="both"/>
        <w:rPr>
          <w:rFonts w:ascii="Times New Roman" w:hAnsi="Times New Roman" w:cs="Times New Roman"/>
        </w:rPr>
      </w:pPr>
      <w:r w:rsidRPr="00AE0575">
        <w:rPr>
          <w:rFonts w:ascii="Times New Roman" w:hAnsi="Times New Roman" w:cs="Times New Roman"/>
        </w:rPr>
        <w:lastRenderedPageBreak/>
        <w:t xml:space="preserve">https://acfr.aut.ac.nz/__data/assets/pdf_file/0005/573107/Real-time-Yu-Xia.pdf. [Accessed on 21.12.2022]. </w:t>
      </w:r>
    </w:p>
    <w:p w14:paraId="4E533037" w14:textId="67DEDDF5" w:rsidR="00AE0575" w:rsidRPr="00AE0575" w:rsidRDefault="00AE0575" w:rsidP="00AE0575">
      <w:pPr>
        <w:pStyle w:val="ListParagraph"/>
        <w:numPr>
          <w:ilvl w:val="0"/>
          <w:numId w:val="4"/>
        </w:numPr>
        <w:jc w:val="both"/>
        <w:rPr>
          <w:rFonts w:ascii="Times New Roman" w:hAnsi="Times New Roman" w:cs="Times New Roman"/>
        </w:rPr>
      </w:pPr>
      <w:r w:rsidRPr="00AE0575">
        <w:rPr>
          <w:rFonts w:ascii="Times New Roman" w:hAnsi="Times New Roman" w:cs="Times New Roman"/>
        </w:rPr>
        <w:t xml:space="preserve">https://lms.ojk.go.id/riset/storage/lhr/FgIyKJ3kkXhs2D5A4XJuzyc5ri5YqGzOQ1GCTg28.pdf. [Accessed on 20.12.2022]. </w:t>
      </w:r>
      <w:bookmarkStart w:id="0" w:name="_GoBack"/>
      <w:bookmarkEnd w:id="0"/>
    </w:p>
    <w:p w14:paraId="4BAD2439" w14:textId="22F96B2C" w:rsidR="00AE0575" w:rsidRPr="00AE0575" w:rsidRDefault="00AE0575" w:rsidP="00AE0575">
      <w:pPr>
        <w:pStyle w:val="ListParagraph"/>
        <w:numPr>
          <w:ilvl w:val="0"/>
          <w:numId w:val="4"/>
        </w:numPr>
        <w:jc w:val="both"/>
        <w:rPr>
          <w:rFonts w:ascii="Times New Roman" w:hAnsi="Times New Roman" w:cs="Times New Roman"/>
        </w:rPr>
      </w:pPr>
      <w:r w:rsidRPr="00AE0575">
        <w:rPr>
          <w:rFonts w:ascii="Times New Roman" w:hAnsi="Times New Roman" w:cs="Times New Roman"/>
        </w:rPr>
        <w:t>https://www.idc.org/doc-server/pdf%3Aper07-0</w:t>
      </w:r>
      <w:r>
        <w:rPr>
          <w:rFonts w:ascii="Times New Roman" w:hAnsi="Times New Roman" w:cs="Times New Roman"/>
        </w:rPr>
        <w:t>3.pdf. [Accessed on 27.12.2022].</w:t>
      </w:r>
      <w:r w:rsidRPr="00AE0575">
        <w:rPr>
          <w:rFonts w:ascii="Times New Roman" w:hAnsi="Times New Roman" w:cs="Times New Roman"/>
        </w:rPr>
        <w:t xml:space="preserve"> </w:t>
      </w:r>
    </w:p>
    <w:p w14:paraId="3755FAC7" w14:textId="489584EB" w:rsidR="00AE0575" w:rsidRPr="00AE0575" w:rsidRDefault="00AE0575" w:rsidP="00AE0575">
      <w:pPr>
        <w:pStyle w:val="ListParagraph"/>
        <w:numPr>
          <w:ilvl w:val="0"/>
          <w:numId w:val="4"/>
        </w:numPr>
        <w:jc w:val="both"/>
        <w:rPr>
          <w:rFonts w:ascii="Times New Roman" w:hAnsi="Times New Roman" w:cs="Times New Roman"/>
        </w:rPr>
      </w:pPr>
      <w:r w:rsidRPr="00AE0575">
        <w:rPr>
          <w:rFonts w:ascii="Times New Roman" w:hAnsi="Times New Roman" w:cs="Times New Roman"/>
        </w:rPr>
        <w:t xml:space="preserve">http://www.financialdecisionsonline.org/archive/pdffiles/v13n1/redman.pdf. [Accessed on 27.12.2022]. </w:t>
      </w:r>
    </w:p>
    <w:p w14:paraId="26C8531D" w14:textId="57969F89" w:rsidR="00AE0575" w:rsidRPr="00AE0575" w:rsidRDefault="00AE0575" w:rsidP="00AE0575">
      <w:pPr>
        <w:pStyle w:val="ListParagraph"/>
        <w:numPr>
          <w:ilvl w:val="0"/>
          <w:numId w:val="4"/>
        </w:numPr>
        <w:jc w:val="both"/>
        <w:rPr>
          <w:rFonts w:ascii="Times New Roman" w:hAnsi="Times New Roman" w:cs="Times New Roman"/>
        </w:rPr>
      </w:pPr>
      <w:r w:rsidRPr="00AE0575">
        <w:rPr>
          <w:rFonts w:ascii="Times New Roman" w:hAnsi="Times New Roman" w:cs="Times New Roman"/>
        </w:rPr>
        <w:t xml:space="preserve">https://www.wiwi.hu-berlin.de/en/Professorships/bwl/finance/seminars/papers-fin-acc-res-seminars/19ws/kaserer.pdf. [Accessed on 28.12.2022]. </w:t>
      </w:r>
    </w:p>
    <w:p w14:paraId="53986E21" w14:textId="77777777" w:rsidR="00CE2CFC" w:rsidRPr="00CE2CFC" w:rsidRDefault="00CE2CFC" w:rsidP="00CE2CFC">
      <w:pPr>
        <w:spacing w:line="360" w:lineRule="auto"/>
        <w:rPr>
          <w:rFonts w:ascii="Times New Roman" w:eastAsia="Times New Roman" w:hAnsi="Times New Roman" w:cs="Times New Roman"/>
          <w:kern w:val="0"/>
          <w:lang w:eastAsia="en-IN" w:bidi="ar-SA"/>
          <w14:ligatures w14:val="none"/>
        </w:rPr>
      </w:pPr>
    </w:p>
    <w:p w14:paraId="3F8E23FB" w14:textId="37D3FCA1" w:rsidR="00832B77" w:rsidRPr="00832B77" w:rsidRDefault="00832B77" w:rsidP="00832B77">
      <w:pPr>
        <w:spacing w:after="240" w:line="240" w:lineRule="auto"/>
        <w:jc w:val="both"/>
        <w:rPr>
          <w:rFonts w:ascii="Times New Roman" w:eastAsia="Times New Roman" w:hAnsi="Times New Roman" w:cs="Times New Roman"/>
          <w:kern w:val="0"/>
          <w:lang w:eastAsia="en-IN" w:bidi="ar-SA"/>
          <w14:ligatures w14:val="none"/>
        </w:rPr>
      </w:pPr>
    </w:p>
    <w:p w14:paraId="186A5D6E" w14:textId="5E3F9979" w:rsidR="00832B77" w:rsidRPr="006C6CFB" w:rsidRDefault="00832B77" w:rsidP="006C6CFB">
      <w:pPr>
        <w:jc w:val="both"/>
        <w:rPr>
          <w:rFonts w:ascii="Times New Roman" w:eastAsia="Times New Roman" w:hAnsi="Times New Roman" w:cs="Times New Roman"/>
          <w:kern w:val="0"/>
          <w:lang w:eastAsia="en-IN" w:bidi="ar-SA"/>
          <w14:ligatures w14:val="none"/>
        </w:rPr>
      </w:pPr>
    </w:p>
    <w:p w14:paraId="110BD9BE" w14:textId="4362FF51" w:rsidR="00A00893" w:rsidRPr="00D43D99" w:rsidRDefault="00A00893" w:rsidP="006C6CFB">
      <w:pPr>
        <w:spacing w:after="0" w:line="360" w:lineRule="auto"/>
        <w:jc w:val="both"/>
        <w:rPr>
          <w:rStyle w:val="css-0"/>
          <w:rFonts w:ascii="Times New Roman" w:eastAsia="Times New Roman" w:hAnsi="Times New Roman" w:cs="Times New Roman"/>
          <w:color w:val="000000" w:themeColor="text1"/>
          <w:shd w:val="clear" w:color="auto" w:fill="FFFFFF"/>
        </w:rPr>
      </w:pPr>
    </w:p>
    <w:p w14:paraId="0420D6EA" w14:textId="77777777" w:rsidR="00BB34E7" w:rsidRPr="00D43D99" w:rsidRDefault="00BB34E7" w:rsidP="00D43D99">
      <w:pPr>
        <w:spacing w:line="360" w:lineRule="auto"/>
        <w:jc w:val="both"/>
        <w:rPr>
          <w:rStyle w:val="css-0"/>
          <w:rFonts w:ascii="Times New Roman" w:eastAsia="Times New Roman" w:hAnsi="Times New Roman" w:cs="Times New Roman"/>
          <w:color w:val="000000" w:themeColor="text1"/>
          <w:shd w:val="clear" w:color="auto" w:fill="FFFFFF"/>
        </w:rPr>
      </w:pPr>
    </w:p>
    <w:p w14:paraId="55C1B747" w14:textId="77777777" w:rsidR="003D2733" w:rsidRPr="00D43D99" w:rsidRDefault="003D2733" w:rsidP="00D43D99">
      <w:pPr>
        <w:spacing w:line="360" w:lineRule="auto"/>
        <w:jc w:val="both"/>
        <w:rPr>
          <w:rFonts w:ascii="Times New Roman" w:eastAsia="Times New Roman" w:hAnsi="Times New Roman" w:cs="Times New Roman"/>
          <w:color w:val="000000" w:themeColor="text1"/>
          <w:shd w:val="clear" w:color="auto" w:fill="FFFFFF"/>
        </w:rPr>
      </w:pPr>
    </w:p>
    <w:p w14:paraId="662FEE91" w14:textId="6935E1D5" w:rsidR="009647F2" w:rsidRPr="00D43D99" w:rsidRDefault="009647F2" w:rsidP="00D43D99">
      <w:pPr>
        <w:spacing w:line="360" w:lineRule="auto"/>
        <w:jc w:val="both"/>
        <w:rPr>
          <w:rFonts w:ascii="Times New Roman" w:hAnsi="Times New Roman" w:cs="Times New Roman"/>
          <w:color w:val="000000" w:themeColor="text1"/>
        </w:rPr>
      </w:pPr>
    </w:p>
    <w:p w14:paraId="66CE08F8" w14:textId="77777777" w:rsidR="000965CA" w:rsidRPr="00D43D99" w:rsidRDefault="000965CA" w:rsidP="00D43D99">
      <w:pPr>
        <w:spacing w:line="360" w:lineRule="auto"/>
        <w:jc w:val="both"/>
        <w:rPr>
          <w:rFonts w:ascii="Times New Roman" w:hAnsi="Times New Roman" w:cs="Times New Roman"/>
          <w:color w:val="000000" w:themeColor="text1"/>
        </w:rPr>
      </w:pPr>
    </w:p>
    <w:p w14:paraId="2A467750" w14:textId="77777777" w:rsidR="008B3A5F" w:rsidRPr="00D43D99" w:rsidRDefault="008B3A5F" w:rsidP="00D43D99">
      <w:pPr>
        <w:spacing w:line="360" w:lineRule="auto"/>
        <w:jc w:val="both"/>
        <w:rPr>
          <w:rFonts w:ascii="Times New Roman" w:hAnsi="Times New Roman" w:cs="Times New Roman"/>
          <w:color w:val="000000" w:themeColor="text1"/>
        </w:rPr>
      </w:pPr>
    </w:p>
    <w:sectPr w:rsidR="008B3A5F" w:rsidRPr="00D43D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unga">
    <w:altName w:val="Courier New"/>
    <w:panose1 w:val="00000400000000000000"/>
    <w:charset w:val="01"/>
    <w:family w:val="roman"/>
    <w:notTrueType/>
    <w:pitch w:val="variable"/>
  </w:font>
  <w:font w:name="Aptos Display">
    <w:altName w:val="Arial"/>
    <w:panose1 w:val="00000000000000000000"/>
    <w:charset w:val="00"/>
    <w:family w:val="swiss"/>
    <w:notTrueType/>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AEE"/>
    <w:multiLevelType w:val="hybridMultilevel"/>
    <w:tmpl w:val="4C2EFA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75F3A60"/>
    <w:multiLevelType w:val="hybridMultilevel"/>
    <w:tmpl w:val="84CAA7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1A5A25"/>
    <w:multiLevelType w:val="hybridMultilevel"/>
    <w:tmpl w:val="916C4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BA1987"/>
    <w:multiLevelType w:val="hybridMultilevel"/>
    <w:tmpl w:val="F9CCB1B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3A"/>
    <w:rsid w:val="0000395F"/>
    <w:rsid w:val="000049F7"/>
    <w:rsid w:val="00083C70"/>
    <w:rsid w:val="000965CA"/>
    <w:rsid w:val="000B0FEC"/>
    <w:rsid w:val="001434D1"/>
    <w:rsid w:val="001757C7"/>
    <w:rsid w:val="00195B67"/>
    <w:rsid w:val="001E1BD4"/>
    <w:rsid w:val="00211516"/>
    <w:rsid w:val="00227AC6"/>
    <w:rsid w:val="00304CFA"/>
    <w:rsid w:val="003416EA"/>
    <w:rsid w:val="00346C2D"/>
    <w:rsid w:val="0035686B"/>
    <w:rsid w:val="003B0F25"/>
    <w:rsid w:val="003D2733"/>
    <w:rsid w:val="00404475"/>
    <w:rsid w:val="00404A19"/>
    <w:rsid w:val="0047505E"/>
    <w:rsid w:val="00475FD0"/>
    <w:rsid w:val="00485159"/>
    <w:rsid w:val="004D1502"/>
    <w:rsid w:val="004E373B"/>
    <w:rsid w:val="005169F5"/>
    <w:rsid w:val="005C512E"/>
    <w:rsid w:val="00600392"/>
    <w:rsid w:val="00614EAE"/>
    <w:rsid w:val="006337FB"/>
    <w:rsid w:val="00660FA4"/>
    <w:rsid w:val="006C6CFB"/>
    <w:rsid w:val="006E4715"/>
    <w:rsid w:val="006F01F3"/>
    <w:rsid w:val="0070390E"/>
    <w:rsid w:val="0071643F"/>
    <w:rsid w:val="00721151"/>
    <w:rsid w:val="00736B84"/>
    <w:rsid w:val="00760218"/>
    <w:rsid w:val="00793333"/>
    <w:rsid w:val="007A1081"/>
    <w:rsid w:val="007A5217"/>
    <w:rsid w:val="007A7D80"/>
    <w:rsid w:val="00822E6A"/>
    <w:rsid w:val="00832B77"/>
    <w:rsid w:val="00850CF9"/>
    <w:rsid w:val="00873309"/>
    <w:rsid w:val="008A23FE"/>
    <w:rsid w:val="008B3A5F"/>
    <w:rsid w:val="008D4222"/>
    <w:rsid w:val="008E0A0D"/>
    <w:rsid w:val="009001FF"/>
    <w:rsid w:val="00901C3A"/>
    <w:rsid w:val="00923F82"/>
    <w:rsid w:val="00963C0F"/>
    <w:rsid w:val="009647F2"/>
    <w:rsid w:val="0098546A"/>
    <w:rsid w:val="009D4A94"/>
    <w:rsid w:val="00A00893"/>
    <w:rsid w:val="00A0203E"/>
    <w:rsid w:val="00A6483B"/>
    <w:rsid w:val="00AE0575"/>
    <w:rsid w:val="00B008C2"/>
    <w:rsid w:val="00B0260B"/>
    <w:rsid w:val="00B04262"/>
    <w:rsid w:val="00B54F07"/>
    <w:rsid w:val="00B93E5B"/>
    <w:rsid w:val="00BA58C0"/>
    <w:rsid w:val="00BB34E7"/>
    <w:rsid w:val="00BC60B8"/>
    <w:rsid w:val="00BD3959"/>
    <w:rsid w:val="00C3193E"/>
    <w:rsid w:val="00C60B40"/>
    <w:rsid w:val="00C94EF5"/>
    <w:rsid w:val="00CC3DA6"/>
    <w:rsid w:val="00CE2CFC"/>
    <w:rsid w:val="00D43D99"/>
    <w:rsid w:val="00D92964"/>
    <w:rsid w:val="00DA0597"/>
    <w:rsid w:val="00DB63C8"/>
    <w:rsid w:val="00DC773A"/>
    <w:rsid w:val="00DF7A85"/>
    <w:rsid w:val="00E551CB"/>
    <w:rsid w:val="00E61EA7"/>
    <w:rsid w:val="00E674B6"/>
    <w:rsid w:val="00EE2D92"/>
    <w:rsid w:val="00EE2D9E"/>
    <w:rsid w:val="00EF1FBD"/>
    <w:rsid w:val="00F374B3"/>
    <w:rsid w:val="00F43DE9"/>
    <w:rsid w:val="00FB40CA"/>
    <w:rsid w:val="00FC3144"/>
    <w:rsid w:val="00FD4A00"/>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E600E"/>
  <w15:chartTrackingRefBased/>
  <w15:docId w15:val="{927AC1FE-0B5B-7B4B-870C-CD443654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IN" w:eastAsia="en-US" w:bidi="kn-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CFC"/>
    <w:rPr>
      <w:rFonts w:cs="Tunga"/>
    </w:rPr>
  </w:style>
  <w:style w:type="paragraph" w:styleId="Heading1">
    <w:name w:val="heading 1"/>
    <w:basedOn w:val="Normal"/>
    <w:next w:val="Normal"/>
    <w:link w:val="Heading1Char"/>
    <w:uiPriority w:val="9"/>
    <w:qFormat/>
    <w:rsid w:val="00901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C3A"/>
    <w:rPr>
      <w:rFonts w:eastAsiaTheme="majorEastAsia" w:cstheme="majorBidi"/>
      <w:color w:val="272727" w:themeColor="text1" w:themeTint="D8"/>
    </w:rPr>
  </w:style>
  <w:style w:type="paragraph" w:styleId="Title">
    <w:name w:val="Title"/>
    <w:basedOn w:val="Normal"/>
    <w:next w:val="Normal"/>
    <w:link w:val="TitleChar"/>
    <w:uiPriority w:val="10"/>
    <w:qFormat/>
    <w:rsid w:val="00901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C3A"/>
    <w:pPr>
      <w:spacing w:before="160"/>
      <w:jc w:val="center"/>
    </w:pPr>
    <w:rPr>
      <w:i/>
      <w:iCs/>
      <w:color w:val="404040" w:themeColor="text1" w:themeTint="BF"/>
    </w:rPr>
  </w:style>
  <w:style w:type="character" w:customStyle="1" w:styleId="QuoteChar">
    <w:name w:val="Quote Char"/>
    <w:basedOn w:val="DefaultParagraphFont"/>
    <w:link w:val="Quote"/>
    <w:uiPriority w:val="29"/>
    <w:rsid w:val="00901C3A"/>
    <w:rPr>
      <w:rFonts w:cs="Tunga"/>
      <w:i/>
      <w:iCs/>
      <w:color w:val="404040" w:themeColor="text1" w:themeTint="BF"/>
    </w:rPr>
  </w:style>
  <w:style w:type="paragraph" w:styleId="ListParagraph">
    <w:name w:val="List Paragraph"/>
    <w:basedOn w:val="Normal"/>
    <w:uiPriority w:val="34"/>
    <w:qFormat/>
    <w:rsid w:val="00901C3A"/>
    <w:pPr>
      <w:ind w:left="720"/>
      <w:contextualSpacing/>
    </w:pPr>
  </w:style>
  <w:style w:type="character" w:styleId="IntenseEmphasis">
    <w:name w:val="Intense Emphasis"/>
    <w:basedOn w:val="DefaultParagraphFont"/>
    <w:uiPriority w:val="21"/>
    <w:qFormat/>
    <w:rsid w:val="00901C3A"/>
    <w:rPr>
      <w:i/>
      <w:iCs/>
      <w:color w:val="0F4761" w:themeColor="accent1" w:themeShade="BF"/>
    </w:rPr>
  </w:style>
  <w:style w:type="paragraph" w:styleId="IntenseQuote">
    <w:name w:val="Intense Quote"/>
    <w:basedOn w:val="Normal"/>
    <w:next w:val="Normal"/>
    <w:link w:val="IntenseQuoteChar"/>
    <w:uiPriority w:val="30"/>
    <w:qFormat/>
    <w:rsid w:val="00901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C3A"/>
    <w:rPr>
      <w:rFonts w:cs="Tunga"/>
      <w:i/>
      <w:iCs/>
      <w:color w:val="0F4761" w:themeColor="accent1" w:themeShade="BF"/>
    </w:rPr>
  </w:style>
  <w:style w:type="character" w:styleId="IntenseReference">
    <w:name w:val="Intense Reference"/>
    <w:basedOn w:val="DefaultParagraphFont"/>
    <w:uiPriority w:val="32"/>
    <w:qFormat/>
    <w:rsid w:val="00901C3A"/>
    <w:rPr>
      <w:b/>
      <w:bCs/>
      <w:smallCaps/>
      <w:color w:val="0F4761" w:themeColor="accent1" w:themeShade="BF"/>
      <w:spacing w:val="5"/>
    </w:rPr>
  </w:style>
  <w:style w:type="character" w:customStyle="1" w:styleId="css-0">
    <w:name w:val="css-0"/>
    <w:basedOn w:val="DefaultParagraphFont"/>
    <w:rsid w:val="00BA58C0"/>
  </w:style>
  <w:style w:type="character" w:customStyle="1" w:styleId="css-7gslln">
    <w:name w:val="css-7gslln"/>
    <w:basedOn w:val="DefaultParagraphFont"/>
    <w:rsid w:val="00FC3144"/>
  </w:style>
  <w:style w:type="character" w:customStyle="1" w:styleId="css-1f32sl1">
    <w:name w:val="css-1f32sl1"/>
    <w:basedOn w:val="DefaultParagraphFont"/>
    <w:rsid w:val="00FC3144"/>
  </w:style>
  <w:style w:type="character" w:customStyle="1" w:styleId="css-10o52y0">
    <w:name w:val="css-10o52y0"/>
    <w:basedOn w:val="DefaultParagraphFont"/>
    <w:rsid w:val="00FC3144"/>
  </w:style>
  <w:style w:type="character" w:customStyle="1" w:styleId="css-1fxatq4">
    <w:name w:val="css-1fxatq4"/>
    <w:basedOn w:val="DefaultParagraphFont"/>
    <w:rsid w:val="00FC3144"/>
  </w:style>
  <w:style w:type="character" w:customStyle="1" w:styleId="css-lq4jk2">
    <w:name w:val="css-lq4jk2"/>
    <w:basedOn w:val="DefaultParagraphFont"/>
    <w:rsid w:val="00FC3144"/>
  </w:style>
  <w:style w:type="character" w:customStyle="1" w:styleId="css-1g9q2al">
    <w:name w:val="css-1g9q2al"/>
    <w:basedOn w:val="DefaultParagraphFont"/>
    <w:rsid w:val="00FC3144"/>
  </w:style>
  <w:style w:type="character" w:customStyle="1" w:styleId="css-ork8mx">
    <w:name w:val="css-ork8mx"/>
    <w:basedOn w:val="DefaultParagraphFont"/>
    <w:rsid w:val="00FC3144"/>
  </w:style>
  <w:style w:type="table" w:styleId="TableGrid">
    <w:name w:val="Table Grid"/>
    <w:basedOn w:val="TableNormal"/>
    <w:uiPriority w:val="39"/>
    <w:rsid w:val="009D4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2515">
      <w:bodyDiv w:val="1"/>
      <w:marLeft w:val="0"/>
      <w:marRight w:val="0"/>
      <w:marTop w:val="0"/>
      <w:marBottom w:val="0"/>
      <w:divBdr>
        <w:top w:val="none" w:sz="0" w:space="0" w:color="auto"/>
        <w:left w:val="none" w:sz="0" w:space="0" w:color="auto"/>
        <w:bottom w:val="none" w:sz="0" w:space="0" w:color="auto"/>
        <w:right w:val="none" w:sz="0" w:space="0" w:color="auto"/>
      </w:divBdr>
    </w:div>
    <w:div w:id="65566861">
      <w:bodyDiv w:val="1"/>
      <w:marLeft w:val="0"/>
      <w:marRight w:val="0"/>
      <w:marTop w:val="0"/>
      <w:marBottom w:val="0"/>
      <w:divBdr>
        <w:top w:val="none" w:sz="0" w:space="0" w:color="auto"/>
        <w:left w:val="none" w:sz="0" w:space="0" w:color="auto"/>
        <w:bottom w:val="none" w:sz="0" w:space="0" w:color="auto"/>
        <w:right w:val="none" w:sz="0" w:space="0" w:color="auto"/>
      </w:divBdr>
    </w:div>
    <w:div w:id="93718878">
      <w:bodyDiv w:val="1"/>
      <w:marLeft w:val="0"/>
      <w:marRight w:val="0"/>
      <w:marTop w:val="0"/>
      <w:marBottom w:val="0"/>
      <w:divBdr>
        <w:top w:val="none" w:sz="0" w:space="0" w:color="auto"/>
        <w:left w:val="none" w:sz="0" w:space="0" w:color="auto"/>
        <w:bottom w:val="none" w:sz="0" w:space="0" w:color="auto"/>
        <w:right w:val="none" w:sz="0" w:space="0" w:color="auto"/>
      </w:divBdr>
    </w:div>
    <w:div w:id="267281247">
      <w:bodyDiv w:val="1"/>
      <w:marLeft w:val="0"/>
      <w:marRight w:val="0"/>
      <w:marTop w:val="0"/>
      <w:marBottom w:val="0"/>
      <w:divBdr>
        <w:top w:val="none" w:sz="0" w:space="0" w:color="auto"/>
        <w:left w:val="none" w:sz="0" w:space="0" w:color="auto"/>
        <w:bottom w:val="none" w:sz="0" w:space="0" w:color="auto"/>
        <w:right w:val="none" w:sz="0" w:space="0" w:color="auto"/>
      </w:divBdr>
    </w:div>
    <w:div w:id="273832987">
      <w:bodyDiv w:val="1"/>
      <w:marLeft w:val="0"/>
      <w:marRight w:val="0"/>
      <w:marTop w:val="0"/>
      <w:marBottom w:val="0"/>
      <w:divBdr>
        <w:top w:val="none" w:sz="0" w:space="0" w:color="auto"/>
        <w:left w:val="none" w:sz="0" w:space="0" w:color="auto"/>
        <w:bottom w:val="none" w:sz="0" w:space="0" w:color="auto"/>
        <w:right w:val="none" w:sz="0" w:space="0" w:color="auto"/>
      </w:divBdr>
    </w:div>
    <w:div w:id="604193419">
      <w:bodyDiv w:val="1"/>
      <w:marLeft w:val="0"/>
      <w:marRight w:val="0"/>
      <w:marTop w:val="0"/>
      <w:marBottom w:val="0"/>
      <w:divBdr>
        <w:top w:val="none" w:sz="0" w:space="0" w:color="auto"/>
        <w:left w:val="none" w:sz="0" w:space="0" w:color="auto"/>
        <w:bottom w:val="none" w:sz="0" w:space="0" w:color="auto"/>
        <w:right w:val="none" w:sz="0" w:space="0" w:color="auto"/>
      </w:divBdr>
      <w:divsChild>
        <w:div w:id="539755007">
          <w:marLeft w:val="0"/>
          <w:marRight w:val="0"/>
          <w:marTop w:val="0"/>
          <w:marBottom w:val="0"/>
          <w:divBdr>
            <w:top w:val="none" w:sz="0" w:space="0" w:color="auto"/>
            <w:left w:val="none" w:sz="0" w:space="0" w:color="auto"/>
            <w:bottom w:val="none" w:sz="0" w:space="0" w:color="auto"/>
            <w:right w:val="none" w:sz="0" w:space="0" w:color="auto"/>
          </w:divBdr>
        </w:div>
        <w:div w:id="294795432">
          <w:marLeft w:val="0"/>
          <w:marRight w:val="0"/>
          <w:marTop w:val="0"/>
          <w:marBottom w:val="0"/>
          <w:divBdr>
            <w:top w:val="none" w:sz="0" w:space="0" w:color="auto"/>
            <w:left w:val="none" w:sz="0" w:space="0" w:color="auto"/>
            <w:bottom w:val="none" w:sz="0" w:space="0" w:color="auto"/>
            <w:right w:val="none" w:sz="0" w:space="0" w:color="auto"/>
          </w:divBdr>
          <w:divsChild>
            <w:div w:id="1174416374">
              <w:marLeft w:val="0"/>
              <w:marRight w:val="0"/>
              <w:marTop w:val="0"/>
              <w:marBottom w:val="0"/>
              <w:divBdr>
                <w:top w:val="none" w:sz="0" w:space="0" w:color="auto"/>
                <w:left w:val="none" w:sz="0" w:space="0" w:color="auto"/>
                <w:bottom w:val="none" w:sz="0" w:space="0" w:color="auto"/>
                <w:right w:val="none" w:sz="0" w:space="0" w:color="auto"/>
              </w:divBdr>
              <w:divsChild>
                <w:div w:id="1940286467">
                  <w:marLeft w:val="0"/>
                  <w:marRight w:val="0"/>
                  <w:marTop w:val="0"/>
                  <w:marBottom w:val="0"/>
                  <w:divBdr>
                    <w:top w:val="none" w:sz="0" w:space="0" w:color="auto"/>
                    <w:left w:val="none" w:sz="0" w:space="0" w:color="auto"/>
                    <w:bottom w:val="none" w:sz="0" w:space="0" w:color="auto"/>
                    <w:right w:val="none" w:sz="0" w:space="0" w:color="auto"/>
                  </w:divBdr>
                  <w:divsChild>
                    <w:div w:id="2296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5748">
      <w:bodyDiv w:val="1"/>
      <w:marLeft w:val="0"/>
      <w:marRight w:val="0"/>
      <w:marTop w:val="0"/>
      <w:marBottom w:val="0"/>
      <w:divBdr>
        <w:top w:val="none" w:sz="0" w:space="0" w:color="auto"/>
        <w:left w:val="none" w:sz="0" w:space="0" w:color="auto"/>
        <w:bottom w:val="none" w:sz="0" w:space="0" w:color="auto"/>
        <w:right w:val="none" w:sz="0" w:space="0" w:color="auto"/>
      </w:divBdr>
    </w:div>
    <w:div w:id="661857618">
      <w:bodyDiv w:val="1"/>
      <w:marLeft w:val="0"/>
      <w:marRight w:val="0"/>
      <w:marTop w:val="0"/>
      <w:marBottom w:val="0"/>
      <w:divBdr>
        <w:top w:val="none" w:sz="0" w:space="0" w:color="auto"/>
        <w:left w:val="none" w:sz="0" w:space="0" w:color="auto"/>
        <w:bottom w:val="none" w:sz="0" w:space="0" w:color="auto"/>
        <w:right w:val="none" w:sz="0" w:space="0" w:color="auto"/>
      </w:divBdr>
    </w:div>
    <w:div w:id="817771648">
      <w:bodyDiv w:val="1"/>
      <w:marLeft w:val="0"/>
      <w:marRight w:val="0"/>
      <w:marTop w:val="0"/>
      <w:marBottom w:val="0"/>
      <w:divBdr>
        <w:top w:val="none" w:sz="0" w:space="0" w:color="auto"/>
        <w:left w:val="none" w:sz="0" w:space="0" w:color="auto"/>
        <w:bottom w:val="none" w:sz="0" w:space="0" w:color="auto"/>
        <w:right w:val="none" w:sz="0" w:space="0" w:color="auto"/>
      </w:divBdr>
    </w:div>
    <w:div w:id="935096828">
      <w:bodyDiv w:val="1"/>
      <w:marLeft w:val="0"/>
      <w:marRight w:val="0"/>
      <w:marTop w:val="0"/>
      <w:marBottom w:val="0"/>
      <w:divBdr>
        <w:top w:val="none" w:sz="0" w:space="0" w:color="auto"/>
        <w:left w:val="none" w:sz="0" w:space="0" w:color="auto"/>
        <w:bottom w:val="none" w:sz="0" w:space="0" w:color="auto"/>
        <w:right w:val="none" w:sz="0" w:space="0" w:color="auto"/>
      </w:divBdr>
    </w:div>
    <w:div w:id="965887225">
      <w:bodyDiv w:val="1"/>
      <w:marLeft w:val="0"/>
      <w:marRight w:val="0"/>
      <w:marTop w:val="0"/>
      <w:marBottom w:val="0"/>
      <w:divBdr>
        <w:top w:val="none" w:sz="0" w:space="0" w:color="auto"/>
        <w:left w:val="none" w:sz="0" w:space="0" w:color="auto"/>
        <w:bottom w:val="none" w:sz="0" w:space="0" w:color="auto"/>
        <w:right w:val="none" w:sz="0" w:space="0" w:color="auto"/>
      </w:divBdr>
    </w:div>
    <w:div w:id="1003557935">
      <w:bodyDiv w:val="1"/>
      <w:marLeft w:val="0"/>
      <w:marRight w:val="0"/>
      <w:marTop w:val="0"/>
      <w:marBottom w:val="0"/>
      <w:divBdr>
        <w:top w:val="none" w:sz="0" w:space="0" w:color="auto"/>
        <w:left w:val="none" w:sz="0" w:space="0" w:color="auto"/>
        <w:bottom w:val="none" w:sz="0" w:space="0" w:color="auto"/>
        <w:right w:val="none" w:sz="0" w:space="0" w:color="auto"/>
      </w:divBdr>
    </w:div>
    <w:div w:id="1022124486">
      <w:bodyDiv w:val="1"/>
      <w:marLeft w:val="0"/>
      <w:marRight w:val="0"/>
      <w:marTop w:val="0"/>
      <w:marBottom w:val="0"/>
      <w:divBdr>
        <w:top w:val="none" w:sz="0" w:space="0" w:color="auto"/>
        <w:left w:val="none" w:sz="0" w:space="0" w:color="auto"/>
        <w:bottom w:val="none" w:sz="0" w:space="0" w:color="auto"/>
        <w:right w:val="none" w:sz="0" w:space="0" w:color="auto"/>
      </w:divBdr>
    </w:div>
    <w:div w:id="1037698981">
      <w:bodyDiv w:val="1"/>
      <w:marLeft w:val="0"/>
      <w:marRight w:val="0"/>
      <w:marTop w:val="0"/>
      <w:marBottom w:val="0"/>
      <w:divBdr>
        <w:top w:val="none" w:sz="0" w:space="0" w:color="auto"/>
        <w:left w:val="none" w:sz="0" w:space="0" w:color="auto"/>
        <w:bottom w:val="none" w:sz="0" w:space="0" w:color="auto"/>
        <w:right w:val="none" w:sz="0" w:space="0" w:color="auto"/>
      </w:divBdr>
    </w:div>
    <w:div w:id="1119109237">
      <w:bodyDiv w:val="1"/>
      <w:marLeft w:val="0"/>
      <w:marRight w:val="0"/>
      <w:marTop w:val="0"/>
      <w:marBottom w:val="0"/>
      <w:divBdr>
        <w:top w:val="none" w:sz="0" w:space="0" w:color="auto"/>
        <w:left w:val="none" w:sz="0" w:space="0" w:color="auto"/>
        <w:bottom w:val="none" w:sz="0" w:space="0" w:color="auto"/>
        <w:right w:val="none" w:sz="0" w:space="0" w:color="auto"/>
      </w:divBdr>
    </w:div>
    <w:div w:id="1141731666">
      <w:bodyDiv w:val="1"/>
      <w:marLeft w:val="0"/>
      <w:marRight w:val="0"/>
      <w:marTop w:val="0"/>
      <w:marBottom w:val="0"/>
      <w:divBdr>
        <w:top w:val="none" w:sz="0" w:space="0" w:color="auto"/>
        <w:left w:val="none" w:sz="0" w:space="0" w:color="auto"/>
        <w:bottom w:val="none" w:sz="0" w:space="0" w:color="auto"/>
        <w:right w:val="none" w:sz="0" w:space="0" w:color="auto"/>
      </w:divBdr>
      <w:divsChild>
        <w:div w:id="1208756000">
          <w:marLeft w:val="0"/>
          <w:marRight w:val="0"/>
          <w:marTop w:val="0"/>
          <w:marBottom w:val="0"/>
          <w:divBdr>
            <w:top w:val="none" w:sz="0" w:space="0" w:color="auto"/>
            <w:left w:val="none" w:sz="0" w:space="0" w:color="auto"/>
            <w:bottom w:val="none" w:sz="0" w:space="0" w:color="auto"/>
            <w:right w:val="none" w:sz="0" w:space="0" w:color="auto"/>
          </w:divBdr>
        </w:div>
        <w:div w:id="2046558877">
          <w:marLeft w:val="0"/>
          <w:marRight w:val="0"/>
          <w:marTop w:val="0"/>
          <w:marBottom w:val="0"/>
          <w:divBdr>
            <w:top w:val="none" w:sz="0" w:space="0" w:color="auto"/>
            <w:left w:val="none" w:sz="0" w:space="0" w:color="auto"/>
            <w:bottom w:val="none" w:sz="0" w:space="0" w:color="auto"/>
            <w:right w:val="none" w:sz="0" w:space="0" w:color="auto"/>
          </w:divBdr>
          <w:divsChild>
            <w:div w:id="2000037867">
              <w:marLeft w:val="0"/>
              <w:marRight w:val="0"/>
              <w:marTop w:val="0"/>
              <w:marBottom w:val="0"/>
              <w:divBdr>
                <w:top w:val="none" w:sz="0" w:space="0" w:color="auto"/>
                <w:left w:val="none" w:sz="0" w:space="0" w:color="auto"/>
                <w:bottom w:val="none" w:sz="0" w:space="0" w:color="auto"/>
                <w:right w:val="none" w:sz="0" w:space="0" w:color="auto"/>
              </w:divBdr>
              <w:divsChild>
                <w:div w:id="1339190396">
                  <w:marLeft w:val="0"/>
                  <w:marRight w:val="0"/>
                  <w:marTop w:val="0"/>
                  <w:marBottom w:val="0"/>
                  <w:divBdr>
                    <w:top w:val="none" w:sz="0" w:space="0" w:color="auto"/>
                    <w:left w:val="none" w:sz="0" w:space="0" w:color="auto"/>
                    <w:bottom w:val="none" w:sz="0" w:space="0" w:color="auto"/>
                    <w:right w:val="none" w:sz="0" w:space="0" w:color="auto"/>
                  </w:divBdr>
                  <w:divsChild>
                    <w:div w:id="2006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9508">
      <w:bodyDiv w:val="1"/>
      <w:marLeft w:val="0"/>
      <w:marRight w:val="0"/>
      <w:marTop w:val="0"/>
      <w:marBottom w:val="0"/>
      <w:divBdr>
        <w:top w:val="none" w:sz="0" w:space="0" w:color="auto"/>
        <w:left w:val="none" w:sz="0" w:space="0" w:color="auto"/>
        <w:bottom w:val="none" w:sz="0" w:space="0" w:color="auto"/>
        <w:right w:val="none" w:sz="0" w:space="0" w:color="auto"/>
      </w:divBdr>
    </w:div>
    <w:div w:id="1198816331">
      <w:bodyDiv w:val="1"/>
      <w:marLeft w:val="0"/>
      <w:marRight w:val="0"/>
      <w:marTop w:val="0"/>
      <w:marBottom w:val="0"/>
      <w:divBdr>
        <w:top w:val="none" w:sz="0" w:space="0" w:color="auto"/>
        <w:left w:val="none" w:sz="0" w:space="0" w:color="auto"/>
        <w:bottom w:val="none" w:sz="0" w:space="0" w:color="auto"/>
        <w:right w:val="none" w:sz="0" w:space="0" w:color="auto"/>
      </w:divBdr>
    </w:div>
    <w:div w:id="1204096063">
      <w:bodyDiv w:val="1"/>
      <w:marLeft w:val="0"/>
      <w:marRight w:val="0"/>
      <w:marTop w:val="0"/>
      <w:marBottom w:val="0"/>
      <w:divBdr>
        <w:top w:val="none" w:sz="0" w:space="0" w:color="auto"/>
        <w:left w:val="none" w:sz="0" w:space="0" w:color="auto"/>
        <w:bottom w:val="none" w:sz="0" w:space="0" w:color="auto"/>
        <w:right w:val="none" w:sz="0" w:space="0" w:color="auto"/>
      </w:divBdr>
    </w:div>
    <w:div w:id="1245988502">
      <w:bodyDiv w:val="1"/>
      <w:marLeft w:val="0"/>
      <w:marRight w:val="0"/>
      <w:marTop w:val="0"/>
      <w:marBottom w:val="0"/>
      <w:divBdr>
        <w:top w:val="none" w:sz="0" w:space="0" w:color="auto"/>
        <w:left w:val="none" w:sz="0" w:space="0" w:color="auto"/>
        <w:bottom w:val="none" w:sz="0" w:space="0" w:color="auto"/>
        <w:right w:val="none" w:sz="0" w:space="0" w:color="auto"/>
      </w:divBdr>
    </w:div>
    <w:div w:id="1296832502">
      <w:bodyDiv w:val="1"/>
      <w:marLeft w:val="0"/>
      <w:marRight w:val="0"/>
      <w:marTop w:val="0"/>
      <w:marBottom w:val="0"/>
      <w:divBdr>
        <w:top w:val="none" w:sz="0" w:space="0" w:color="auto"/>
        <w:left w:val="none" w:sz="0" w:space="0" w:color="auto"/>
        <w:bottom w:val="none" w:sz="0" w:space="0" w:color="auto"/>
        <w:right w:val="none" w:sz="0" w:space="0" w:color="auto"/>
      </w:divBdr>
      <w:divsChild>
        <w:div w:id="1190796092">
          <w:marLeft w:val="0"/>
          <w:marRight w:val="0"/>
          <w:marTop w:val="0"/>
          <w:marBottom w:val="0"/>
          <w:divBdr>
            <w:top w:val="none" w:sz="0" w:space="0" w:color="auto"/>
            <w:left w:val="none" w:sz="0" w:space="0" w:color="auto"/>
            <w:bottom w:val="none" w:sz="0" w:space="0" w:color="auto"/>
            <w:right w:val="none" w:sz="0" w:space="0" w:color="auto"/>
          </w:divBdr>
        </w:div>
      </w:divsChild>
    </w:div>
    <w:div w:id="1299723935">
      <w:bodyDiv w:val="1"/>
      <w:marLeft w:val="0"/>
      <w:marRight w:val="0"/>
      <w:marTop w:val="0"/>
      <w:marBottom w:val="0"/>
      <w:divBdr>
        <w:top w:val="none" w:sz="0" w:space="0" w:color="auto"/>
        <w:left w:val="none" w:sz="0" w:space="0" w:color="auto"/>
        <w:bottom w:val="none" w:sz="0" w:space="0" w:color="auto"/>
        <w:right w:val="none" w:sz="0" w:space="0" w:color="auto"/>
      </w:divBdr>
    </w:div>
    <w:div w:id="1300573335">
      <w:bodyDiv w:val="1"/>
      <w:marLeft w:val="0"/>
      <w:marRight w:val="0"/>
      <w:marTop w:val="0"/>
      <w:marBottom w:val="0"/>
      <w:divBdr>
        <w:top w:val="none" w:sz="0" w:space="0" w:color="auto"/>
        <w:left w:val="none" w:sz="0" w:space="0" w:color="auto"/>
        <w:bottom w:val="none" w:sz="0" w:space="0" w:color="auto"/>
        <w:right w:val="none" w:sz="0" w:space="0" w:color="auto"/>
      </w:divBdr>
    </w:div>
    <w:div w:id="1534462368">
      <w:bodyDiv w:val="1"/>
      <w:marLeft w:val="0"/>
      <w:marRight w:val="0"/>
      <w:marTop w:val="0"/>
      <w:marBottom w:val="0"/>
      <w:divBdr>
        <w:top w:val="none" w:sz="0" w:space="0" w:color="auto"/>
        <w:left w:val="none" w:sz="0" w:space="0" w:color="auto"/>
        <w:bottom w:val="none" w:sz="0" w:space="0" w:color="auto"/>
        <w:right w:val="none" w:sz="0" w:space="0" w:color="auto"/>
      </w:divBdr>
    </w:div>
    <w:div w:id="1588148963">
      <w:bodyDiv w:val="1"/>
      <w:marLeft w:val="0"/>
      <w:marRight w:val="0"/>
      <w:marTop w:val="0"/>
      <w:marBottom w:val="0"/>
      <w:divBdr>
        <w:top w:val="none" w:sz="0" w:space="0" w:color="auto"/>
        <w:left w:val="none" w:sz="0" w:space="0" w:color="auto"/>
        <w:bottom w:val="none" w:sz="0" w:space="0" w:color="auto"/>
        <w:right w:val="none" w:sz="0" w:space="0" w:color="auto"/>
      </w:divBdr>
    </w:div>
    <w:div w:id="1598439412">
      <w:bodyDiv w:val="1"/>
      <w:marLeft w:val="0"/>
      <w:marRight w:val="0"/>
      <w:marTop w:val="0"/>
      <w:marBottom w:val="0"/>
      <w:divBdr>
        <w:top w:val="none" w:sz="0" w:space="0" w:color="auto"/>
        <w:left w:val="none" w:sz="0" w:space="0" w:color="auto"/>
        <w:bottom w:val="none" w:sz="0" w:space="0" w:color="auto"/>
        <w:right w:val="none" w:sz="0" w:space="0" w:color="auto"/>
      </w:divBdr>
    </w:div>
    <w:div w:id="1667324090">
      <w:bodyDiv w:val="1"/>
      <w:marLeft w:val="0"/>
      <w:marRight w:val="0"/>
      <w:marTop w:val="0"/>
      <w:marBottom w:val="0"/>
      <w:divBdr>
        <w:top w:val="none" w:sz="0" w:space="0" w:color="auto"/>
        <w:left w:val="none" w:sz="0" w:space="0" w:color="auto"/>
        <w:bottom w:val="none" w:sz="0" w:space="0" w:color="auto"/>
        <w:right w:val="none" w:sz="0" w:space="0" w:color="auto"/>
      </w:divBdr>
    </w:div>
    <w:div w:id="1799639588">
      <w:bodyDiv w:val="1"/>
      <w:marLeft w:val="0"/>
      <w:marRight w:val="0"/>
      <w:marTop w:val="0"/>
      <w:marBottom w:val="0"/>
      <w:divBdr>
        <w:top w:val="none" w:sz="0" w:space="0" w:color="auto"/>
        <w:left w:val="none" w:sz="0" w:space="0" w:color="auto"/>
        <w:bottom w:val="none" w:sz="0" w:space="0" w:color="auto"/>
        <w:right w:val="none" w:sz="0" w:space="0" w:color="auto"/>
      </w:divBdr>
    </w:div>
    <w:div w:id="1951623604">
      <w:bodyDiv w:val="1"/>
      <w:marLeft w:val="0"/>
      <w:marRight w:val="0"/>
      <w:marTop w:val="0"/>
      <w:marBottom w:val="0"/>
      <w:divBdr>
        <w:top w:val="none" w:sz="0" w:space="0" w:color="auto"/>
        <w:left w:val="none" w:sz="0" w:space="0" w:color="auto"/>
        <w:bottom w:val="none" w:sz="0" w:space="0" w:color="auto"/>
        <w:right w:val="none" w:sz="0" w:space="0" w:color="auto"/>
      </w:divBdr>
    </w:div>
    <w:div w:id="20775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324</TotalTime>
  <Pages>10</Pages>
  <Words>3091</Words>
  <Characters>16972</Characters>
  <Application>Microsoft Office Word</Application>
  <DocSecurity>0</DocSecurity>
  <Lines>368</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Appajappa</dc:creator>
  <cp:keywords/>
  <dc:description/>
  <cp:lastModifiedBy>Sunil </cp:lastModifiedBy>
  <cp:revision>79</cp:revision>
  <dcterms:created xsi:type="dcterms:W3CDTF">2024-11-24T22:17:00Z</dcterms:created>
  <dcterms:modified xsi:type="dcterms:W3CDTF">2024-11-25T14:45:00Z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aec6350e08cd96665ccad0083bb1ac04f69a130674248a9c368705029da7c30d</vt:lpwstr>
  </property>
</Properties>
</file>