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38203">
      <w:pPr>
        <w:jc w:val="center"/>
        <w:rPr>
          <w:rFonts w:hint="default" w:ascii="Times New Roman" w:hAnsi="Times New Roman" w:cs="Times New Roman"/>
          <w:b/>
          <w:sz w:val="40"/>
          <w:szCs w:val="40"/>
          <w:lang w:val="en-US"/>
        </w:rPr>
      </w:pPr>
      <w:r>
        <w:rPr>
          <w:rFonts w:hint="default" w:ascii="Times New Roman" w:hAnsi="Times New Roman" w:cs="Times New Roman"/>
          <w:b/>
          <w:sz w:val="40"/>
          <w:szCs w:val="40"/>
          <w:lang w:val="en-US"/>
        </w:rPr>
        <w:t>INTERNATIONAL VS. NATIONAL LEARNING: PROS AND CONS</w:t>
      </w:r>
    </w:p>
    <w:p w14:paraId="110A5E9D">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TECHNICAL REPORT WRITING (BENG102P) LO</w:t>
      </w:r>
    </w:p>
    <w:p w14:paraId="063E0A89">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TT432 FALL SEMESTER 2024</w:t>
      </w:r>
    </w:p>
    <w:p w14:paraId="38CF18E2">
      <w:pPr>
        <w:jc w:val="center"/>
        <w:rPr>
          <w:rFonts w:hint="default" w:ascii="Times New Roman" w:hAnsi="Times New Roman" w:cs="Times New Roman"/>
          <w:sz w:val="40"/>
          <w:lang w:val="en-US"/>
        </w:rPr>
      </w:pPr>
    </w:p>
    <w:p w14:paraId="47877628">
      <w:pPr>
        <w:jc w:val="center"/>
        <w:rPr>
          <w:rFonts w:hint="default" w:ascii="Times New Roman" w:hAnsi="Times New Roman" w:cs="Times New Roman"/>
          <w:sz w:val="40"/>
          <w:lang w:val="en-US"/>
        </w:rPr>
      </w:pPr>
    </w:p>
    <w:p w14:paraId="6FE22668">
      <w:pPr>
        <w:jc w:val="both"/>
        <w:rPr>
          <w:rFonts w:hint="default" w:ascii="Times New Roman" w:hAnsi="Times New Roman" w:cs="Times New Roman"/>
          <w:sz w:val="40"/>
          <w:lang w:val="en-US"/>
        </w:rPr>
      </w:pPr>
    </w:p>
    <w:p w14:paraId="122E5D8A">
      <w:pPr>
        <w:jc w:val="center"/>
        <w:rPr>
          <w:rFonts w:hint="default" w:ascii="Times New Roman" w:hAnsi="Times New Roman" w:cs="Times New Roman"/>
          <w:sz w:val="40"/>
          <w:lang w:val="en-US"/>
        </w:rPr>
      </w:pPr>
    </w:p>
    <w:p w14:paraId="23D8C31A">
      <w:pPr>
        <w:jc w:val="center"/>
        <w:rPr>
          <w:rFonts w:hint="default" w:ascii="Times New Roman" w:hAnsi="Times New Roman" w:cs="Times New Roman"/>
          <w:sz w:val="40"/>
          <w:lang w:val="en-US"/>
        </w:rPr>
      </w:pPr>
      <w:r>
        <w:rPr>
          <w:rFonts w:hint="default" w:ascii="Times New Roman" w:hAnsi="Times New Roman" w:cs="Times New Roman"/>
          <w:sz w:val="40"/>
          <w:lang w:val="en-US"/>
        </w:rPr>
        <w:t>MANAN A MAHAJAN (23BCE0273)</w:t>
      </w:r>
    </w:p>
    <w:p w14:paraId="435154F5">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School of Computer Science and Engineering</w:t>
      </w:r>
    </w:p>
    <w:p w14:paraId="195C23ED">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Vellore Institute of Technology,Vellore-632014,Tamil Nadu, India</w:t>
      </w:r>
    </w:p>
    <w:p w14:paraId="7187567E">
      <w:pPr>
        <w:jc w:val="center"/>
        <w:rPr>
          <w:rFonts w:hint="default" w:ascii="Times New Roman" w:hAnsi="Times New Roman" w:cs="Times New Roman"/>
          <w:sz w:val="40"/>
          <w:lang w:val="en-US"/>
        </w:rPr>
      </w:pPr>
    </w:p>
    <w:p w14:paraId="2757774D">
      <w:pPr>
        <w:jc w:val="center"/>
        <w:rPr>
          <w:rFonts w:hint="default" w:ascii="Times New Roman" w:hAnsi="Times New Roman" w:cs="Times New Roman"/>
        </w:rPr>
      </w:pPr>
      <w:r>
        <w:rPr>
          <w:rFonts w:hint="default" w:ascii="Times New Roman" w:hAnsi="Times New Roman" w:cs="Times New Roman"/>
          <w:sz w:val="40"/>
          <w:lang w:val="en-US"/>
        </w:rPr>
        <w:t>Prof. G. Anburaj</w:t>
      </w:r>
    </w:p>
    <w:p w14:paraId="49F15361">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Roman" w:cs="Times New Roman"/>
          <w:color w:val="000000"/>
          <w:kern w:val="0"/>
          <w:sz w:val="28"/>
          <w:szCs w:val="28"/>
          <w:lang w:val="en-US" w:eastAsia="zh-CN" w:bidi="ar"/>
        </w:rPr>
        <w:t>Assistant Professor of English</w:t>
      </w:r>
    </w:p>
    <w:p w14:paraId="4F700FA3">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Roman" w:cs="Times New Roman"/>
          <w:color w:val="000000"/>
          <w:kern w:val="0"/>
          <w:sz w:val="28"/>
          <w:szCs w:val="28"/>
          <w:lang w:val="en-US" w:eastAsia="zh-CN" w:bidi="ar"/>
        </w:rPr>
        <w:t>Vellore Institute of Technology,Vellore-632014,Tamil Nadu, India. anburaj.g@vit.ac.in</w:t>
      </w:r>
    </w:p>
    <w:p w14:paraId="55A5B46E">
      <w:pPr>
        <w:jc w:val="center"/>
        <w:rPr>
          <w:rFonts w:hint="default" w:ascii="Times New Roman" w:hAnsi="Times New Roman" w:cs="Times New Roman"/>
          <w:sz w:val="40"/>
          <w:lang w:val="en-US"/>
        </w:rPr>
      </w:pPr>
    </w:p>
    <w:p w14:paraId="3D238B7E">
      <w:pPr>
        <w:jc w:val="center"/>
        <w:rPr>
          <w:rFonts w:hint="default" w:ascii="Times New Roman" w:hAnsi="Times New Roman" w:cs="Times New Roman"/>
          <w:sz w:val="40"/>
          <w:lang w:val="en-US"/>
        </w:rPr>
      </w:pPr>
    </w:p>
    <w:p w14:paraId="33910059">
      <w:pPr>
        <w:jc w:val="center"/>
        <w:rPr>
          <w:rFonts w:hint="default" w:ascii="Times New Roman" w:hAnsi="Times New Roman" w:cs="Times New Roman"/>
          <w:sz w:val="40"/>
          <w:lang w:val="en-US"/>
        </w:rPr>
      </w:pPr>
    </w:p>
    <w:p w14:paraId="680BAAEA">
      <w:pPr>
        <w:jc w:val="center"/>
        <w:rPr>
          <w:rFonts w:hint="default" w:ascii="Times New Roman" w:hAnsi="Times New Roman" w:cs="Times New Roman"/>
          <w:sz w:val="40"/>
          <w:lang w:val="en-US"/>
        </w:rPr>
      </w:pPr>
    </w:p>
    <w:p w14:paraId="1C0A7A43">
      <w:pPr>
        <w:rPr>
          <w:rFonts w:hint="default" w:ascii="Times New Roman" w:hAnsi="Times New Roman" w:cs="Times New Roman"/>
          <w:lang w:val="en-US"/>
        </w:rPr>
      </w:pPr>
    </w:p>
    <w:p w14:paraId="598D7916">
      <w:pPr>
        <w:rPr>
          <w:rFonts w:hint="default" w:ascii="Times New Roman" w:hAnsi="Times New Roman" w:cs="Times New Roman"/>
          <w:lang w:val="en-US"/>
        </w:rPr>
      </w:pPr>
      <w:r>
        <w:rPr>
          <w:rFonts w:hint="default" w:ascii="Times New Roman" w:hAnsi="Times New Roman" w:cs="Times New Roman"/>
          <w:szCs w:val="24"/>
          <w:lang w:eastAsia="en-IN"/>
        </w:rPr>
        <w:drawing>
          <wp:anchor distT="0" distB="0" distL="114300" distR="114300" simplePos="0" relativeHeight="251659264" behindDoc="1" locked="0" layoutInCell="1" allowOverlap="1">
            <wp:simplePos x="0" y="0"/>
            <wp:positionH relativeFrom="column">
              <wp:posOffset>1703705</wp:posOffset>
            </wp:positionH>
            <wp:positionV relativeFrom="paragraph">
              <wp:posOffset>192405</wp:posOffset>
            </wp:positionV>
            <wp:extent cx="2165350" cy="595630"/>
            <wp:effectExtent l="0" t="0" r="6350" b="0"/>
            <wp:wrapTight wrapText="bothSides">
              <wp:wrapPolygon>
                <wp:start x="0" y="0"/>
                <wp:lineTo x="0" y="20725"/>
                <wp:lineTo x="21473" y="20725"/>
                <wp:lineTo x="21473" y="0"/>
                <wp:lineTo x="0" y="0"/>
              </wp:wrapPolygon>
            </wp:wrapTight>
            <wp:docPr id="2" name="Picture 2" descr="C:\Users\Admin\Desktop\VI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Desktop\VIT-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65350" cy="595630"/>
                    </a:xfrm>
                    <a:prstGeom prst="rect">
                      <a:avLst/>
                    </a:prstGeom>
                    <a:noFill/>
                    <a:ln>
                      <a:noFill/>
                    </a:ln>
                  </pic:spPr>
                </pic:pic>
              </a:graphicData>
            </a:graphic>
          </wp:anchor>
        </w:drawing>
      </w:r>
    </w:p>
    <w:p w14:paraId="75FD68D3">
      <w:pPr>
        <w:rPr>
          <w:rFonts w:hint="default" w:ascii="Times New Roman" w:hAnsi="Times New Roman" w:cs="Times New Roman"/>
          <w:b/>
          <w:bCs/>
          <w:sz w:val="28"/>
          <w:szCs w:val="28"/>
          <w:lang w:val="en-US"/>
        </w:rPr>
      </w:pPr>
    </w:p>
    <w:p w14:paraId="3715AD52">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ABSTRACT</w:t>
      </w:r>
    </w:p>
    <w:p w14:paraId="3D24B77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Education systems worldwide face the dual challenge of preserving national identity while preparing students for the demands of global citizenship. National education systems focus on cultivating a deep connection to cultural heritage, language, and history, emphasizing the development of civic responsibility and a sense of belonging. In contrast, international learning systems prioritize fostering global competencies such as critical thinking, adaptability, and cross-cultural understanding, preparing students to thrive in an increasingly interconnected world.</w:t>
      </w:r>
    </w:p>
    <w:p w14:paraId="6F22300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research explores the comparative advantages and disadvantages of these two educational paradigms. It examines how national systems support cultural preservation and community cohesion while addressing their potential limitations in equipping students with the skills needed for global engagement. Conversely, it assesses how international systems excel in preparing students for global challenges but often neglect the importance of cultural identity and localized learning. The study employs a mixed-methods approach, including an extensive literature review, data analysis, and case studies of educational institutions, to provide a nuanced understanding of these dynamics.</w:t>
      </w:r>
    </w:p>
    <w:p w14:paraId="1D5A0D7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findings highlight significant gaps in existing research, particularly in understanding the long-term impacts of these systems on students’ personal and professional trajectories. To address these gaps, the paper proposes a hybrid educational model that integrates the localized depth of national education with the global breadth of international learning. Such a model aims to create a balanced framework that preserves cultural heritage while fostering global competencies, ensuring students are well-prepared to navigate both local and international contexts effectively. This approach offers actionable insights for educators, policymakers, and researchers alike.</w:t>
      </w:r>
    </w:p>
    <w:p w14:paraId="3A7C7353">
      <w:pPr>
        <w:rPr>
          <w:rFonts w:hint="default" w:ascii="Times New Roman" w:hAnsi="Times New Roman" w:cs="Times New Roman"/>
          <w:sz w:val="28"/>
          <w:szCs w:val="28"/>
          <w:lang w:val="en-US"/>
        </w:rPr>
      </w:pPr>
    </w:p>
    <w:p w14:paraId="013633C1">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KEYWORDS</w:t>
      </w:r>
    </w:p>
    <w:p w14:paraId="6ABFD69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International learning, national learning, education systems, globalization, curriculum design, cultural identity, global competencies, academic mobility, hybrid education models.</w:t>
      </w:r>
    </w:p>
    <w:p w14:paraId="5E8D5A75">
      <w:pPr>
        <w:rPr>
          <w:rFonts w:hint="default" w:ascii="Times New Roman" w:hAnsi="Times New Roman" w:cs="Times New Roman"/>
          <w:b/>
          <w:bCs/>
          <w:sz w:val="28"/>
          <w:szCs w:val="28"/>
          <w:lang w:val="en-US"/>
        </w:rPr>
      </w:pPr>
    </w:p>
    <w:p w14:paraId="088A103D">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INTRODUCTION</w:t>
      </w:r>
    </w:p>
    <w:p w14:paraId="46AE613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today’s interconnected world, education systems face the critical task of equipping students with the skills, knowledge, and values necessary to navigate both local and global contexts. As globalization accelerates, traditional models of education are under increasing pressure to evolve. National education systems, deeply rooted in their respective cultures and histories, have long prioritized the preservation of cultural heritage, the promotion of national identity, and the fulfillment of local socioeconomic needs. These systems often emphasize localized curricula that reflect a nation's unique cultural, historical, and linguistic narratives. However, the rapid pace of global economic, technological, and cultural integration raises concerns about their ability to prepare students for the demands of an interconnected and highly competitive global workforce.</w:t>
      </w:r>
    </w:p>
    <w:p w14:paraId="77E1333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On the other hand, international education systems have emerged to address the needs of a globalized labor market. These systems prioritize developing global competencies, fostering critical thinking, and promoting adaptability. Curricula such as the International Baccalaureate (IB) and Cambridge International Examinations aim to create global citizens who can thrive in diverse cultural and professional environments. However, these systems are sometimes criticized for being overly universality, often failing to respect and integrate local identities and cultural specificity.</w:t>
      </w:r>
    </w:p>
    <w:p w14:paraId="2DFAF3C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dichotomy between national and international learning systems raises pivotal questions: Can national systems adapt to global challenges without losing their cultural essence? Can international systems incorporate localized elements to ensure relevance across different contexts? This paper explores these questions by critically analyzing the strengths and weaknesses of both systems, ultimately proposing strategies for a balanced and integrative approach to education.</w:t>
      </w:r>
    </w:p>
    <w:p w14:paraId="7B29A3CA">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AIM</w:t>
      </w:r>
    </w:p>
    <w:p w14:paraId="7C64DDF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primary aim of this study is to explore the dynamic relationship between national and international education systems, focusing on their distinctive characteristics, outcomes, and areas of overlap. By comparing and contrasting these systems, the research seeks to provide a nuanced understanding of their respective strengths and limitations. National learning systems, rooted in cultural heritage and local traditions, are evaluated for their role in fostering a strong sense of identity and community. Conversely, international learning systems, with their emphasis on global competencies and critical thinking, are analyzed for their ability to prepare students for the demands of a globalized world.</w:t>
      </w:r>
    </w:p>
    <w:p w14:paraId="23461DF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Additionally, the study examines the impact of these systems on three key dimensions: academic performance, cultural identity, and global readiness. Drawing on these insights, the research aims to propose practical strategies for designing hybrid education models. These models would integrate the cultural depth of national systems with the global adaptability of international curricula, ensuring students are prepared for both local and global challenges.</w:t>
      </w:r>
    </w:p>
    <w:p w14:paraId="14D6356C">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PROBLEM STATEMENT</w:t>
      </w:r>
    </w:p>
    <w:p w14:paraId="13B585D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Education systems across the globe are grappling with the challenge of meeting the dual demands of local relevance and global competence. National education systems, traditionally designed to preserve cultural heritage, promote national identity, and address local socio-economic needs, are increasingly criticized for their limited focus on global competencies. In an era of rapid globalization and interconnected economies, this inward focus risks rendering these systems inadequate for preparing students to navigate the complexities of a competitive and interdependent world.</w:t>
      </w:r>
    </w:p>
    <w:p w14:paraId="450C262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Conversely, international education systems, such as the International Baccalaureate and Cambridge curricula, are celebrated for their emphasis on critical thinking, adaptability, and global awareness. These systems equip students with skills that are highly valued in the global labor market. However, they often fail to adequately address local cultural, historical, and societal contexts. This disconnect can alienate students from their own heritage and diminish the role of education in fostering a strong sense of national identity and community belonging.</w:t>
      </w:r>
    </w:p>
    <w:p w14:paraId="342FD0E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challenge lies in striking a balance between these two approaches. How can education systems prepare students for the demands of global citizenship while ensuring they remain connected to their cultural roots? This research aims to address this critical question, highlighting the need for integrative and hybrid educational models that harmonize local and global priorities.</w:t>
      </w:r>
    </w:p>
    <w:p w14:paraId="02E54E8E">
      <w:pPr>
        <w:rPr>
          <w:rFonts w:hint="default" w:ascii="Times New Roman" w:hAnsi="Times New Roman" w:cs="Times New Roman"/>
          <w:b/>
          <w:bCs/>
          <w:sz w:val="28"/>
          <w:szCs w:val="28"/>
          <w:lang w:val="en-US"/>
        </w:rPr>
      </w:pPr>
    </w:p>
    <w:p w14:paraId="61127640">
      <w:pPr>
        <w:rPr>
          <w:rFonts w:hint="default" w:ascii="Times New Roman" w:hAnsi="Times New Roman" w:cs="Times New Roman"/>
          <w:b/>
          <w:bCs/>
          <w:sz w:val="28"/>
          <w:szCs w:val="28"/>
          <w:lang w:val="en-US"/>
        </w:rPr>
      </w:pPr>
    </w:p>
    <w:p w14:paraId="2F7A7AFB">
      <w:pP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RESEARCH GAP</w:t>
      </w:r>
    </w:p>
    <w:p w14:paraId="011EB6B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Despite increasing discussions about the role of education in a globalized world, there remains a significant gap in research addressing the comparative and integrative potential of national and international education systems. Existing studies often focus narrowly on one system, analyzing either the cultural preservation and localized benefits of national systems or the global competencies fostered by international systems. However, few studies comprehensively examine their long-term impacts on students’ academic, social, and professional trajectories. Even fewer explore how the strengths of these systems can be harmonized to create effective hybrid models. This research addresses this gap by offering a detailed comparative analysis and proposing strategies for integrating the best elements of both systems.</w:t>
      </w:r>
    </w:p>
    <w:p w14:paraId="3112B6F2">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LITERATURE REVIEW</w:t>
      </w:r>
    </w:p>
    <w:p w14:paraId="3006F50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literature review delves into foundational and contemporary studies on national and international learning systems, exploring their evolution, objectives, pedagogical approaches, and impacts. It critically examines the interplay between cultural identity, global competencies, and the potential for hybrid education models to bridge the divide.</w:t>
      </w:r>
    </w:p>
    <w:p w14:paraId="76DF7B0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National Learning Systems</w:t>
      </w:r>
    </w:p>
    <w:p w14:paraId="541BC0E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National education systems are integral to the socio-political and cultural frameworks of their respective countries. Their primary aim is to preserve cultural identity, foster a sense of national pride, and prepare students for roles within local socioeconomic contexts.</w:t>
      </w:r>
    </w:p>
    <w:p w14:paraId="5877369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Historical Context</w:t>
      </w:r>
    </w:p>
    <w:p w14:paraId="0F464BB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Scholars like Burbules &amp; Torres (2000) emphasize the pivotal role of national education in nation-building, highlighting its contributions to cultural preservation and civic responsibility. Stromquist (2002) explores how national curricula reflect the socioeconomic priorities and historical narratives of a nation, shaping students' cultural awareness and connection to their heritage.</w:t>
      </w:r>
    </w:p>
    <w:p w14:paraId="1D5679C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Pedagogical Approaches</w:t>
      </w:r>
    </w:p>
    <w:p w14:paraId="101B952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National learning systems typically emphasize standardized testing, rote memorization, and curricula centered on national history and language. While these approaches instill discipline and foundational knowledge, critics such as Carnoy (1999) argue that they may stifle creativity, critical thinking, and adaptability—skills increasingly crucial in a globalized economy.</w:t>
      </w:r>
    </w:p>
    <w:p w14:paraId="3B54BEB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International Learning Systems</w:t>
      </w:r>
    </w:p>
    <w:p w14:paraId="40186F2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International education systems prioritize developing global citizens equipped with critical thinking skills, cultural empathy, and academic mobility. Programs like the International Baccalaureate (IB) and Cambridge curricula aim to meet the demands of a globalized world.</w:t>
      </w:r>
    </w:p>
    <w:p w14:paraId="52C5BA3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Emergence and Growth</w:t>
      </w:r>
    </w:p>
    <w:p w14:paraId="63AD042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growth of international education is closely tied to globalization. Hayden &amp; Thompson (2016) discuss the rapid expansion of international schools, driven by the need for education that fosters global competencies and cross-cultural understanding. Knight (2004) highlights how economic competitiveness and cultural exchange are key motivators for the internationalization of education systems.</w:t>
      </w:r>
    </w:p>
    <w:p w14:paraId="352C24B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Curriculum and Pedagogy</w:t>
      </w:r>
    </w:p>
    <w:p w14:paraId="508970D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International curricula are often inquiry-based and student-centered, emphasizing global issues and intercultural understanding. As Altbach &amp; Knight (2007) note, such systems excel in fostering analytical skills and adaptability. However, their lack of emphasis on local cultural and historical contexts can leave students disconnected from their heritage.</w:t>
      </w:r>
    </w:p>
    <w:p w14:paraId="285B4A1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Comparative Insights</w:t>
      </w:r>
    </w:p>
    <w:p w14:paraId="0AC507E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Comparative studies underscore the distinct strengths and limitations of these systems. Marginson &amp; Wende (2007) reveal that while international systems excel in developing global competencies and academic mobility, they often neglect localized cultural identity. Conversely, national systems provide cultural grounding but may limit students' global outlook.</w:t>
      </w:r>
    </w:p>
    <w:p w14:paraId="0CC5FB42">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RESULT ANALYSIS</w:t>
      </w:r>
    </w:p>
    <w:p w14:paraId="2CAAD4D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section consolidates findings derived from surveys, interviews, and case studies to evaluate the comparative outcomes of national and international learning systems. The analysis focuses on three critical dimensions: academic performance, cultural identity, and global competencies.</w:t>
      </w:r>
    </w:p>
    <w:p w14:paraId="5816F82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Academic Performance</w:t>
      </w:r>
    </w:p>
    <w:p w14:paraId="6DFD4B1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results indicate distinct strengths and challenges associated with both systems. Students in international education systems often outperform their peers in areas requiring critical thinking, creativity, and problem-solving. These skills are integral to inquiry-based and student-centered pedagogical approaches, such as those employed in the International Baccalaureate (IB) and Cambridge curricula. However, these systems sometimes neglect in-depth studies of local languages and histories, which are crucial for fostering a strong connection to cultural roots.</w:t>
      </w:r>
    </w:p>
    <w:p w14:paraId="5ACFDEB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Conversely, students in national education systems tend to excel in linguistic proficiency and a thorough understanding of national history and culture. The structured and standardized nature of these systems ensures that students acquire a robust foundation in subjects closely aligned with their national identity. Yet, these systems often fall short in cultivating innovative thinking and adaptability, skills necessary for thriving in an interconnected global economy.</w:t>
      </w:r>
    </w:p>
    <w:p w14:paraId="1FBD852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Cultural Identity</w:t>
      </w:r>
    </w:p>
    <w:p w14:paraId="6301BFC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Cultural identity emerges as a significant differentiation</w:t>
      </w:r>
      <w:bookmarkStart w:id="0" w:name="_GoBack"/>
      <w:bookmarkEnd w:id="0"/>
      <w:r>
        <w:rPr>
          <w:rFonts w:hint="default" w:ascii="Times New Roman" w:hAnsi="Times New Roman" w:cs="Times New Roman"/>
          <w:sz w:val="28"/>
          <w:szCs w:val="28"/>
          <w:lang w:val="en-US"/>
        </w:rPr>
        <w:t>. Students educated within national systems report a stronger sense of cultural belonging, as the curricula reinforce local traditions, languages, and histories. In contrast, students in international systems develop a broader cultural perspective, gaining exposure to diverse global contexts. However, this can lead to a diminished connection to their own cultural heritage, potentially creating a sense of dislocation.</w:t>
      </w:r>
    </w:p>
    <w:p w14:paraId="242046A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Global Competencies</w:t>
      </w:r>
    </w:p>
    <w:p w14:paraId="2EED6F6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analysis underscores the superiority of international systems in fostering global competencies. These systems excel at equipping students with skills like multilingualism, adaptability, cultural empathy, and a global outlook. Such competencies are crucial for success in an increasingly interconnected and competitive world. National systems, while effective at instilling localized knowledge, often lack sufficient focus on these global skills, highlighting the need for a balanced approach.</w:t>
      </w:r>
    </w:p>
    <w:p w14:paraId="6C327B3C">
      <w:pPr>
        <w:rPr>
          <w:rFonts w:hint="default" w:ascii="Times New Roman" w:hAnsi="Times New Roman" w:cs="Times New Roman"/>
          <w:b/>
          <w:bCs/>
          <w:sz w:val="28"/>
          <w:szCs w:val="28"/>
          <w:lang w:val="en-US"/>
        </w:rPr>
      </w:pPr>
    </w:p>
    <w:p w14:paraId="2E02F578">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DISCUSSION OF RESULTS</w:t>
      </w:r>
    </w:p>
    <w:p w14:paraId="2A7E063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findings highlight the complementary strengths and limitations of national and international education systems. National systems are instrumental in preserving cultural identity, fostering a sense of belonging, and promoting civic engagement through curricula rooted in local traditions, language, and history. However, they often lack emphasis on global competencies such as critical thinking, adaptability, and cultural empathy, which are increasingly crucial in a globalized world.</w:t>
      </w:r>
    </w:p>
    <w:p w14:paraId="1543A29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contrast, international education systems excel in equipping students with global competencies, enhancing their academic mobility and preparing them for challenges in diverse cultural and professional contexts. Yet, these systems frequently neglect the cultural grounding and historical narratives essential for personal and national identity.</w:t>
      </w:r>
    </w:p>
    <w:p w14:paraId="706251D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discussion emphasizes the need for hybrid education models that merge the cultural depth of national systems with the global orientation of international curricula. By integrating critical thinking, multilingualism, and global issues into national frameworks, education can prepare students for both local and global citizenship, fostering well-rounded individuals.</w:t>
      </w:r>
    </w:p>
    <w:p w14:paraId="28316524">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UNEXPECTED FINDINGS</w:t>
      </w:r>
    </w:p>
    <w:p w14:paraId="0BA293D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An intriguing and unexpected finding of the study is the transformative role of digital technology in bridging the divide between national and international education systems. Online learning platforms and digital resources have emerged as powerful tools that enable access to global knowledge while simultaneously preserving and promoting local cultural content. For instance, students can participate in international virtual classrooms while engaging with localized digital resources that reinforce their cultural identity. This dual capability demonstrates that technology can effectively integrate the strengths of both education systems. It highlights the untapped potential of digital tools in creating hybrid educational models for a globalized world.</w:t>
      </w:r>
    </w:p>
    <w:p w14:paraId="433F8DBC">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MINOR FINDINGS</w:t>
      </w:r>
    </w:p>
    <w:p w14:paraId="15D5F8E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 minor yet noteworthy finding from this research is the emerging potential of hybrid education models that integrate both national and international learning elements. While national education systems emphasize cultural identity and local context, and international systems focus on global competencies, there is an increasing recognition that combining the two could provide a more comprehensive educational experience. This integration could be particularly effective in fostering both a strong sense of national pride and a global outlook, equipping students with the skills needed to thrive in diverse environments. The adaptability of hybrid models makes them a promising solution for modern educational needs.</w:t>
      </w:r>
    </w:p>
    <w:p w14:paraId="5C96C4A0">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SCOPE OF FURTHER RESEARCH</w:t>
      </w:r>
    </w:p>
    <w:p w14:paraId="20F091C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Future research can delve deeper into understanding the long-term impacts of national and international education systems. Longitudinal studies tracking the career trajectories, cultural identities, and global adaptability of students from these systems would provide valuable insights into their effectiveness. Additionally, the role of digital technology in facilitating hybrid education models warrants further exploration, particularly how online platforms can integrate global and local learning. Case studies of educational institutions that successfully blend national and international curricula could offer practical strategies and frameworks for implementation. Such research would inform policymakers and educators on designing inclusive and globally relevant education systems.</w:t>
      </w:r>
    </w:p>
    <w:p w14:paraId="769DF513">
      <w:pPr>
        <w:rPr>
          <w:rFonts w:hint="default" w:ascii="Times New Roman" w:hAnsi="Times New Roman" w:cs="Times New Roman"/>
          <w:sz w:val="28"/>
          <w:szCs w:val="28"/>
          <w:lang w:val="en-US"/>
        </w:rPr>
      </w:pPr>
    </w:p>
    <w:p w14:paraId="30BBFC04">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CONCLUSION</w:t>
      </w:r>
    </w:p>
    <w:p w14:paraId="18C5487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research underscores the importance of finding a balance between preserving national identity and preparing students for the global challenges of the modern world. National education systems play a crucial role in fostering cultural pride, civic responsibility, and a deep understanding of local history and traditions. However, these systems may fall short in preparing students for the increasingly interconnected global landscape. On the other hand, international education systems excel in nurturing global competencies such as critical thinking, cross-cultural communication, and adaptability, but may lack focus on local cultural context and national identity.</w:t>
      </w:r>
    </w:p>
    <w:p w14:paraId="085E0C5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By integrating the strengths of both national and international learning systems, hybrid education models can offer a more comprehensive and well-rounded educational experience. These models would equip students with the knowledge and skills necessary to succeed both locally and globally, ensuring they are prepared to navigate the complexities of a rapidly changing world while remaining connected to their cultural heritage.</w:t>
      </w:r>
    </w:p>
    <w:p w14:paraId="04151044">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REFERENCES</w:t>
      </w:r>
    </w:p>
    <w:p w14:paraId="4077CA54">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Burbules, N. C., &amp; Torres, C. A. (2000). Globalization and Education: Critical Perspectives.</w:t>
      </w:r>
    </w:p>
    <w:p w14:paraId="114468F8">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Hayden, M., &amp; Thompson, J. (2016). International Schools: Current Issues and Future Prospects.</w:t>
      </w:r>
    </w:p>
    <w:p w14:paraId="25A5D44F">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Rizvi, F., &amp; Lingard, B. (2010). Globalizing Education Policy.</w:t>
      </w:r>
    </w:p>
    <w:p w14:paraId="7396DC17">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Altbach, P. G., &amp; Knight, J. (2007). The internationalization of higher education: Motivations and realities. Journal of Studies in International Education, 11(3-4), 290-305.</w:t>
      </w:r>
    </w:p>
    <w:p w14:paraId="1852D2C4">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Stromquist, N. P. (2002). Education in a Globalized World: The Connectivity of Economic Power, Technology, and Knowledge.</w:t>
      </w:r>
    </w:p>
    <w:p w14:paraId="0B953D47">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Knight, J. (2004). Internationalization remodeled: Definition, approaches, and rationales. Journal of Studies in International Education, 8(1), 5-31.</w:t>
      </w:r>
    </w:p>
    <w:p w14:paraId="317639E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Carnoy, M. (1999). Globalization and Educational Reform: What Planners Need to Know. UNESCO.</w:t>
      </w:r>
    </w:p>
    <w:p w14:paraId="02C80E5C">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Marginson, S., &amp; Wende, M. (2007). Globalization and higher education. OECD Education Working Papers.</w:t>
      </w:r>
    </w:p>
    <w:p w14:paraId="3942142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Green, A. (2017). Education and the Globalization of Knowledge.</w:t>
      </w:r>
    </w:p>
    <w:p w14:paraId="57C9844A">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Sahlberg, P. (2011). Finnish Lessons: What Can the World Learn from Educational Change in Finland?</w:t>
      </w:r>
    </w:p>
    <w:p w14:paraId="40962BFC">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Ball, S. J. (2008). Education Policy and Social Class: The Selected Works of Stephen Ball.</w:t>
      </w:r>
    </w:p>
    <w:p w14:paraId="3A0A3D74">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Robertson, S. L. (2000). A Class Act: Changing Teachers' Work, the State, and Globalization.</w:t>
      </w:r>
    </w:p>
    <w:p w14:paraId="1EB17BE3">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Sellar, S., &amp; Lingard, B. (2013). The OECD and the globalization of education policy. Education Policy Analysis Archives, 21(4), 1-26.</w:t>
      </w:r>
    </w:p>
    <w:p w14:paraId="0BCF5C1E">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World Bank. (2008). Education and Development: Lessons from the First 25 Years of Education for All.</w:t>
      </w:r>
    </w:p>
    <w:p w14:paraId="3813F514">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Lechner, F. J., &amp; Boli, J. (2004). The Globalization Reader. Wiley-Blackwell.</w:t>
      </w:r>
    </w:p>
    <w:p w14:paraId="4166023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Sellar, S., Lingard, B., &amp; Lingard, R. (2007). International education and its role in the globalized world.</w:t>
      </w:r>
    </w:p>
    <w:p w14:paraId="37E6CE37">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Gacel-Ávila, J. (2011). Internationalization of Higher Education: A Review of the Literature.</w:t>
      </w:r>
    </w:p>
    <w:p w14:paraId="3200331E">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King, R., &amp; Raghuram, P. (2013). The Geography of Migration: A Global Perspective.</w:t>
      </w:r>
    </w:p>
    <w:p w14:paraId="2384EBE3">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Marginson, S. (2006). Dynamics of National and Global Competition in Higher Education.</w:t>
      </w:r>
    </w:p>
    <w:p w14:paraId="26750947">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Thomas, S. (2013). International Education: Developing a Global Perspective.</w:t>
      </w:r>
    </w:p>
    <w:p w14:paraId="383EF0A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Spring, J. (2008). Globalization of Education: An Introduction.</w:t>
      </w:r>
    </w:p>
    <w:p w14:paraId="3FFB4C65">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United Nations Educational, Scientific and Cultural Organization (UNESCO). (2000). World Education Report: The Right to Education.</w:t>
      </w:r>
    </w:p>
    <w:p w14:paraId="4E6BE86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Peters, M. A. (2002). Education and the Global Economy: Making Sense of Globalization.</w:t>
      </w:r>
    </w:p>
    <w:p w14:paraId="58D27697">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Hargreaves, A., &amp; Shirley, D. (2009). The Global Fourth Way: The Quest for Educational Excellence.</w:t>
      </w:r>
    </w:p>
    <w:p w14:paraId="487CACF1">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Labaree, D. F. (2006). The Trouble with Ed Schools.</w:t>
      </w:r>
    </w:p>
    <w:p w14:paraId="5F98B734">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Davis, M. (2006). Globalization, Cultural Identity, and Education Policy.</w:t>
      </w:r>
    </w:p>
    <w:p w14:paraId="098C7086">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Ho, E. S. (2014). Globalization, Education and Development in the Asia Pacific Region.</w:t>
      </w:r>
    </w:p>
    <w:p w14:paraId="1121D7B5">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Teichler, U. (2007). Higher Education and the World of Work: Conceptual Frameworks and Empirical Insights.</w:t>
      </w:r>
    </w:p>
    <w:p w14:paraId="72AD0FD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Hallinger, P., &amp; Lee, M. (2011). Educational Leadership and Globalization: A Critical Perspective.</w:t>
      </w:r>
    </w:p>
    <w:p w14:paraId="6BB35C9E">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Adams, D. (2012). National Education Systems and Globalization: An International Review.</w:t>
      </w:r>
    </w:p>
    <w:p w14:paraId="3B78ACCF">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Lopez, J. A., &amp; De Meester, S. (2011). Comparing National and International Curricula in Education.</w:t>
      </w:r>
    </w:p>
    <w:p w14:paraId="6BD90D8B">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Beck, U. (2000). What is Globalization? Polity Press.</w:t>
      </w:r>
    </w:p>
    <w:p w14:paraId="7276AF9F">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Campbell, C. (2011). National Identity and Education Systems.</w:t>
      </w:r>
    </w:p>
    <w:p w14:paraId="42BED6B1">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Zha, Q. (2009). Internationalization and Its Challenges in Higher Education.</w:t>
      </w:r>
    </w:p>
    <w:p w14:paraId="2F0B1AFC">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Darling-Hammond, L. (2000). The Right to Learn: A Blueprint for Creating Schools that Work.</w:t>
      </w:r>
    </w:p>
    <w:p w14:paraId="7FD1836B">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Lee, C. K. (2007). The Globalization of Education and Its Impact on Pedagogy.</w:t>
      </w:r>
    </w:p>
    <w:p w14:paraId="37A04195">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Ball, S. J., &amp; Junemann, C. (2012). Education Policy and Globalization: The Global Governance of Education.</w:t>
      </w:r>
    </w:p>
    <w:p w14:paraId="54870530">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Banks, J. A. (2008). Diversity and Citizenship Education: Global Perspectives.</w:t>
      </w:r>
    </w:p>
    <w:p w14:paraId="419B3A9A">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Shor, I. (1992). Empowering Education: Critical Teaching for Social Change.</w:t>
      </w:r>
    </w:p>
    <w:p w14:paraId="49FA282A">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Brown, P. (2000). Globalization and the Political Economy of Education.</w:t>
      </w:r>
    </w:p>
    <w:p w14:paraId="24274026">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Crossley, M., &amp; Watson, K. (2003). Comparative and International Research in Education: Globalization, Context, and Difference.</w:t>
      </w:r>
    </w:p>
    <w:p w14:paraId="63726E85">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Hillyard, P., &amp; Tombs, S. (2004). Globalization and Education.</w:t>
      </w:r>
    </w:p>
    <w:p w14:paraId="642D9021">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Becher, T., &amp; Trowler, P. R. (2001). Academic Tribes and Territories: Intellectual Enquiry and the Culture of Disciplines.</w:t>
      </w:r>
    </w:p>
    <w:p w14:paraId="5E0E6F71">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Altbach, P. G. (2004). Globalization and the University: Realities in an Unequal World.</w:t>
      </w:r>
    </w:p>
    <w:p w14:paraId="593B9D2C">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King, R., &amp; Raghuram, P. (2013). The Geography of Migration: A Global Perspective.</w:t>
      </w:r>
    </w:p>
    <w:p w14:paraId="5D4DCF7D">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Marginson, S. (2011). Higher Education and Globalization: The Internationalization of Universities.</w:t>
      </w:r>
    </w:p>
    <w:p w14:paraId="20A1FBA1">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King, R. (2002). Internationalization and Trade in Education.</w:t>
      </w:r>
    </w:p>
    <w:p w14:paraId="40CDFE80">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Morsy, S. (2004). Globalization and Education: Challenges for the Future.</w:t>
      </w:r>
    </w:p>
    <w:p w14:paraId="3520F708">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Levin, B. (2001). Rethinking the Role of Education in Globalization.</w:t>
      </w:r>
    </w:p>
    <w:p w14:paraId="5EA3B049">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Fenton, L. (2008). The Impact of Globalization on National Education Systems.</w:t>
      </w:r>
    </w:p>
    <w:p w14:paraId="7C9DFD6A">
      <w:pPr>
        <w:rPr>
          <w:rFonts w:hint="default" w:ascii="Times New Roman" w:hAnsi="Times New Roman" w:cs="Times New Roman"/>
          <w:sz w:val="28"/>
          <w:szCs w:val="28"/>
          <w:lang w:val="en-US"/>
        </w:rPr>
      </w:pPr>
    </w:p>
    <w:sectPr>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imes-Roman">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CD6D3"/>
    <w:multiLevelType w:val="singleLevel"/>
    <w:tmpl w:val="01ECD6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DB"/>
    <w:rsid w:val="00494D5A"/>
    <w:rsid w:val="0098026C"/>
    <w:rsid w:val="00F174DB"/>
    <w:rsid w:val="1D873B3F"/>
    <w:rsid w:val="56A97498"/>
    <w:rsid w:val="60D1488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21</Words>
  <Characters>120</Characters>
  <Lines>1</Lines>
  <Paragraphs>1</Paragraphs>
  <TotalTime>49</TotalTime>
  <ScaleCrop>false</ScaleCrop>
  <LinksUpToDate>false</LinksUpToDate>
  <CharactersWithSpaces>140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2024-10-22T06:18:00Z</dcterms:created>
  <dc:creator>Admin</dc:creator>
  <cp:lastModifiedBy>Manan Mahajan</cp:lastModifiedBy>
  <dcterms:modified xsi:type="dcterms:W3CDTF">2024-11-18T18:17:31Z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A9289F36FC76420BB297D8DCFE8E9653_13</vt:lpwstr>
  </property>
</Properties>
</file>