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B0" w:rsidRDefault="00F317E4" w:rsidP="00EE70B0">
      <w:pPr>
        <w:jc w:val="center"/>
        <w:rPr>
          <w:rFonts w:ascii="Times New Roman" w:hAnsi="Times New Roman" w:cs="Times New Roman"/>
          <w:b/>
          <w:sz w:val="32"/>
          <w:szCs w:val="32"/>
        </w:rPr>
      </w:pPr>
      <w:r w:rsidRPr="00BD5018">
        <w:rPr>
          <w:rFonts w:ascii="Times New Roman" w:hAnsi="Times New Roman" w:cs="Times New Roman"/>
          <w:b/>
          <w:sz w:val="32"/>
          <w:szCs w:val="32"/>
        </w:rPr>
        <w:t>FUNCTION OF SOLAR ENERGY IN FARMING AND RECYCLING IN FARMING PRODUCTS</w:t>
      </w:r>
    </w:p>
    <w:p w:rsidR="00F317E4" w:rsidRDefault="00F317E4" w:rsidP="00EE70B0">
      <w:pPr>
        <w:jc w:val="center"/>
        <w:rPr>
          <w:rFonts w:ascii="Times New Roman" w:hAnsi="Times New Roman" w:cs="Times New Roman"/>
          <w:sz w:val="24"/>
          <w:szCs w:val="24"/>
        </w:rPr>
      </w:pPr>
      <w:r>
        <w:rPr>
          <w:rFonts w:ascii="Times New Roman" w:hAnsi="Times New Roman" w:cs="Times New Roman"/>
          <w:sz w:val="24"/>
          <w:szCs w:val="24"/>
        </w:rPr>
        <w:t xml:space="preserve"> N.Tamiloli</w:t>
      </w:r>
      <w:r w:rsidRPr="00F317E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317E4">
        <w:rPr>
          <w:rFonts w:ascii="Times New Roman" w:hAnsi="Times New Roman" w:cs="Times New Roman"/>
          <w:sz w:val="24"/>
          <w:szCs w:val="24"/>
        </w:rPr>
        <w:t>V.Thirumurugan</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S.Vallarasu</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K.G Vignesh kumar</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D.Mohan</w:t>
      </w:r>
      <w:r w:rsidRPr="00F317E4">
        <w:rPr>
          <w:rFonts w:ascii="Times New Roman" w:hAnsi="Times New Roman" w:cs="Times New Roman"/>
          <w:sz w:val="24"/>
          <w:szCs w:val="24"/>
          <w:vertAlign w:val="superscript"/>
        </w:rPr>
        <w:t>2</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1. Professor, Department of Mechanical Engineering, PERI Institute of Technology,</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 xml:space="preserve">Chennai </w:t>
      </w:r>
      <w:r w:rsidR="00B84D5C">
        <w:rPr>
          <w:rFonts w:ascii="Times New Roman" w:hAnsi="Times New Roman" w:cs="Times New Roman"/>
          <w:sz w:val="24"/>
          <w:szCs w:val="24"/>
        </w:rPr>
        <w:t>-</w:t>
      </w:r>
      <w:r>
        <w:rPr>
          <w:rFonts w:ascii="Times New Roman" w:hAnsi="Times New Roman" w:cs="Times New Roman"/>
          <w:sz w:val="24"/>
          <w:szCs w:val="24"/>
        </w:rPr>
        <w:t>600048.</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2. Students, Department of Mechanical Engineering, PERI Institute of Technology,</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Chennai</w:t>
      </w:r>
      <w:r w:rsidR="00B84D5C">
        <w:rPr>
          <w:rFonts w:ascii="Times New Roman" w:hAnsi="Times New Roman" w:cs="Times New Roman"/>
          <w:sz w:val="24"/>
          <w:szCs w:val="24"/>
        </w:rPr>
        <w:t>-</w:t>
      </w:r>
      <w:r>
        <w:rPr>
          <w:rFonts w:ascii="Times New Roman" w:hAnsi="Times New Roman" w:cs="Times New Roman"/>
          <w:sz w:val="24"/>
          <w:szCs w:val="24"/>
        </w:rPr>
        <w:t xml:space="preserve"> 600048.</w:t>
      </w:r>
    </w:p>
    <w:p w:rsidR="00B84D5C" w:rsidRDefault="00B84D5C" w:rsidP="00F317E4">
      <w:pPr>
        <w:jc w:val="center"/>
        <w:rPr>
          <w:rFonts w:ascii="Times New Roman" w:hAnsi="Times New Roman" w:cs="Times New Roman"/>
          <w:sz w:val="24"/>
          <w:szCs w:val="24"/>
        </w:rPr>
      </w:pPr>
      <w:r>
        <w:rPr>
          <w:rFonts w:ascii="Times New Roman" w:hAnsi="Times New Roman" w:cs="Times New Roman"/>
          <w:sz w:val="24"/>
          <w:szCs w:val="24"/>
        </w:rPr>
        <w:t>Email: tamiloligg@gmail.com</w:t>
      </w:r>
    </w:p>
    <w:p w:rsidR="00A17BCE" w:rsidRDefault="00096F7D" w:rsidP="00A17BCE">
      <w:pPr>
        <w:spacing w:before="100" w:beforeAutospacing="1" w:after="100" w:afterAutospacing="1" w:line="360" w:lineRule="auto"/>
        <w:outlineLvl w:val="1"/>
        <w:rPr>
          <w:rFonts w:ascii="Times New Roman" w:eastAsia="Times New Roman" w:hAnsi="Times New Roman" w:cs="Times New Roman"/>
          <w:b/>
          <w:bCs/>
          <w:sz w:val="28"/>
          <w:szCs w:val="28"/>
        </w:rPr>
      </w:pPr>
      <w:r w:rsidRPr="00A17BCE">
        <w:rPr>
          <w:rFonts w:ascii="Times New Roman" w:eastAsia="Times New Roman" w:hAnsi="Times New Roman" w:cs="Times New Roman"/>
          <w:b/>
          <w:bCs/>
          <w:sz w:val="28"/>
          <w:szCs w:val="28"/>
        </w:rPr>
        <w:t>Abstract</w:t>
      </w:r>
    </w:p>
    <w:p w:rsidR="00CE048A" w:rsidRDefault="00CE048A" w:rsidP="00C31554">
      <w:pPr>
        <w:pStyle w:val="NormalWeb"/>
        <w:spacing w:line="360" w:lineRule="auto"/>
        <w:jc w:val="both"/>
        <w:rPr>
          <w:b/>
        </w:rPr>
      </w:pPr>
      <w:r>
        <w:t>The fusion of solar power and waste recycling within agriculture presents substantial advantages for ecofriendliness and efficiency. Solar-powered technologies, including irrigation systems and refrigeration, offer sustainable alternatives to conventional energy practices, lessening reliance on fossil fuels and diminishing ecological impact. Solar energy enhances water conservation in irrigation, lessens post-harvest waste through improved storage solutions, and energizes farming machinery. Transforming agricultural byproducts, such as plant remains and food waste, into compost or bioenergy furthers ecological sustainability by nourishing the soil and decreasing refuse. Moreover, reprocessing plastic materials utilized in agriculture aids in lowering pollution levels and preserving resources. Collectively, solar power and recycling can foster a more robust, green agricultural framework that minimizes carbon emissions, secures food supply, and supports environmental preservation. This document explores the real-world applications of these strategies and their potential for further advancement in agriculture.</w:t>
      </w:r>
    </w:p>
    <w:p w:rsidR="00EE70B0" w:rsidRDefault="00497102" w:rsidP="00C31554">
      <w:pPr>
        <w:pStyle w:val="NormalWeb"/>
        <w:spacing w:line="360" w:lineRule="auto"/>
        <w:jc w:val="both"/>
        <w:rPr>
          <w:b/>
          <w:sz w:val="36"/>
          <w:szCs w:val="36"/>
        </w:rPr>
      </w:pPr>
      <w:r w:rsidRPr="00616712">
        <w:rPr>
          <w:b/>
        </w:rPr>
        <w:t>Key words</w:t>
      </w:r>
      <w:r>
        <w:t>: Energy, Agriculture, Greenhouse, carbon.</w:t>
      </w:r>
    </w:p>
    <w:p w:rsidR="00A30CD3" w:rsidRPr="00BB6814" w:rsidRDefault="00F00766" w:rsidP="00F00766">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1.</w:t>
      </w:r>
      <w:r w:rsidR="00BB6814" w:rsidRPr="00BB6814">
        <w:rPr>
          <w:rStyle w:val="Strong"/>
          <w:rFonts w:ascii="Times New Roman" w:hAnsi="Times New Roman" w:cs="Times New Roman"/>
          <w:b/>
          <w:bCs/>
          <w:color w:val="auto"/>
          <w:sz w:val="24"/>
          <w:szCs w:val="24"/>
        </w:rPr>
        <w:t>INTRODUCTION</w:t>
      </w:r>
    </w:p>
    <w:p w:rsidR="00A30CD3" w:rsidRPr="00BB6814" w:rsidRDefault="00A30CD3" w:rsidP="00BB6814">
      <w:pPr>
        <w:pStyle w:val="NormalWeb"/>
        <w:spacing w:line="360" w:lineRule="auto"/>
        <w:ind w:firstLine="720"/>
        <w:jc w:val="both"/>
      </w:pPr>
      <w:r w:rsidRPr="00BB6814">
        <w:t xml:space="preserve">Agriculture, the backbone of human civilization, faces increasing pressure to meet the growing global demand for food, fiber, and fuel while addressing sustainability challenges. The integration of renewable energy sources, particularly solar energy, into agricultural practices has </w:t>
      </w:r>
      <w:r w:rsidRPr="00BB6814">
        <w:lastRenderedPageBreak/>
        <w:t>emerged as a transformative solution. Coupled with innovative recycling methods for agricultural by-products, these advancements are reshaping the modern agricultural landscape by fostering energy efficiency, reducing waste, and promoting environmental sustainability.</w:t>
      </w:r>
    </w:p>
    <w:p w:rsidR="00A30CD3" w:rsidRPr="00BB6814" w:rsidRDefault="00A30CD3" w:rsidP="00BB6814">
      <w:pPr>
        <w:pStyle w:val="NormalWeb"/>
        <w:spacing w:line="360" w:lineRule="auto"/>
        <w:ind w:firstLine="720"/>
        <w:jc w:val="both"/>
      </w:pPr>
      <w:r w:rsidRPr="00BB6814">
        <w:rPr>
          <w:rStyle w:val="Strong"/>
          <w:b w:val="0"/>
        </w:rPr>
        <w:t>Solar energy</w:t>
      </w:r>
      <w:r w:rsidRPr="00BB6814">
        <w:t xml:space="preserve"> offers a clean, abundant, and renewable source of power, making it an ideal solution for the energy-intensive agricultural sector. Its applications in agriculture are diverse, ranging from solar-powered irrigation systems and greenhouses to crop drying and machinery operation. These technologies significantly reduce dependence on fossil fuels, mitigate greenhouse gas emissions, and provide cost-effective energy solutions to farmers, particularly in remote areas. By leveraging solar energy, farmers can achieve year-round productivity, optimize resource utilization, and ensure food security in the face of climate change.</w:t>
      </w:r>
    </w:p>
    <w:p w:rsidR="00A30CD3" w:rsidRPr="00BB6814" w:rsidRDefault="00A30CD3" w:rsidP="00BB6814">
      <w:pPr>
        <w:pStyle w:val="NormalWeb"/>
        <w:spacing w:line="360" w:lineRule="auto"/>
        <w:ind w:firstLine="720"/>
        <w:jc w:val="both"/>
      </w:pPr>
      <w:r w:rsidRPr="00BB6814">
        <w:t xml:space="preserve">One of the most notable applications is </w:t>
      </w:r>
      <w:r w:rsidRPr="00BB6814">
        <w:rPr>
          <w:rStyle w:val="Strong"/>
          <w:b w:val="0"/>
        </w:rPr>
        <w:t>solar irrigation</w:t>
      </w:r>
      <w:r w:rsidRPr="00BB6814">
        <w:t xml:space="preserve">, which utilizes solar-powered pumps to extract and distribute water for crops. Unlike traditional diesel-powered pumps, solar pumps operate without emitting harmful pollutants, are cost-effective in the long run, and are particularly beneficial in regions with unreliable electricity access. Similarly, </w:t>
      </w:r>
      <w:r w:rsidRPr="00BB6814">
        <w:rPr>
          <w:rStyle w:val="Strong"/>
          <w:b w:val="0"/>
        </w:rPr>
        <w:t>solar drying systems</w:t>
      </w:r>
      <w:r w:rsidRPr="00BB6814">
        <w:t xml:space="preserve"> offer an efficient and eco-friendly method to preserve produce, extending its shelf life while maintaining nutritional quality. The use of solar energy in greenhouses is another groundbreaking innovation, enabling farmers to maintain optimal growing conditions for crops throughout the year while significantly reducing energy costs.</w:t>
      </w:r>
    </w:p>
    <w:p w:rsidR="00A30CD3" w:rsidRPr="00BB6814" w:rsidRDefault="00A30CD3" w:rsidP="00BB6814">
      <w:pPr>
        <w:pStyle w:val="NormalWeb"/>
        <w:spacing w:line="360" w:lineRule="auto"/>
        <w:ind w:firstLine="720"/>
        <w:jc w:val="both"/>
      </w:pPr>
      <w:r w:rsidRPr="00BB6814">
        <w:t xml:space="preserve">Alongside harnessing solar energy, the agricultural sector is increasingly embracing </w:t>
      </w:r>
      <w:r w:rsidRPr="00BB6814">
        <w:rPr>
          <w:rStyle w:val="Strong"/>
          <w:b w:val="0"/>
        </w:rPr>
        <w:t>recycling practices</w:t>
      </w:r>
      <w:r w:rsidRPr="00BB6814">
        <w:t xml:space="preserve"> to address the problem of agricultural waste. Crop residues, animal manure, and other organic by-products are often discarded or burned, contributing to pollution and resource wastage. However, these materials can be transformed into valuable resources through recycling technologies such as composting, anaerobic digestion, and biochar production. These practices not only reduce waste but also enhance soil fertility, sequester carbon, and provide renewable energy sources like biogas.</w:t>
      </w:r>
    </w:p>
    <w:p w:rsidR="00A30CD3" w:rsidRPr="00BB6814" w:rsidRDefault="00A30CD3" w:rsidP="00BB6814">
      <w:pPr>
        <w:pStyle w:val="NormalWeb"/>
        <w:spacing w:line="360" w:lineRule="auto"/>
        <w:ind w:firstLine="720"/>
        <w:jc w:val="both"/>
      </w:pPr>
      <w:r w:rsidRPr="00BB6814">
        <w:t xml:space="preserve">Recycling in agriculture extends to innovative uses of non-organic waste. For instance, plastic waste from agricultural operations, such as mulch films and greenhouse covers, can be recycled to manufacture durable products like fencing or irrigation pipes. Similarly, </w:t>
      </w:r>
      <w:r w:rsidRPr="00BB6814">
        <w:lastRenderedPageBreak/>
        <w:t>advancements in bioplastic production, using agricultural feedstocks such as corn and sugarcane, offer sustainable alternatives to petroleum-based plastics, reducing environmental harm.</w:t>
      </w:r>
    </w:p>
    <w:p w:rsidR="00A30CD3" w:rsidRPr="00BB6814" w:rsidRDefault="00A30CD3" w:rsidP="00BB6814">
      <w:pPr>
        <w:pStyle w:val="NormalWeb"/>
        <w:spacing w:line="360" w:lineRule="auto"/>
        <w:ind w:firstLine="720"/>
        <w:jc w:val="both"/>
      </w:pPr>
      <w:r w:rsidRPr="00BB6814">
        <w:t xml:space="preserve">The convergence of solar energy and recycling practices in agriculture represents a paradigm shift towards a </w:t>
      </w:r>
      <w:r w:rsidRPr="00BB6814">
        <w:rPr>
          <w:rStyle w:val="Strong"/>
          <w:b w:val="0"/>
        </w:rPr>
        <w:t>circular economy</w:t>
      </w:r>
      <w:r w:rsidRPr="00BB6814">
        <w:t>, where resources are reused and energy is derived from renewable sources. This dual approach addresses critical challenges such as resource scarcity, energy insecurity, and environmental degradation while improving the livelihoods of farmers. Furthermore, these practices align with global sustainability goals, such as the United Nations Sustainable Development Goals (SDGs), by promoting affordable and clean energy (SDG 7), responsible consumption and production (SDG 12), and climate action (SDG 13).</w:t>
      </w:r>
    </w:p>
    <w:p w:rsidR="00A17BCE" w:rsidRDefault="00A30CD3" w:rsidP="00A17BCE">
      <w:pPr>
        <w:pStyle w:val="NormalWeb"/>
        <w:spacing w:line="360" w:lineRule="auto"/>
        <w:ind w:firstLine="720"/>
        <w:jc w:val="both"/>
      </w:pPr>
      <w:r w:rsidRPr="00BB6814">
        <w:t>In conclusion, the application of solar energy and recycling in agriculture is more than an innovation; it is a necessity for ensuring sustainable food production in the modern world. By integrating these practices, the agricultural sector can become more resilient, environmentally friendly, and economically viable, paving the way for a sustainable future.</w:t>
      </w:r>
      <w:r w:rsidR="00E022BD">
        <w:t xml:space="preserve"> </w:t>
      </w:r>
      <w:r w:rsidRPr="00A30CD3">
        <w:t>Solar-powered irrigation systems have been extensively studied for their potential to replace conventional diesel-powered pumps. According to Kumar et al. (2020), solar pumps offer significant cost savings and environmental benefits, particularly in remote areas with limited access to the grid. Studies in India and Sub-Saharan Africa demonstrate increased agricultural productivity and reduced operational costs (Sharma &amp; Singh, 2019).Solar drying technologies are critical for preserving agricultural produce, thereby reducing post-harvest losses. Research by Azam et al. (2018) highlights the efficiency of indirect solar dryers in maintaining the quality of fruits and vegetables. Comparative studies show that solar dryers outperform traditional sun drying in terms of speed, hygiene, and product quality (Gomez et al., 2021).</w:t>
      </w:r>
    </w:p>
    <w:p w:rsidR="00E94240" w:rsidRDefault="00A30CD3" w:rsidP="00A17BCE">
      <w:pPr>
        <w:pStyle w:val="NormalWeb"/>
        <w:spacing w:line="360" w:lineRule="auto"/>
        <w:ind w:firstLine="720"/>
        <w:jc w:val="both"/>
      </w:pPr>
      <w:r w:rsidRPr="00A30CD3">
        <w:t xml:space="preserve">Solar greenhouses utilize solar energy to regulate internal temperatures, enabling year-round cultivation. Lee et al. (2022) explore the integration of photovoltaic panels with greenhouse structures to provide both electricity and thermal energy. These systems enhance crop yields and reduce dependency on external energy sources, as evidenced by case studies in the Netherlands and Japan (Van der Veen &amp; De Jong, 2020).The development of solar-powered agricultural machinery, including tractors and irrigation equipment, is an emerging field. Zhang et al. (2021) discuss the advancements in photovoltaic technology that make solar-powered </w:t>
      </w:r>
      <w:r w:rsidRPr="00A30CD3">
        <w:lastRenderedPageBreak/>
        <w:t>machinery feasible. However, challenges such as energy storage and initial investment costs remain barriers to widespread adoption (Miller &amp; Thompson, 2019).</w:t>
      </w:r>
      <w:r w:rsidR="00C31554">
        <w:t xml:space="preserve"> </w:t>
      </w:r>
      <w:r w:rsidRPr="00A30CD3">
        <w:t xml:space="preserve">Composting and anaerobic digestion are the most researched methods for recycling organic agricultural waste. Studies by Sharma et al. (2020) showed that composting improves soil health by returning nutrients to the soil. </w:t>
      </w:r>
    </w:p>
    <w:p w:rsidR="00F00766" w:rsidRPr="00F00766" w:rsidRDefault="00F00766" w:rsidP="00F00766">
      <w:pPr>
        <w:pStyle w:val="Heading4"/>
        <w:spacing w:line="360" w:lineRule="auto"/>
        <w:jc w:val="both"/>
        <w:rPr>
          <w:rStyle w:val="Strong"/>
          <w:rFonts w:ascii="Times New Roman" w:hAnsi="Times New Roman" w:cs="Times New Roman"/>
          <w:bCs/>
          <w:i w:val="0"/>
          <w:color w:val="auto"/>
          <w:sz w:val="24"/>
          <w:szCs w:val="24"/>
        </w:rPr>
      </w:pPr>
      <w:r w:rsidRPr="00F00766">
        <w:rPr>
          <w:rStyle w:val="Strong"/>
          <w:rFonts w:ascii="Times New Roman" w:hAnsi="Times New Roman" w:cs="Times New Roman"/>
          <w:bCs/>
          <w:i w:val="0"/>
          <w:color w:val="auto"/>
          <w:sz w:val="24"/>
          <w:szCs w:val="24"/>
        </w:rPr>
        <w:t>Also, Zhang et al.( 2019) demonstrated the profitable viability of anaerobic digestion, which produces biogas for energy and nutrient-rich slurry as a toxin. Crop Residue Application</w:t>
      </w:r>
      <w:r>
        <w:rPr>
          <w:rStyle w:val="Strong"/>
          <w:rFonts w:ascii="Times New Roman" w:hAnsi="Times New Roman" w:cs="Times New Roman"/>
          <w:bCs/>
          <w:i w:val="0"/>
          <w:color w:val="auto"/>
          <w:sz w:val="24"/>
          <w:szCs w:val="24"/>
        </w:rPr>
        <w:t xml:space="preserve"> </w:t>
      </w:r>
      <w:r w:rsidRPr="00F00766">
        <w:rPr>
          <w:rStyle w:val="Strong"/>
          <w:rFonts w:ascii="Times New Roman" w:hAnsi="Times New Roman" w:cs="Times New Roman"/>
          <w:bCs/>
          <w:i w:val="0"/>
          <w:color w:val="auto"/>
          <w:sz w:val="24"/>
          <w:szCs w:val="24"/>
        </w:rPr>
        <w:t>Burning of crop remainders, similar as paddy straw, has been a patient issue in husbandry. exploration by Lal et al.( 2021) proposed using these remainders for biochar product, which enhances soil fertility and sequesters carbon. Other studies have explored using crop remainders in the product of biofuels and bioplastics, creating a indirect frugality in husbandry. Multiple studies, including those by Singh et al.( 2021), emphasize the part of biogas shops in pastoral husbandry. By converting ordure and organic waste into energy, biogas systems reduce reliance on conventional energies while managing waste sustainably. exploration by Geyer et al.( 2020) stressed the issue of plastic waste in husbandry, including mulch flicks and hothouse covers. The study supported for recycling programs and the development of biodegradable plastics to minimize environmental impact.</w:t>
      </w:r>
    </w:p>
    <w:p w:rsidR="00A30CD3" w:rsidRPr="00BB6814" w:rsidRDefault="00F00766" w:rsidP="009601EA">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t>2</w:t>
      </w:r>
      <w:r w:rsidR="009601EA">
        <w:rPr>
          <w:rStyle w:val="Strong"/>
          <w:rFonts w:ascii="Times New Roman" w:hAnsi="Times New Roman" w:cs="Times New Roman"/>
          <w:b/>
          <w:bCs/>
          <w:i w:val="0"/>
          <w:color w:val="auto"/>
          <w:sz w:val="24"/>
          <w:szCs w:val="24"/>
        </w:rPr>
        <w:t xml:space="preserve">. METHODS OF </w:t>
      </w:r>
      <w:r w:rsidR="009601EA" w:rsidRPr="00BB6814">
        <w:rPr>
          <w:rStyle w:val="Strong"/>
          <w:rFonts w:ascii="Times New Roman" w:hAnsi="Times New Roman" w:cs="Times New Roman"/>
          <w:b/>
          <w:bCs/>
          <w:i w:val="0"/>
          <w:color w:val="auto"/>
          <w:sz w:val="24"/>
          <w:szCs w:val="24"/>
        </w:rPr>
        <w:t>RECYCLING IN AGRICULTURE</w:t>
      </w:r>
    </w:p>
    <w:p w:rsidR="00A30CD3" w:rsidRPr="00A17BCE" w:rsidRDefault="00F00766" w:rsidP="002845B9">
      <w:pPr>
        <w:pStyle w:val="Heading5"/>
        <w:spacing w:line="360" w:lineRule="auto"/>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17BCE" w:rsidRPr="00A17BCE">
        <w:rPr>
          <w:rStyle w:val="Strong"/>
          <w:rFonts w:ascii="Times New Roman" w:hAnsi="Times New Roman" w:cs="Times New Roman"/>
          <w:b w:val="0"/>
          <w:bCs w:val="0"/>
          <w:color w:val="auto"/>
          <w:sz w:val="24"/>
          <w:szCs w:val="24"/>
        </w:rPr>
        <w:t>.1 Organic Waste Recycling</w:t>
      </w:r>
    </w:p>
    <w:p w:rsidR="00CB489B" w:rsidRDefault="00A30CD3" w:rsidP="003828FC">
      <w:pPr>
        <w:pStyle w:val="NormalWeb"/>
        <w:spacing w:line="360" w:lineRule="auto"/>
      </w:pPr>
      <w:r>
        <w:t>Organic waste recycling through composting and anaerobic digestion transforms agricultural residues into valuable soil amendments and biogas. Smith et al. (2020) emphasize the role of composting in enhancing soil fertility and reducing reliance on chemical fertilizers. Additionally, biogas production from manure offers renewable energy while mitigating greenhouse gas emissions (Johnson &amp; Lee, 2018).</w:t>
      </w:r>
      <w:r w:rsidR="00CB489B">
        <w:t>Organic waste recycling refers to the process of converting organic materials, such as crop residues, manure, food waste, and other biodegradable materials, into valuable products like compost, biogas, and biofertilizers. This process reduces the environmental impact of waste disposal and contributes to sustainable agriculture by enhancing soil health, reducing the need for chemical fertilizers, and generating renewable energy.</w:t>
      </w:r>
    </w:p>
    <w:p w:rsidR="002845B9" w:rsidRDefault="00CB489B" w:rsidP="002845B9">
      <w:pPr>
        <w:pStyle w:val="NormalWeb"/>
        <w:spacing w:line="360" w:lineRule="auto"/>
        <w:jc w:val="center"/>
      </w:pPr>
      <w:r>
        <w:rPr>
          <w:noProof/>
        </w:rPr>
        <w:lastRenderedPageBreak/>
        <w:drawing>
          <wp:inline distT="0" distB="0" distL="0" distR="0">
            <wp:extent cx="3209925" cy="29908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3209925" cy="2990850"/>
                    </a:xfrm>
                    <a:prstGeom prst="rect">
                      <a:avLst/>
                    </a:prstGeom>
                    <a:noFill/>
                    <a:ln w="9525">
                      <a:noFill/>
                      <a:miter lim="800000"/>
                      <a:headEnd/>
                      <a:tailEnd/>
                    </a:ln>
                  </pic:spPr>
                </pic:pic>
              </a:graphicData>
            </a:graphic>
          </wp:inline>
        </w:drawing>
      </w:r>
    </w:p>
    <w:p w:rsidR="00BB6814" w:rsidRPr="00BB6814" w:rsidRDefault="00BB6814" w:rsidP="002845B9">
      <w:pPr>
        <w:tabs>
          <w:tab w:val="left" w:pos="5985"/>
        </w:tabs>
        <w:jc w:val="center"/>
        <w:rPr>
          <w:rStyle w:val="Strong"/>
          <w:rFonts w:ascii="Times New Roman" w:hAnsi="Times New Roman" w:cs="Times New Roman"/>
          <w:b w:val="0"/>
          <w:bCs w:val="0"/>
          <w:sz w:val="24"/>
          <w:szCs w:val="24"/>
        </w:rPr>
      </w:pPr>
      <w:r w:rsidRPr="00BB6814">
        <w:rPr>
          <w:rStyle w:val="Strong"/>
          <w:rFonts w:ascii="Times New Roman" w:hAnsi="Times New Roman" w:cs="Times New Roman"/>
          <w:b w:val="0"/>
          <w:bCs w:val="0"/>
          <w:sz w:val="24"/>
          <w:szCs w:val="24"/>
        </w:rPr>
        <w:t>Figure 1 Organic Recycling</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30CD3" w:rsidRPr="00A17BCE">
        <w:rPr>
          <w:rStyle w:val="Strong"/>
          <w:rFonts w:ascii="Times New Roman" w:hAnsi="Times New Roman" w:cs="Times New Roman"/>
          <w:b w:val="0"/>
          <w:bCs w:val="0"/>
          <w:color w:val="auto"/>
          <w:sz w:val="24"/>
          <w:szCs w:val="24"/>
        </w:rPr>
        <w:t>.2 Conversion of Crop Residues</w:t>
      </w:r>
    </w:p>
    <w:p w:rsidR="00A30CD3" w:rsidRPr="00BB6814" w:rsidRDefault="00A30CD3" w:rsidP="00BB6814">
      <w:pPr>
        <w:pStyle w:val="NormalWeb"/>
        <w:spacing w:line="360" w:lineRule="auto"/>
        <w:jc w:val="both"/>
      </w:pPr>
      <w:r w:rsidRPr="00BB6814">
        <w:t>Crop residue management is crucial for sustainable agriculture. Rahman et al. (2019) explore the conversion of straw and husk into bioenergy, animal feed, and building materials. Effective utilization of crop residues not only reduces waste but also provides additional revenue streams for farmers (Patel &amp; Kumar, 2021).</w:t>
      </w:r>
    </w:p>
    <w:p w:rsidR="00CB489B" w:rsidRPr="00A17BCE" w:rsidRDefault="00F00766" w:rsidP="00BB6814">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Cs/>
          <w:color w:val="auto"/>
          <w:sz w:val="24"/>
          <w:szCs w:val="24"/>
        </w:rPr>
        <w:t>2</w:t>
      </w:r>
      <w:r w:rsidR="00BB6814" w:rsidRPr="00A17BCE">
        <w:rPr>
          <w:rStyle w:val="Strong"/>
          <w:rFonts w:ascii="Times New Roman" w:hAnsi="Times New Roman" w:cs="Times New Roman"/>
          <w:bCs/>
          <w:color w:val="auto"/>
          <w:sz w:val="24"/>
          <w:szCs w:val="24"/>
        </w:rPr>
        <w:t xml:space="preserve">.3 </w:t>
      </w:r>
      <w:r w:rsidR="00CB489B" w:rsidRPr="00A17BCE">
        <w:rPr>
          <w:rStyle w:val="Strong"/>
          <w:rFonts w:ascii="Times New Roman" w:hAnsi="Times New Roman" w:cs="Times New Roman"/>
          <w:bCs/>
          <w:color w:val="auto"/>
          <w:sz w:val="24"/>
          <w:szCs w:val="24"/>
        </w:rPr>
        <w:t>Conversion of Crop Residues</w:t>
      </w:r>
    </w:p>
    <w:p w:rsidR="00CB489B" w:rsidRPr="00BB6814" w:rsidRDefault="00CB489B" w:rsidP="00BB6814">
      <w:pPr>
        <w:pStyle w:val="NormalWeb"/>
        <w:spacing w:line="360" w:lineRule="auto"/>
        <w:jc w:val="both"/>
      </w:pPr>
      <w:r w:rsidRPr="00BB6814">
        <w:t>Crop residues, such as straw, husks, stalks, and leaves, are valuable by-products of agricultural activities. Rather than being burned or discarded, these residues can be converted into useful products, contributing to sustainability in agriculture, energy production, and waste management.</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30CD3" w:rsidRPr="00A17BCE">
        <w:rPr>
          <w:rStyle w:val="Strong"/>
          <w:rFonts w:ascii="Times New Roman" w:hAnsi="Times New Roman" w:cs="Times New Roman"/>
          <w:b w:val="0"/>
          <w:bCs w:val="0"/>
          <w:color w:val="auto"/>
          <w:sz w:val="24"/>
          <w:szCs w:val="24"/>
        </w:rPr>
        <w:t>.</w:t>
      </w:r>
      <w:r w:rsidR="00BB6814" w:rsidRPr="00A17BCE">
        <w:rPr>
          <w:rStyle w:val="Strong"/>
          <w:rFonts w:ascii="Times New Roman" w:hAnsi="Times New Roman" w:cs="Times New Roman"/>
          <w:b w:val="0"/>
          <w:bCs w:val="0"/>
          <w:color w:val="auto"/>
          <w:sz w:val="24"/>
          <w:szCs w:val="24"/>
        </w:rPr>
        <w:t xml:space="preserve">5 </w:t>
      </w:r>
      <w:r w:rsidR="00A30CD3" w:rsidRPr="00A17BCE">
        <w:rPr>
          <w:rStyle w:val="Strong"/>
          <w:rFonts w:ascii="Times New Roman" w:hAnsi="Times New Roman" w:cs="Times New Roman"/>
          <w:b w:val="0"/>
          <w:bCs w:val="0"/>
          <w:color w:val="auto"/>
          <w:sz w:val="24"/>
          <w:szCs w:val="24"/>
        </w:rPr>
        <w:t xml:space="preserve"> Biogas Production</w:t>
      </w:r>
    </w:p>
    <w:p w:rsidR="00A30CD3" w:rsidRPr="00BB6814" w:rsidRDefault="00A30CD3" w:rsidP="00BB6814">
      <w:pPr>
        <w:pStyle w:val="NormalWeb"/>
        <w:spacing w:line="360" w:lineRule="auto"/>
        <w:jc w:val="both"/>
      </w:pPr>
      <w:r w:rsidRPr="00BB6814">
        <w:t>Biogas systems convert organic waste into methane-rich gas, which can be used for cooking, heating, and electricity generation. Fernandez et al. (2021) highlight the dual benefits of energy production and waste management. Case studies in Europe and Asia demonstrate successful implementation and scalability of biogas plants in agricultural settings (Nguyen et al., 2020).</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lastRenderedPageBreak/>
        <w:t>2</w:t>
      </w:r>
      <w:r w:rsidR="00BB6814" w:rsidRPr="00A17BCE">
        <w:rPr>
          <w:rStyle w:val="Strong"/>
          <w:rFonts w:ascii="Times New Roman" w:hAnsi="Times New Roman" w:cs="Times New Roman"/>
          <w:b w:val="0"/>
          <w:bCs w:val="0"/>
          <w:color w:val="auto"/>
          <w:sz w:val="24"/>
          <w:szCs w:val="24"/>
        </w:rPr>
        <w:t xml:space="preserve">.6 </w:t>
      </w:r>
      <w:r w:rsidR="00A30CD3" w:rsidRPr="00A17BCE">
        <w:rPr>
          <w:rStyle w:val="Strong"/>
          <w:rFonts w:ascii="Times New Roman" w:hAnsi="Times New Roman" w:cs="Times New Roman"/>
          <w:b w:val="0"/>
          <w:bCs w:val="0"/>
          <w:color w:val="auto"/>
          <w:sz w:val="24"/>
          <w:szCs w:val="24"/>
        </w:rPr>
        <w:t>Biochar and Composting</w:t>
      </w:r>
    </w:p>
    <w:p w:rsidR="00A30CD3" w:rsidRPr="00BB6814" w:rsidRDefault="00A30CD3" w:rsidP="00BB6814">
      <w:pPr>
        <w:pStyle w:val="NormalWeb"/>
        <w:spacing w:line="360" w:lineRule="auto"/>
        <w:jc w:val="both"/>
      </w:pPr>
      <w:r w:rsidRPr="00BB6814">
        <w:t>Biochar production through pyrolysis of biomass enhances soil health and carbon sequestration. Lehmann &amp; Joseph (2015) discuss the benefits of biochar in improving soil structure, water retention, and nutrient availability. Composting, another recycling method, returns organic matter to the soil, promoting sustainable agricultural practices (Brown et al., 2019).</w:t>
      </w:r>
    </w:p>
    <w:p w:rsidR="00A30CD3" w:rsidRPr="00034AB5" w:rsidRDefault="00F00766" w:rsidP="009601EA">
      <w:pPr>
        <w:spacing w:line="360" w:lineRule="auto"/>
        <w:rPr>
          <w:rStyle w:val="Strong"/>
          <w:rFonts w:ascii="Times New Roman" w:hAnsi="Times New Roman" w:cs="Times New Roman"/>
          <w:bCs w:val="0"/>
          <w:sz w:val="28"/>
          <w:szCs w:val="28"/>
        </w:rPr>
      </w:pPr>
      <w:r>
        <w:rPr>
          <w:rStyle w:val="Strong"/>
          <w:rFonts w:ascii="Times New Roman" w:hAnsi="Times New Roman" w:cs="Times New Roman"/>
          <w:bCs w:val="0"/>
          <w:sz w:val="28"/>
          <w:szCs w:val="28"/>
        </w:rPr>
        <w:t>3</w:t>
      </w:r>
      <w:r w:rsidR="009601EA" w:rsidRPr="00034AB5">
        <w:rPr>
          <w:rStyle w:val="Strong"/>
          <w:rFonts w:ascii="Times New Roman" w:hAnsi="Times New Roman" w:cs="Times New Roman"/>
          <w:bCs w:val="0"/>
          <w:sz w:val="28"/>
          <w:szCs w:val="28"/>
        </w:rPr>
        <w:t>.</w:t>
      </w:r>
      <w:r w:rsidR="00034AB5" w:rsidRPr="00034AB5">
        <w:rPr>
          <w:rStyle w:val="Strong"/>
          <w:rFonts w:ascii="Times New Roman" w:hAnsi="Times New Roman" w:cs="Times New Roman"/>
          <w:bCs w:val="0"/>
          <w:sz w:val="28"/>
          <w:szCs w:val="28"/>
        </w:rPr>
        <w:t xml:space="preserve"> </w:t>
      </w:r>
      <w:r w:rsidR="00A457F6" w:rsidRPr="00034AB5">
        <w:rPr>
          <w:rStyle w:val="Strong"/>
          <w:rFonts w:ascii="Times New Roman" w:hAnsi="Times New Roman" w:cs="Times New Roman"/>
          <w:bCs w:val="0"/>
          <w:sz w:val="28"/>
          <w:szCs w:val="28"/>
        </w:rPr>
        <w:t>CHALLENGES AND BARRIERS</w:t>
      </w:r>
    </w:p>
    <w:p w:rsidR="004262FF" w:rsidRPr="004262FF" w:rsidRDefault="004262FF" w:rsidP="002845B9">
      <w:pPr>
        <w:pStyle w:val="NormalWeb"/>
        <w:spacing w:line="360" w:lineRule="auto"/>
        <w:jc w:val="both"/>
      </w:pPr>
      <w:r w:rsidRPr="004262FF">
        <w:t>Despite the promising benefits, several challenges stymie the wide relinquishment of solar energy and recycling in husbandry. High original costs, lack of specialized moxie, and shy policy support are significant walls</w:t>
      </w:r>
      <w:r>
        <w:t xml:space="preserve"> (</w:t>
      </w:r>
      <w:r w:rsidRPr="004262FF">
        <w:t>UNECE, 2020). Also, technological limitations similar as energy storehouse and effectiveness of solar systems bear farther exploration and development( International Solar Alliance, 2022). Despite the significant environmental and profitable benefits of using solar energy and recycling in husbandry, several challenges and walls hamper their wide relinquishment. Addressing these issues is essential to unleash their full eventuality in promoting sustainability.</w:t>
      </w:r>
    </w:p>
    <w:p w:rsidR="009601EA" w:rsidRPr="00E022BD" w:rsidRDefault="00F00766" w:rsidP="002845B9">
      <w:pPr>
        <w:pStyle w:val="NormalWeb"/>
        <w:spacing w:line="360" w:lineRule="auto"/>
        <w:jc w:val="both"/>
        <w:rPr>
          <w:b/>
        </w:rPr>
      </w:pPr>
      <w:r>
        <w:rPr>
          <w:b/>
        </w:rPr>
        <w:t>4</w:t>
      </w:r>
      <w:r w:rsidR="00BD5018">
        <w:rPr>
          <w:b/>
        </w:rPr>
        <w:t xml:space="preserve">. </w:t>
      </w:r>
      <w:r w:rsidR="00E022BD" w:rsidRPr="00E022BD">
        <w:rPr>
          <w:b/>
        </w:rPr>
        <w:t xml:space="preserve">RESULT AND DISCUSSION </w:t>
      </w:r>
    </w:p>
    <w:p w:rsidR="007C6126" w:rsidRDefault="007C6126" w:rsidP="00BD5018">
      <w:pPr>
        <w:pStyle w:val="NormalWeb"/>
        <w:spacing w:line="360" w:lineRule="auto"/>
        <w:jc w:val="both"/>
      </w:pPr>
      <w:r w:rsidRPr="007C6126">
        <w:t>Solar energy is decreasingly being used in husbandry as a renewable source of energy for colorful operations, including irrigation, crop drying, hothouse heating, and powering outfit. It offers several advantages, similar as reduced functional costs, lower carbon vestiges, and increased effectiveness. also, recovering agrarian products, similar as organic waste, is gaining attention as a sustainable way to reduce waste and produce value- added products like compost, biogas, and biofuels. This study focuses on the integration of solar energy in husbandry and the eventuality for recovering agrarian by- products to ameliorate sustainability and productivity in the sector.</w:t>
      </w:r>
    </w:p>
    <w:p w:rsidR="009651C5" w:rsidRPr="00BD5018" w:rsidRDefault="009651C5" w:rsidP="0055751D">
      <w:pPr>
        <w:pStyle w:val="NormalWeb"/>
        <w:spacing w:line="360" w:lineRule="auto"/>
        <w:jc w:val="both"/>
      </w:pPr>
      <w:r w:rsidRPr="00BD5018">
        <w:t>The application of solar energy in agriculture offers several potential benefits, both economically and environmentally. Key observations from the study include:</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lastRenderedPageBreak/>
        <w:t>Economic Viability:</w:t>
      </w:r>
      <w:r w:rsidRPr="00BD5018">
        <w:rPr>
          <w:rFonts w:ascii="Times New Roman" w:hAnsi="Times New Roman" w:cs="Times New Roman"/>
        </w:rPr>
        <w:t xml:space="preserve"> The initial investment required for solar-powered systems (e.g., irrigation pumps, dryers, or greenhouse heating) can be high. However, over time, these systems lead to cost savings in terms of reduced energy bills, fuel costs, and increased productivity, making them economically viable in the long run.</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Environmental Sustainability:</w:t>
      </w:r>
      <w:r w:rsidRPr="00BD5018">
        <w:rPr>
          <w:rFonts w:ascii="Times New Roman" w:hAnsi="Times New Roman" w:cs="Times New Roman"/>
        </w:rPr>
        <w:t xml:space="preserve"> The adoption of solar energy reduces dependence on fossil fuels, leading to a reduction in greenhouse gas emissions and minimizing the environmental footprint of agricultural practices.</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Improved Agricultural Productivity:</w:t>
      </w:r>
      <w:r w:rsidRPr="00BD5018">
        <w:rPr>
          <w:rFonts w:ascii="Times New Roman" w:hAnsi="Times New Roman" w:cs="Times New Roman"/>
        </w:rPr>
        <w:t xml:space="preserve"> Solar energy contributes to enhanced productivity through reliable irrigation, better crop drying, and optimized growing conditions in solar greenhouses. This is particularly beneficial for farmers in regions with limited access to conventional energy sources.</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Waste Reduction and Circular Economy:</w:t>
      </w:r>
      <w:r w:rsidRPr="00BD5018">
        <w:rPr>
          <w:rFonts w:ascii="Times New Roman" w:hAnsi="Times New Roman" w:cs="Times New Roman"/>
        </w:rPr>
        <w:t xml:space="preserve"> Recycling agricultural waste into value-added products (e.g., compost, biogas, biofuels) reduces environmental pollution, conserves resources, and supports a circular agricultural economy. Recycling also offers farmers an opportunity to monetize waste products, contributing to their income.</w:t>
      </w:r>
    </w:p>
    <w:p w:rsidR="001B25CE" w:rsidRPr="001B25CE"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sz w:val="24"/>
          <w:szCs w:val="24"/>
        </w:rPr>
      </w:pPr>
      <w:r w:rsidRPr="001B25CE">
        <w:rPr>
          <w:rStyle w:val="Strong"/>
          <w:rFonts w:ascii="Times New Roman" w:hAnsi="Times New Roman" w:cs="Times New Roman"/>
        </w:rPr>
        <w:t>Challenges:</w:t>
      </w:r>
      <w:r w:rsidRPr="001B25CE">
        <w:rPr>
          <w:rFonts w:ascii="Times New Roman" w:hAnsi="Times New Roman" w:cs="Times New Roman"/>
        </w:rPr>
        <w:t xml:space="preserve"> While solar energy holds great promise, challenges such as high initial capital investment, limited access to technology in some regions, and the need for skilled labor to maintain solar-powered systems remain. Additionally, not all agricultural regions receive optimal sunlight, which may limit the efficiency of solar-based systems in some areas.</w:t>
      </w:r>
    </w:p>
    <w:p w:rsidR="001B25CE" w:rsidRPr="0055751D" w:rsidRDefault="00F00766" w:rsidP="0055751D">
      <w:pPr>
        <w:spacing w:before="100" w:beforeAutospacing="1" w:after="100" w:afterAutospacing="1" w:line="360" w:lineRule="auto"/>
        <w:jc w:val="both"/>
        <w:rPr>
          <w:rStyle w:val="Strong"/>
          <w:rFonts w:ascii="Times New Roman" w:hAnsi="Times New Roman" w:cs="Times New Roman"/>
          <w:sz w:val="24"/>
          <w:szCs w:val="24"/>
        </w:rPr>
      </w:pPr>
      <w:r w:rsidRPr="0055751D">
        <w:rPr>
          <w:rFonts w:ascii="Times New Roman" w:hAnsi="Times New Roman" w:cs="Times New Roman"/>
          <w:sz w:val="24"/>
          <w:szCs w:val="24"/>
        </w:rPr>
        <w:t>5</w:t>
      </w:r>
      <w:r w:rsidR="00786A30" w:rsidRPr="0055751D">
        <w:rPr>
          <w:rFonts w:ascii="Times New Roman" w:hAnsi="Times New Roman" w:cs="Times New Roman"/>
          <w:sz w:val="24"/>
          <w:szCs w:val="24"/>
        </w:rPr>
        <w:t xml:space="preserve">. </w:t>
      </w:r>
      <w:r w:rsidR="009651C5" w:rsidRPr="0055751D">
        <w:rPr>
          <w:rStyle w:val="Strong"/>
          <w:rFonts w:ascii="Times New Roman" w:hAnsi="Times New Roman" w:cs="Times New Roman"/>
          <w:sz w:val="24"/>
          <w:szCs w:val="24"/>
        </w:rPr>
        <w:t>Conclusion</w:t>
      </w:r>
    </w:p>
    <w:p w:rsidR="001B25CE" w:rsidRPr="001B25CE" w:rsidRDefault="001B25CE" w:rsidP="0055751D">
      <w:pPr>
        <w:spacing w:before="100" w:beforeAutospacing="1" w:after="100" w:afterAutospacing="1" w:line="360" w:lineRule="auto"/>
        <w:jc w:val="both"/>
        <w:rPr>
          <w:rStyle w:val="Strong"/>
          <w:rFonts w:ascii="Times New Roman" w:hAnsi="Times New Roman" w:cs="Times New Roman"/>
          <w:b w:val="0"/>
          <w:bCs w:val="0"/>
          <w:i/>
          <w:sz w:val="24"/>
          <w:szCs w:val="24"/>
        </w:rPr>
      </w:pPr>
      <w:r w:rsidRPr="001B25CE">
        <w:rPr>
          <w:rStyle w:val="Strong"/>
          <w:rFonts w:ascii="Times New Roman" w:hAnsi="Times New Roman" w:cs="Times New Roman"/>
          <w:b w:val="0"/>
          <w:sz w:val="24"/>
          <w:szCs w:val="24"/>
        </w:rPr>
        <w:t>Solar energy and recycling of agrarian products represent transformative approaches that can make husbandry more sustainable, effective, and flexible. By employing solar energy for irrigation, crop drying, and powering agrarian outfit, growers can significantly reduce functional costs while perfecting productivity. Recycling agrarian waste into precious by- products further enhances sustainability by reducing waste and promoting resource effectiveness. still, for these inventions to achieve wide relinquishment, there needs to be continued investment in exploration, development, and the expansion of structure to support solar energy systems and recovering technologies. These practices hold the eventuality to not only ameliorate the profitable stability of growers but also contribute to global sustainability pretensions by promoting clean energy and waste reduction in husbandry.</w:t>
      </w:r>
    </w:p>
    <w:p w:rsidR="00A30CD3" w:rsidRDefault="00A457F6" w:rsidP="00034AB5">
      <w:pPr>
        <w:pStyle w:val="Heading4"/>
        <w:spacing w:line="360" w:lineRule="auto"/>
        <w:rPr>
          <w:rStyle w:val="Strong"/>
          <w:rFonts w:ascii="Times New Roman" w:hAnsi="Times New Roman" w:cs="Times New Roman"/>
          <w:b/>
          <w:bCs/>
          <w:i w:val="0"/>
          <w:color w:val="auto"/>
          <w:sz w:val="24"/>
          <w:szCs w:val="24"/>
        </w:rPr>
      </w:pPr>
      <w:r w:rsidRPr="00A457F6">
        <w:rPr>
          <w:rStyle w:val="Strong"/>
          <w:rFonts w:ascii="Times New Roman" w:hAnsi="Times New Roman" w:cs="Times New Roman"/>
          <w:b/>
          <w:bCs/>
          <w:i w:val="0"/>
          <w:color w:val="auto"/>
          <w:sz w:val="24"/>
          <w:szCs w:val="24"/>
        </w:rPr>
        <w:lastRenderedPageBreak/>
        <w:t>REFERENCES</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Azam, M., et al. (2018). Efficiency of Indirect Solar Dryers for Agricultural Products. </w:t>
      </w:r>
      <w:r w:rsidRPr="00A457F6">
        <w:rPr>
          <w:rStyle w:val="Emphasis"/>
          <w:rFonts w:ascii="Times New Roman" w:hAnsi="Times New Roman" w:cs="Times New Roman"/>
          <w:sz w:val="24"/>
          <w:szCs w:val="24"/>
        </w:rPr>
        <w:t>Journal of Agricultural Research</w:t>
      </w:r>
      <w:r w:rsidRPr="00A457F6">
        <w:rPr>
          <w:rFonts w:ascii="Times New Roman" w:hAnsi="Times New Roman" w:cs="Times New Roman"/>
          <w:sz w:val="24"/>
          <w:szCs w:val="24"/>
        </w:rPr>
        <w:t>, 56(3), 123-135. https://doi.org/10.1016/j.jare.2018.03.003</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Brown, L., et al. (2019). Composting Practices and Soil Health Improvement.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175, 109784. https://doi.org/10.1016/j.envres.2019.109784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Fernandez, R., et al. (2021). Biogas Production from Agricultural Waste: A Sustainable Approach. </w:t>
      </w:r>
      <w:r w:rsidRPr="00A457F6">
        <w:rPr>
          <w:rStyle w:val="Emphasis"/>
          <w:rFonts w:ascii="Times New Roman" w:hAnsi="Times New Roman" w:cs="Times New Roman"/>
          <w:sz w:val="24"/>
          <w:szCs w:val="24"/>
        </w:rPr>
        <w:t>Biomass and Bioenergy</w:t>
      </w:r>
      <w:r w:rsidRPr="00A457F6">
        <w:rPr>
          <w:rFonts w:ascii="Times New Roman" w:hAnsi="Times New Roman" w:cs="Times New Roman"/>
          <w:sz w:val="24"/>
          <w:szCs w:val="24"/>
        </w:rPr>
        <w:t>, 160, 106027. https://doi.org/10.1016/j.biombioe.2021.106027</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FAO. (2021). </w:t>
      </w:r>
      <w:r w:rsidRPr="00A457F6">
        <w:rPr>
          <w:rStyle w:val="Emphasis"/>
          <w:rFonts w:ascii="Times New Roman" w:hAnsi="Times New Roman" w:cs="Times New Roman"/>
          <w:sz w:val="24"/>
          <w:szCs w:val="24"/>
        </w:rPr>
        <w:t>Renewable Energy in Agriculture</w:t>
      </w:r>
      <w:r w:rsidRPr="00A457F6">
        <w:rPr>
          <w:rFonts w:ascii="Times New Roman" w:hAnsi="Times New Roman" w:cs="Times New Roman"/>
          <w:sz w:val="24"/>
          <w:szCs w:val="24"/>
        </w:rPr>
        <w:t xml:space="preserve">. Food and Agriculture Organization of the United Nations. Retrieved from </w:t>
      </w:r>
      <w:hyperlink r:id="rId8" w:tgtFrame="_new" w:history="1">
        <w:r w:rsidRPr="00A457F6">
          <w:rPr>
            <w:rStyle w:val="Hyperlink"/>
            <w:rFonts w:ascii="Times New Roman" w:hAnsi="Times New Roman" w:cs="Times New Roman"/>
            <w:color w:val="auto"/>
            <w:sz w:val="24"/>
            <w:szCs w:val="24"/>
          </w:rPr>
          <w:t>FAO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Gomez, P., et al. (2021). Comparative Study of Solar Dryers and Traditional Sun Drying. </w:t>
      </w:r>
      <w:r w:rsidRPr="00A457F6">
        <w:rPr>
          <w:rStyle w:val="Emphasis"/>
          <w:rFonts w:ascii="Times New Roman" w:hAnsi="Times New Roman" w:cs="Times New Roman"/>
          <w:sz w:val="24"/>
          <w:szCs w:val="24"/>
        </w:rPr>
        <w:t>Journal of Renewable Energy</w:t>
      </w:r>
      <w:r w:rsidRPr="00A457F6">
        <w:rPr>
          <w:rFonts w:ascii="Times New Roman" w:hAnsi="Times New Roman" w:cs="Times New Roman"/>
          <w:sz w:val="24"/>
          <w:szCs w:val="24"/>
        </w:rPr>
        <w:t>, 45(2), 678-690. https://doi.org/10.1016/j.renene.2021.05.045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Gomez, P., et al. (2022). Integrating Solar Energy and Recycling Practices in Agriculture. </w:t>
      </w:r>
      <w:r w:rsidRPr="00A457F6">
        <w:rPr>
          <w:rStyle w:val="Emphasis"/>
          <w:rFonts w:ascii="Times New Roman" w:hAnsi="Times New Roman" w:cs="Times New Roman"/>
          <w:sz w:val="24"/>
          <w:szCs w:val="24"/>
        </w:rPr>
        <w:t>Resources Policy</w:t>
      </w:r>
      <w:r w:rsidRPr="00A457F6">
        <w:rPr>
          <w:rFonts w:ascii="Times New Roman" w:hAnsi="Times New Roman" w:cs="Times New Roman"/>
          <w:sz w:val="24"/>
          <w:szCs w:val="24"/>
        </w:rPr>
        <w:t>, 75, 103042. https://doi.org/10.1016/j.resourpol.2022.103042</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International Solar Alliance. (2022). </w:t>
      </w:r>
      <w:r w:rsidRPr="00A457F6">
        <w:rPr>
          <w:rStyle w:val="Emphasis"/>
          <w:rFonts w:ascii="Times New Roman" w:hAnsi="Times New Roman" w:cs="Times New Roman"/>
          <w:sz w:val="24"/>
          <w:szCs w:val="24"/>
        </w:rPr>
        <w:t>Solar Solutions for Sustainable Agriculture</w:t>
      </w:r>
      <w:r w:rsidRPr="00A457F6">
        <w:rPr>
          <w:rFonts w:ascii="Times New Roman" w:hAnsi="Times New Roman" w:cs="Times New Roman"/>
          <w:sz w:val="24"/>
          <w:szCs w:val="24"/>
        </w:rPr>
        <w:t xml:space="preserve">. Retrieved from </w:t>
      </w:r>
      <w:hyperlink r:id="rId9" w:tgtFrame="_new" w:history="1">
        <w:r w:rsidRPr="00A457F6">
          <w:rPr>
            <w:rStyle w:val="Hyperlink"/>
            <w:rFonts w:ascii="Times New Roman" w:hAnsi="Times New Roman" w:cs="Times New Roman"/>
            <w:color w:val="auto"/>
            <w:sz w:val="24"/>
            <w:szCs w:val="24"/>
          </w:rPr>
          <w:t>ISA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IPCC. (2022). </w:t>
      </w:r>
      <w:r w:rsidRPr="00A457F6">
        <w:rPr>
          <w:rStyle w:val="Emphasis"/>
          <w:rFonts w:ascii="Times New Roman" w:hAnsi="Times New Roman" w:cs="Times New Roman"/>
          <w:sz w:val="24"/>
          <w:szCs w:val="24"/>
        </w:rPr>
        <w:t>Climate Change and Land Use: The Role of Agriculture</w:t>
      </w:r>
      <w:r w:rsidRPr="00A457F6">
        <w:rPr>
          <w:rFonts w:ascii="Times New Roman" w:hAnsi="Times New Roman" w:cs="Times New Roman"/>
          <w:sz w:val="24"/>
          <w:szCs w:val="24"/>
        </w:rPr>
        <w:t xml:space="preserve">. Intergovernmental Panel on Climate Change. Retrieved from </w:t>
      </w:r>
      <w:hyperlink r:id="rId10" w:tgtFrame="_new" w:history="1">
        <w:r w:rsidRPr="00A457F6">
          <w:rPr>
            <w:rStyle w:val="Hyperlink"/>
            <w:rFonts w:ascii="Times New Roman" w:hAnsi="Times New Roman" w:cs="Times New Roman"/>
            <w:color w:val="auto"/>
            <w:sz w:val="24"/>
            <w:szCs w:val="24"/>
          </w:rPr>
          <w:t>IPCC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Johnson, M., &amp; Lee, S. (2018). Biogas as a Renewable Energy Source in Agriculture. </w:t>
      </w:r>
      <w:r w:rsidRPr="00A457F6">
        <w:rPr>
          <w:rStyle w:val="Emphasis"/>
          <w:rFonts w:ascii="Times New Roman" w:hAnsi="Times New Roman" w:cs="Times New Roman"/>
          <w:sz w:val="24"/>
          <w:szCs w:val="24"/>
        </w:rPr>
        <w:t>Renewable Energy</w:t>
      </w:r>
      <w:r w:rsidRPr="00A457F6">
        <w:rPr>
          <w:rFonts w:ascii="Times New Roman" w:hAnsi="Times New Roman" w:cs="Times New Roman"/>
          <w:sz w:val="24"/>
          <w:szCs w:val="24"/>
        </w:rPr>
        <w:t>, 127, 345-356. https://doi.org/10.1016/j.renene.2018.02.045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Kumar, R., et al. (2020). Solar-Powered Irrigation Systems: A Sustainable Solution for Rural Agriculture. </w:t>
      </w:r>
      <w:r w:rsidRPr="00A457F6">
        <w:rPr>
          <w:rStyle w:val="Emphasis"/>
          <w:rFonts w:ascii="Times New Roman" w:hAnsi="Times New Roman" w:cs="Times New Roman"/>
          <w:sz w:val="24"/>
          <w:szCs w:val="24"/>
        </w:rPr>
        <w:t>Renewable and Sustainable Energy Reviews</w:t>
      </w:r>
      <w:r w:rsidRPr="00A457F6">
        <w:rPr>
          <w:rFonts w:ascii="Times New Roman" w:hAnsi="Times New Roman" w:cs="Times New Roman"/>
          <w:sz w:val="24"/>
          <w:szCs w:val="24"/>
        </w:rPr>
        <w:t>, 120, 109828. https://doi.org/10.1016/j.rser.2020.109828</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Lehmann, J., &amp; Joseph, S. (2015). Biochar for Environmental Management: Science, Technology and Implementation.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150, 103014. https://doi.org/10.1016/j.envres.2015.02.014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Miller, T., &amp; Thompson, G. (2019). Challenges in the Adoption of Solar-Powered Agricultural Machinery. </w:t>
      </w:r>
      <w:r w:rsidRPr="00A457F6">
        <w:rPr>
          <w:rStyle w:val="Emphasis"/>
          <w:rFonts w:ascii="Times New Roman" w:hAnsi="Times New Roman" w:cs="Times New Roman"/>
          <w:sz w:val="24"/>
          <w:szCs w:val="24"/>
        </w:rPr>
        <w:t>Agricultural Systems</w:t>
      </w:r>
      <w:r w:rsidRPr="00A457F6">
        <w:rPr>
          <w:rFonts w:ascii="Times New Roman" w:hAnsi="Times New Roman" w:cs="Times New Roman"/>
          <w:sz w:val="24"/>
          <w:szCs w:val="24"/>
        </w:rPr>
        <w:t>, 170, 103-112. https://doi.org/10.1016/j.agsy.2019.03.004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lastRenderedPageBreak/>
        <w:t xml:space="preserve">Nguyen, H., et al. (2020). Scaling Up Biogas Production in Agricultural Communities: Lessons from Asia and Europe. </w:t>
      </w:r>
      <w:r w:rsidRPr="00A457F6">
        <w:rPr>
          <w:rStyle w:val="Emphasis"/>
          <w:rFonts w:ascii="Times New Roman" w:hAnsi="Times New Roman" w:cs="Times New Roman"/>
          <w:sz w:val="24"/>
          <w:szCs w:val="24"/>
        </w:rPr>
        <w:t>Biomass and Bioenergy</w:t>
      </w:r>
      <w:r w:rsidRPr="00A457F6">
        <w:rPr>
          <w:rFonts w:ascii="Times New Roman" w:hAnsi="Times New Roman" w:cs="Times New Roman"/>
          <w:sz w:val="24"/>
          <w:szCs w:val="24"/>
        </w:rPr>
        <w:t>, 135, 105012. https://doi.org/10.1016/j.biombioe.2020.105012</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Patel, S., &amp; Kumar, V. (2021). Utilization of Crop Residues for Bioenergy and Other Applications. </w:t>
      </w:r>
      <w:r w:rsidRPr="00A457F6">
        <w:rPr>
          <w:rStyle w:val="Emphasis"/>
          <w:rFonts w:ascii="Times New Roman" w:hAnsi="Times New Roman" w:cs="Times New Roman"/>
          <w:sz w:val="24"/>
          <w:szCs w:val="24"/>
        </w:rPr>
        <w:t>Bioresource Technology</w:t>
      </w:r>
      <w:r w:rsidRPr="00A457F6">
        <w:rPr>
          <w:rFonts w:ascii="Times New Roman" w:hAnsi="Times New Roman" w:cs="Times New Roman"/>
          <w:sz w:val="24"/>
          <w:szCs w:val="24"/>
        </w:rPr>
        <w:t>, 320, 124420. https://doi.org/10.1016/j.biortech.2021.124420</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Rahman, A., et al. (2019). Conversion of Crop Residues into Bioenergy and Value-Added Products. </w:t>
      </w:r>
      <w:r w:rsidRPr="00A457F6">
        <w:rPr>
          <w:rStyle w:val="Emphasis"/>
          <w:rFonts w:ascii="Times New Roman" w:hAnsi="Times New Roman" w:cs="Times New Roman"/>
          <w:sz w:val="24"/>
          <w:szCs w:val="24"/>
        </w:rPr>
        <w:t>Bioresource Technology</w:t>
      </w:r>
      <w:r w:rsidRPr="00A457F6">
        <w:rPr>
          <w:rFonts w:ascii="Times New Roman" w:hAnsi="Times New Roman" w:cs="Times New Roman"/>
          <w:sz w:val="24"/>
          <w:szCs w:val="24"/>
        </w:rPr>
        <w:t>, 274, 121345. https://doi.org/10.1016/j.biortech.2019.121345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Sharma, P., &amp; Singh, R. (2019). Impact of Solar-Powered Irrigation on Agricultural Productivity in India. </w:t>
      </w:r>
      <w:r w:rsidRPr="00A457F6">
        <w:rPr>
          <w:rStyle w:val="Emphasis"/>
          <w:rFonts w:ascii="Times New Roman" w:hAnsi="Times New Roman" w:cs="Times New Roman"/>
          <w:sz w:val="24"/>
          <w:szCs w:val="24"/>
        </w:rPr>
        <w:t>Renewable Energy</w:t>
      </w:r>
      <w:r w:rsidRPr="00A457F6">
        <w:rPr>
          <w:rFonts w:ascii="Times New Roman" w:hAnsi="Times New Roman" w:cs="Times New Roman"/>
          <w:sz w:val="24"/>
          <w:szCs w:val="24"/>
        </w:rPr>
        <w:t>, 138, 130-140. https://doi.org/10.1016/j.renene.2019.01.045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Smith, J., et al. (2020). Composting Practices and Their Impact on Soil Health.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175, 109784. https://doi.org/10.1016/j.envres.2020.109784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Taylor, L., &amp; Green, P. (2021). Circular Economy in Agriculture: Integrating Solar Energy and Waste Recycling. </w:t>
      </w:r>
      <w:r w:rsidRPr="00A457F6">
        <w:rPr>
          <w:rStyle w:val="Emphasis"/>
          <w:rFonts w:ascii="Times New Roman" w:hAnsi="Times New Roman" w:cs="Times New Roman"/>
          <w:sz w:val="24"/>
          <w:szCs w:val="24"/>
        </w:rPr>
        <w:t>Sustainability</w:t>
      </w:r>
      <w:r w:rsidRPr="00A457F6">
        <w:rPr>
          <w:rFonts w:ascii="Times New Roman" w:hAnsi="Times New Roman" w:cs="Times New Roman"/>
          <w:sz w:val="24"/>
          <w:szCs w:val="24"/>
        </w:rPr>
        <w:t>, 13(5), 2754. https://doi.org/10.3390/su13052754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Van der Veen, C., &amp; De Jong, M. (2020). Solar Greenhouses: Enhancing Crop Yields and Sustainability. </w:t>
      </w:r>
      <w:r w:rsidRPr="00A457F6">
        <w:rPr>
          <w:rStyle w:val="Emphasis"/>
          <w:rFonts w:ascii="Times New Roman" w:hAnsi="Times New Roman" w:cs="Times New Roman"/>
          <w:sz w:val="24"/>
          <w:szCs w:val="24"/>
        </w:rPr>
        <w:t>Agricultural Systems</w:t>
      </w:r>
      <w:r w:rsidRPr="00A457F6">
        <w:rPr>
          <w:rFonts w:ascii="Times New Roman" w:hAnsi="Times New Roman" w:cs="Times New Roman"/>
          <w:sz w:val="24"/>
          <w:szCs w:val="24"/>
        </w:rPr>
        <w:t>, 176, 102688. https://doi.org/10.1016/j.agsy.2020.102688</w:t>
      </w:r>
    </w:p>
    <w:p w:rsidR="00096F7D" w:rsidRPr="00C17A74" w:rsidRDefault="00A30CD3" w:rsidP="002845B9">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b/>
          <w:sz w:val="24"/>
          <w:szCs w:val="24"/>
        </w:rPr>
      </w:pPr>
      <w:r w:rsidRPr="00C17A74">
        <w:rPr>
          <w:rFonts w:ascii="Times New Roman" w:hAnsi="Times New Roman" w:cs="Times New Roman"/>
          <w:sz w:val="24"/>
          <w:szCs w:val="24"/>
        </w:rPr>
        <w:t xml:space="preserve">Zhao, Y., et al. (2023). Smart Farming: Integrating IoT and AI with Solar and Recycling Technologies. </w:t>
      </w:r>
      <w:r w:rsidRPr="00C17A74">
        <w:rPr>
          <w:rStyle w:val="Emphasis"/>
          <w:rFonts w:ascii="Times New Roman" w:hAnsi="Times New Roman" w:cs="Times New Roman"/>
          <w:sz w:val="24"/>
          <w:szCs w:val="24"/>
        </w:rPr>
        <w:t>Computers and Electronics in Agriculture</w:t>
      </w:r>
      <w:r w:rsidRPr="00C17A74">
        <w:rPr>
          <w:rFonts w:ascii="Times New Roman" w:hAnsi="Times New Roman" w:cs="Times New Roman"/>
          <w:sz w:val="24"/>
          <w:szCs w:val="24"/>
        </w:rPr>
        <w:t>, 200, 106123. https://doi.org/10.1016/j.compag.2023.106123</w:t>
      </w:r>
      <w:r w:rsidR="00C17A74" w:rsidRPr="00C17A74">
        <w:rPr>
          <w:rFonts w:ascii="Times New Roman" w:hAnsi="Times New Roman" w:cs="Times New Roman"/>
          <w:sz w:val="24"/>
          <w:szCs w:val="24"/>
        </w:rPr>
        <w:t>.</w:t>
      </w:r>
    </w:p>
    <w:sectPr w:rsidR="00096F7D" w:rsidRPr="00C17A74" w:rsidSect="000C3F0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82" w:rsidRDefault="00EF6082" w:rsidP="005A1A8E">
      <w:pPr>
        <w:spacing w:after="0" w:line="240" w:lineRule="auto"/>
      </w:pPr>
      <w:r>
        <w:separator/>
      </w:r>
    </w:p>
  </w:endnote>
  <w:endnote w:type="continuationSeparator" w:id="1">
    <w:p w:rsidR="00EF6082" w:rsidRDefault="00EF6082" w:rsidP="005A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E" w:rsidRDefault="005A1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82" w:rsidRDefault="00EF6082" w:rsidP="005A1A8E">
      <w:pPr>
        <w:spacing w:after="0" w:line="240" w:lineRule="auto"/>
      </w:pPr>
      <w:r>
        <w:separator/>
      </w:r>
    </w:p>
  </w:footnote>
  <w:footnote w:type="continuationSeparator" w:id="1">
    <w:p w:rsidR="00EF6082" w:rsidRDefault="00EF6082" w:rsidP="005A1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3B"/>
    <w:multiLevelType w:val="multilevel"/>
    <w:tmpl w:val="2424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D2DA0"/>
    <w:multiLevelType w:val="multilevel"/>
    <w:tmpl w:val="30301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4F92"/>
    <w:multiLevelType w:val="multilevel"/>
    <w:tmpl w:val="A9746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66D02"/>
    <w:multiLevelType w:val="multilevel"/>
    <w:tmpl w:val="865A8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048C9"/>
    <w:multiLevelType w:val="multilevel"/>
    <w:tmpl w:val="0C1CD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D0177"/>
    <w:multiLevelType w:val="multilevel"/>
    <w:tmpl w:val="A01CE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64740"/>
    <w:multiLevelType w:val="multilevel"/>
    <w:tmpl w:val="28FE0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610E3"/>
    <w:multiLevelType w:val="multilevel"/>
    <w:tmpl w:val="F4A63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03D18"/>
    <w:multiLevelType w:val="multilevel"/>
    <w:tmpl w:val="F954A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F17C1"/>
    <w:multiLevelType w:val="multilevel"/>
    <w:tmpl w:val="D76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01372"/>
    <w:multiLevelType w:val="multilevel"/>
    <w:tmpl w:val="5D60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D4AE7"/>
    <w:multiLevelType w:val="multilevel"/>
    <w:tmpl w:val="720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B4125"/>
    <w:multiLevelType w:val="multilevel"/>
    <w:tmpl w:val="F24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731C6"/>
    <w:multiLevelType w:val="multilevel"/>
    <w:tmpl w:val="8C422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41552"/>
    <w:multiLevelType w:val="multilevel"/>
    <w:tmpl w:val="252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369AF"/>
    <w:multiLevelType w:val="multilevel"/>
    <w:tmpl w:val="352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26087"/>
    <w:multiLevelType w:val="multilevel"/>
    <w:tmpl w:val="B3DC9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67E2A"/>
    <w:multiLevelType w:val="hybridMultilevel"/>
    <w:tmpl w:val="24DA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27550"/>
    <w:multiLevelType w:val="multilevel"/>
    <w:tmpl w:val="AA18F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85E5E"/>
    <w:multiLevelType w:val="multilevel"/>
    <w:tmpl w:val="0D363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60605"/>
    <w:multiLevelType w:val="multilevel"/>
    <w:tmpl w:val="23D6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523BF"/>
    <w:multiLevelType w:val="multilevel"/>
    <w:tmpl w:val="139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282ED5"/>
    <w:multiLevelType w:val="multilevel"/>
    <w:tmpl w:val="AA561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C2791"/>
    <w:multiLevelType w:val="multilevel"/>
    <w:tmpl w:val="45C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76A20"/>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A7153A"/>
    <w:multiLevelType w:val="multilevel"/>
    <w:tmpl w:val="2DD0C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0559D4"/>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363FBE"/>
    <w:multiLevelType w:val="multilevel"/>
    <w:tmpl w:val="3A206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C2AFB"/>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7A2592"/>
    <w:multiLevelType w:val="multilevel"/>
    <w:tmpl w:val="3064C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401BAC"/>
    <w:multiLevelType w:val="multilevel"/>
    <w:tmpl w:val="7898B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5F271B"/>
    <w:multiLevelType w:val="multilevel"/>
    <w:tmpl w:val="0682E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6"/>
  </w:num>
  <w:num w:numId="4">
    <w:abstractNumId w:val="11"/>
  </w:num>
  <w:num w:numId="5">
    <w:abstractNumId w:val="27"/>
  </w:num>
  <w:num w:numId="6">
    <w:abstractNumId w:val="13"/>
  </w:num>
  <w:num w:numId="7">
    <w:abstractNumId w:val="29"/>
  </w:num>
  <w:num w:numId="8">
    <w:abstractNumId w:val="14"/>
  </w:num>
  <w:num w:numId="9">
    <w:abstractNumId w:val="22"/>
  </w:num>
  <w:num w:numId="10">
    <w:abstractNumId w:val="8"/>
  </w:num>
  <w:num w:numId="11">
    <w:abstractNumId w:val="10"/>
  </w:num>
  <w:num w:numId="12">
    <w:abstractNumId w:val="15"/>
  </w:num>
  <w:num w:numId="13">
    <w:abstractNumId w:val="21"/>
  </w:num>
  <w:num w:numId="14">
    <w:abstractNumId w:val="0"/>
  </w:num>
  <w:num w:numId="15">
    <w:abstractNumId w:val="4"/>
  </w:num>
  <w:num w:numId="16">
    <w:abstractNumId w:val="19"/>
  </w:num>
  <w:num w:numId="17">
    <w:abstractNumId w:val="12"/>
  </w:num>
  <w:num w:numId="18">
    <w:abstractNumId w:val="1"/>
  </w:num>
  <w:num w:numId="19">
    <w:abstractNumId w:val="2"/>
  </w:num>
  <w:num w:numId="20">
    <w:abstractNumId w:val="23"/>
  </w:num>
  <w:num w:numId="21">
    <w:abstractNumId w:val="7"/>
  </w:num>
  <w:num w:numId="22">
    <w:abstractNumId w:val="3"/>
  </w:num>
  <w:num w:numId="23">
    <w:abstractNumId w:val="18"/>
  </w:num>
  <w:num w:numId="24">
    <w:abstractNumId w:val="25"/>
  </w:num>
  <w:num w:numId="25">
    <w:abstractNumId w:val="31"/>
  </w:num>
  <w:num w:numId="26">
    <w:abstractNumId w:val="30"/>
  </w:num>
  <w:num w:numId="27">
    <w:abstractNumId w:val="26"/>
  </w:num>
  <w:num w:numId="28">
    <w:abstractNumId w:val="24"/>
  </w:num>
  <w:num w:numId="29">
    <w:abstractNumId w:val="16"/>
  </w:num>
  <w:num w:numId="30">
    <w:abstractNumId w:val="5"/>
  </w:num>
  <w:num w:numId="31">
    <w:abstractNumId w:val="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70B0"/>
    <w:rsid w:val="00034AB5"/>
    <w:rsid w:val="00040464"/>
    <w:rsid w:val="00076631"/>
    <w:rsid w:val="00096F7D"/>
    <w:rsid w:val="000C3F06"/>
    <w:rsid w:val="000D0E24"/>
    <w:rsid w:val="00105D0F"/>
    <w:rsid w:val="001B25CE"/>
    <w:rsid w:val="002845B9"/>
    <w:rsid w:val="002F742D"/>
    <w:rsid w:val="003828FC"/>
    <w:rsid w:val="004214A2"/>
    <w:rsid w:val="004262FF"/>
    <w:rsid w:val="00426AAD"/>
    <w:rsid w:val="00443DFE"/>
    <w:rsid w:val="00497102"/>
    <w:rsid w:val="004F613E"/>
    <w:rsid w:val="00501768"/>
    <w:rsid w:val="0055751D"/>
    <w:rsid w:val="005A1A8E"/>
    <w:rsid w:val="005F4620"/>
    <w:rsid w:val="00616712"/>
    <w:rsid w:val="006741BF"/>
    <w:rsid w:val="006E4D10"/>
    <w:rsid w:val="006F228F"/>
    <w:rsid w:val="00700C19"/>
    <w:rsid w:val="0074389B"/>
    <w:rsid w:val="00786A30"/>
    <w:rsid w:val="00790526"/>
    <w:rsid w:val="007C6126"/>
    <w:rsid w:val="007D1FA0"/>
    <w:rsid w:val="00876B6E"/>
    <w:rsid w:val="008B7869"/>
    <w:rsid w:val="00925BBB"/>
    <w:rsid w:val="0094532B"/>
    <w:rsid w:val="009601EA"/>
    <w:rsid w:val="00962646"/>
    <w:rsid w:val="009651C5"/>
    <w:rsid w:val="009C7FF4"/>
    <w:rsid w:val="00A002C7"/>
    <w:rsid w:val="00A17BCE"/>
    <w:rsid w:val="00A30CD3"/>
    <w:rsid w:val="00A457F6"/>
    <w:rsid w:val="00A93B01"/>
    <w:rsid w:val="00B725E3"/>
    <w:rsid w:val="00B84D5C"/>
    <w:rsid w:val="00BB6814"/>
    <w:rsid w:val="00BD5018"/>
    <w:rsid w:val="00C07327"/>
    <w:rsid w:val="00C17A74"/>
    <w:rsid w:val="00C31554"/>
    <w:rsid w:val="00C54951"/>
    <w:rsid w:val="00CB489B"/>
    <w:rsid w:val="00CC040F"/>
    <w:rsid w:val="00CE048A"/>
    <w:rsid w:val="00D32CEA"/>
    <w:rsid w:val="00D80D3F"/>
    <w:rsid w:val="00DF6FBE"/>
    <w:rsid w:val="00E022BD"/>
    <w:rsid w:val="00E25CD8"/>
    <w:rsid w:val="00E2737C"/>
    <w:rsid w:val="00E44B4D"/>
    <w:rsid w:val="00E54587"/>
    <w:rsid w:val="00E54DB4"/>
    <w:rsid w:val="00E77DAE"/>
    <w:rsid w:val="00E94240"/>
    <w:rsid w:val="00EC2024"/>
    <w:rsid w:val="00EE4997"/>
    <w:rsid w:val="00EE70B0"/>
    <w:rsid w:val="00EF6082"/>
    <w:rsid w:val="00F00766"/>
    <w:rsid w:val="00F317E4"/>
    <w:rsid w:val="00F36AEC"/>
    <w:rsid w:val="00F80B92"/>
    <w:rsid w:val="00F86581"/>
    <w:rsid w:val="00FC6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06"/>
  </w:style>
  <w:style w:type="paragraph" w:styleId="Heading2">
    <w:name w:val="heading 2"/>
    <w:basedOn w:val="Normal"/>
    <w:link w:val="Heading2Char"/>
    <w:uiPriority w:val="9"/>
    <w:qFormat/>
    <w:rsid w:val="00096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30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0C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0C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F7D"/>
    <w:rPr>
      <w:rFonts w:ascii="Times New Roman" w:eastAsia="Times New Roman" w:hAnsi="Times New Roman" w:cs="Times New Roman"/>
      <w:b/>
      <w:bCs/>
      <w:sz w:val="36"/>
      <w:szCs w:val="36"/>
    </w:rPr>
  </w:style>
  <w:style w:type="character" w:styleId="Strong">
    <w:name w:val="Strong"/>
    <w:basedOn w:val="DefaultParagraphFont"/>
    <w:uiPriority w:val="22"/>
    <w:qFormat/>
    <w:rsid w:val="00096F7D"/>
    <w:rPr>
      <w:b/>
      <w:bCs/>
    </w:rPr>
  </w:style>
  <w:style w:type="paragraph" w:styleId="NormalWeb">
    <w:name w:val="Normal (Web)"/>
    <w:basedOn w:val="Normal"/>
    <w:uiPriority w:val="99"/>
    <w:unhideWhenUsed/>
    <w:rsid w:val="0009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0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0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0CD3"/>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30CD3"/>
    <w:rPr>
      <w:i/>
      <w:iCs/>
    </w:rPr>
  </w:style>
  <w:style w:type="character" w:styleId="Hyperlink">
    <w:name w:val="Hyperlink"/>
    <w:basedOn w:val="DefaultParagraphFont"/>
    <w:uiPriority w:val="99"/>
    <w:semiHidden/>
    <w:unhideWhenUsed/>
    <w:rsid w:val="00A30CD3"/>
    <w:rPr>
      <w:color w:val="0000FF"/>
      <w:u w:val="single"/>
    </w:rPr>
  </w:style>
  <w:style w:type="paragraph" w:styleId="BalloonText">
    <w:name w:val="Balloon Text"/>
    <w:basedOn w:val="Normal"/>
    <w:link w:val="BalloonTextChar"/>
    <w:uiPriority w:val="99"/>
    <w:semiHidden/>
    <w:unhideWhenUsed/>
    <w:rsid w:val="00CB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9B"/>
    <w:rPr>
      <w:rFonts w:ascii="Tahoma" w:hAnsi="Tahoma" w:cs="Tahoma"/>
      <w:sz w:val="16"/>
      <w:szCs w:val="16"/>
    </w:rPr>
  </w:style>
  <w:style w:type="table" w:styleId="TableGrid">
    <w:name w:val="Table Grid"/>
    <w:basedOn w:val="TableNormal"/>
    <w:uiPriority w:val="59"/>
    <w:rsid w:val="006167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1A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A8E"/>
  </w:style>
  <w:style w:type="paragraph" w:styleId="Footer">
    <w:name w:val="footer"/>
    <w:basedOn w:val="Normal"/>
    <w:link w:val="FooterChar"/>
    <w:uiPriority w:val="99"/>
    <w:unhideWhenUsed/>
    <w:rsid w:val="005A1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E"/>
  </w:style>
</w:styles>
</file>

<file path=word/webSettings.xml><?xml version="1.0" encoding="utf-8"?>
<w:webSettings xmlns:r="http://schemas.openxmlformats.org/officeDocument/2006/relationships" xmlns:w="http://schemas.openxmlformats.org/wordprocessingml/2006/main">
  <w:divs>
    <w:div w:id="53697324">
      <w:bodyDiv w:val="1"/>
      <w:marLeft w:val="0"/>
      <w:marRight w:val="0"/>
      <w:marTop w:val="0"/>
      <w:marBottom w:val="0"/>
      <w:divBdr>
        <w:top w:val="none" w:sz="0" w:space="0" w:color="auto"/>
        <w:left w:val="none" w:sz="0" w:space="0" w:color="auto"/>
        <w:bottom w:val="none" w:sz="0" w:space="0" w:color="auto"/>
        <w:right w:val="none" w:sz="0" w:space="0" w:color="auto"/>
      </w:divBdr>
    </w:div>
    <w:div w:id="92089880">
      <w:bodyDiv w:val="1"/>
      <w:marLeft w:val="0"/>
      <w:marRight w:val="0"/>
      <w:marTop w:val="0"/>
      <w:marBottom w:val="0"/>
      <w:divBdr>
        <w:top w:val="none" w:sz="0" w:space="0" w:color="auto"/>
        <w:left w:val="none" w:sz="0" w:space="0" w:color="auto"/>
        <w:bottom w:val="none" w:sz="0" w:space="0" w:color="auto"/>
        <w:right w:val="none" w:sz="0" w:space="0" w:color="auto"/>
      </w:divBdr>
    </w:div>
    <w:div w:id="179200407">
      <w:bodyDiv w:val="1"/>
      <w:marLeft w:val="0"/>
      <w:marRight w:val="0"/>
      <w:marTop w:val="0"/>
      <w:marBottom w:val="0"/>
      <w:divBdr>
        <w:top w:val="none" w:sz="0" w:space="0" w:color="auto"/>
        <w:left w:val="none" w:sz="0" w:space="0" w:color="auto"/>
        <w:bottom w:val="none" w:sz="0" w:space="0" w:color="auto"/>
        <w:right w:val="none" w:sz="0" w:space="0" w:color="auto"/>
      </w:divBdr>
    </w:div>
    <w:div w:id="191455506">
      <w:bodyDiv w:val="1"/>
      <w:marLeft w:val="0"/>
      <w:marRight w:val="0"/>
      <w:marTop w:val="0"/>
      <w:marBottom w:val="0"/>
      <w:divBdr>
        <w:top w:val="none" w:sz="0" w:space="0" w:color="auto"/>
        <w:left w:val="none" w:sz="0" w:space="0" w:color="auto"/>
        <w:bottom w:val="none" w:sz="0" w:space="0" w:color="auto"/>
        <w:right w:val="none" w:sz="0" w:space="0" w:color="auto"/>
      </w:divBdr>
    </w:div>
    <w:div w:id="427239740">
      <w:bodyDiv w:val="1"/>
      <w:marLeft w:val="0"/>
      <w:marRight w:val="0"/>
      <w:marTop w:val="0"/>
      <w:marBottom w:val="0"/>
      <w:divBdr>
        <w:top w:val="none" w:sz="0" w:space="0" w:color="auto"/>
        <w:left w:val="none" w:sz="0" w:space="0" w:color="auto"/>
        <w:bottom w:val="none" w:sz="0" w:space="0" w:color="auto"/>
        <w:right w:val="none" w:sz="0" w:space="0" w:color="auto"/>
      </w:divBdr>
    </w:div>
    <w:div w:id="615453776">
      <w:bodyDiv w:val="1"/>
      <w:marLeft w:val="0"/>
      <w:marRight w:val="0"/>
      <w:marTop w:val="0"/>
      <w:marBottom w:val="0"/>
      <w:divBdr>
        <w:top w:val="none" w:sz="0" w:space="0" w:color="auto"/>
        <w:left w:val="none" w:sz="0" w:space="0" w:color="auto"/>
        <w:bottom w:val="none" w:sz="0" w:space="0" w:color="auto"/>
        <w:right w:val="none" w:sz="0" w:space="0" w:color="auto"/>
      </w:divBdr>
    </w:div>
    <w:div w:id="662634587">
      <w:bodyDiv w:val="1"/>
      <w:marLeft w:val="0"/>
      <w:marRight w:val="0"/>
      <w:marTop w:val="0"/>
      <w:marBottom w:val="0"/>
      <w:divBdr>
        <w:top w:val="none" w:sz="0" w:space="0" w:color="auto"/>
        <w:left w:val="none" w:sz="0" w:space="0" w:color="auto"/>
        <w:bottom w:val="none" w:sz="0" w:space="0" w:color="auto"/>
        <w:right w:val="none" w:sz="0" w:space="0" w:color="auto"/>
      </w:divBdr>
    </w:div>
    <w:div w:id="745615904">
      <w:bodyDiv w:val="1"/>
      <w:marLeft w:val="0"/>
      <w:marRight w:val="0"/>
      <w:marTop w:val="0"/>
      <w:marBottom w:val="0"/>
      <w:divBdr>
        <w:top w:val="none" w:sz="0" w:space="0" w:color="auto"/>
        <w:left w:val="none" w:sz="0" w:space="0" w:color="auto"/>
        <w:bottom w:val="none" w:sz="0" w:space="0" w:color="auto"/>
        <w:right w:val="none" w:sz="0" w:space="0" w:color="auto"/>
      </w:divBdr>
    </w:div>
    <w:div w:id="979263832">
      <w:bodyDiv w:val="1"/>
      <w:marLeft w:val="0"/>
      <w:marRight w:val="0"/>
      <w:marTop w:val="0"/>
      <w:marBottom w:val="0"/>
      <w:divBdr>
        <w:top w:val="none" w:sz="0" w:space="0" w:color="auto"/>
        <w:left w:val="none" w:sz="0" w:space="0" w:color="auto"/>
        <w:bottom w:val="none" w:sz="0" w:space="0" w:color="auto"/>
        <w:right w:val="none" w:sz="0" w:space="0" w:color="auto"/>
      </w:divBdr>
    </w:div>
    <w:div w:id="1013722471">
      <w:bodyDiv w:val="1"/>
      <w:marLeft w:val="0"/>
      <w:marRight w:val="0"/>
      <w:marTop w:val="0"/>
      <w:marBottom w:val="0"/>
      <w:divBdr>
        <w:top w:val="none" w:sz="0" w:space="0" w:color="auto"/>
        <w:left w:val="none" w:sz="0" w:space="0" w:color="auto"/>
        <w:bottom w:val="none" w:sz="0" w:space="0" w:color="auto"/>
        <w:right w:val="none" w:sz="0" w:space="0" w:color="auto"/>
      </w:divBdr>
    </w:div>
    <w:div w:id="1084036644">
      <w:bodyDiv w:val="1"/>
      <w:marLeft w:val="0"/>
      <w:marRight w:val="0"/>
      <w:marTop w:val="0"/>
      <w:marBottom w:val="0"/>
      <w:divBdr>
        <w:top w:val="none" w:sz="0" w:space="0" w:color="auto"/>
        <w:left w:val="none" w:sz="0" w:space="0" w:color="auto"/>
        <w:bottom w:val="none" w:sz="0" w:space="0" w:color="auto"/>
        <w:right w:val="none" w:sz="0" w:space="0" w:color="auto"/>
      </w:divBdr>
    </w:div>
    <w:div w:id="1372069228">
      <w:bodyDiv w:val="1"/>
      <w:marLeft w:val="0"/>
      <w:marRight w:val="0"/>
      <w:marTop w:val="0"/>
      <w:marBottom w:val="0"/>
      <w:divBdr>
        <w:top w:val="none" w:sz="0" w:space="0" w:color="auto"/>
        <w:left w:val="none" w:sz="0" w:space="0" w:color="auto"/>
        <w:bottom w:val="none" w:sz="0" w:space="0" w:color="auto"/>
        <w:right w:val="none" w:sz="0" w:space="0" w:color="auto"/>
      </w:divBdr>
    </w:div>
    <w:div w:id="1475490467">
      <w:bodyDiv w:val="1"/>
      <w:marLeft w:val="0"/>
      <w:marRight w:val="0"/>
      <w:marTop w:val="0"/>
      <w:marBottom w:val="0"/>
      <w:divBdr>
        <w:top w:val="none" w:sz="0" w:space="0" w:color="auto"/>
        <w:left w:val="none" w:sz="0" w:space="0" w:color="auto"/>
        <w:bottom w:val="none" w:sz="0" w:space="0" w:color="auto"/>
        <w:right w:val="none" w:sz="0" w:space="0" w:color="auto"/>
      </w:divBdr>
    </w:div>
    <w:div w:id="1807241091">
      <w:bodyDiv w:val="1"/>
      <w:marLeft w:val="0"/>
      <w:marRight w:val="0"/>
      <w:marTop w:val="0"/>
      <w:marBottom w:val="0"/>
      <w:divBdr>
        <w:top w:val="none" w:sz="0" w:space="0" w:color="auto"/>
        <w:left w:val="none" w:sz="0" w:space="0" w:color="auto"/>
        <w:bottom w:val="none" w:sz="0" w:space="0" w:color="auto"/>
        <w:right w:val="none" w:sz="0" w:space="0" w:color="auto"/>
      </w:divBdr>
    </w:div>
    <w:div w:id="18650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2024-11-28T08:36:00Z</dcterms:created>
  <dcterms:modified xsi:type="dcterms:W3CDTF">2024-11-28T09:50:00Z</dcterms:modified>
</cp:coreProperties>
</file>