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18C0" w14:textId="7B9E9565" w:rsidR="0083202B" w:rsidRDefault="00FC32D4" w:rsidP="00EB0D23">
      <w:pPr>
        <w:jc w:val="both"/>
        <w:rPr>
          <w:rFonts w:ascii="Times New Roman" w:hAnsi="Times New Roman" w:cs="Times New Roman"/>
          <w:b/>
          <w:bCs/>
          <w:sz w:val="24"/>
          <w:szCs w:val="24"/>
        </w:rPr>
      </w:pPr>
      <w:r w:rsidRPr="00EB0D23">
        <w:rPr>
          <w:rFonts w:ascii="Times New Roman" w:hAnsi="Times New Roman" w:cs="Times New Roman"/>
          <w:b/>
          <w:bCs/>
          <w:sz w:val="24"/>
          <w:szCs w:val="24"/>
        </w:rPr>
        <w:t>Transforming India's Agriculture and Nutrition Landscape: The Impact of Government Awareness Programs on Millet Production and Consumption</w:t>
      </w:r>
    </w:p>
    <w:p w14:paraId="0DD639DC" w14:textId="5B787153" w:rsidR="001F00F9" w:rsidRDefault="001F00F9" w:rsidP="00EB0D23">
      <w:pPr>
        <w:jc w:val="both"/>
        <w:rPr>
          <w:rFonts w:ascii="Times New Roman" w:hAnsi="Times New Roman" w:cs="Times New Roman"/>
          <w:b/>
          <w:bCs/>
          <w:sz w:val="24"/>
          <w:szCs w:val="24"/>
        </w:rPr>
      </w:pPr>
      <w:r>
        <w:rPr>
          <w:rFonts w:ascii="Times New Roman" w:hAnsi="Times New Roman" w:cs="Times New Roman"/>
          <w:b/>
          <w:bCs/>
          <w:sz w:val="24"/>
          <w:szCs w:val="24"/>
        </w:rPr>
        <w:t xml:space="preserve">Gagan Mahato </w:t>
      </w:r>
    </w:p>
    <w:p w14:paraId="36A06F92" w14:textId="4F2CF932" w:rsidR="001F00F9" w:rsidRPr="001F00F9" w:rsidRDefault="001F00F9" w:rsidP="00EB0D23">
      <w:pPr>
        <w:jc w:val="both"/>
        <w:rPr>
          <w:rFonts w:ascii="Times New Roman" w:hAnsi="Times New Roman" w:cs="Times New Roman"/>
          <w:sz w:val="24"/>
          <w:szCs w:val="24"/>
        </w:rPr>
      </w:pPr>
      <w:r w:rsidRPr="001F00F9">
        <w:rPr>
          <w:rFonts w:ascii="Times New Roman" w:hAnsi="Times New Roman" w:cs="Times New Roman"/>
          <w:sz w:val="24"/>
          <w:szCs w:val="24"/>
        </w:rPr>
        <w:t xml:space="preserve">Faculty of Commerce, Gandhi </w:t>
      </w:r>
      <w:proofErr w:type="spellStart"/>
      <w:r w:rsidRPr="001F00F9">
        <w:rPr>
          <w:rFonts w:ascii="Times New Roman" w:hAnsi="Times New Roman" w:cs="Times New Roman"/>
          <w:sz w:val="24"/>
          <w:szCs w:val="24"/>
        </w:rPr>
        <w:t>Mahavidyalaya</w:t>
      </w:r>
      <w:proofErr w:type="spellEnd"/>
      <w:r w:rsidRPr="001F00F9">
        <w:rPr>
          <w:rFonts w:ascii="Times New Roman" w:hAnsi="Times New Roman" w:cs="Times New Roman"/>
          <w:sz w:val="24"/>
          <w:szCs w:val="24"/>
        </w:rPr>
        <w:t xml:space="preserve"> Rourkela, </w:t>
      </w:r>
      <w:hyperlink r:id="rId7" w:history="1">
        <w:r w:rsidRPr="001F00F9">
          <w:rPr>
            <w:rStyle w:val="Hyperlink"/>
            <w:rFonts w:ascii="Times New Roman" w:hAnsi="Times New Roman" w:cs="Times New Roman"/>
            <w:sz w:val="24"/>
            <w:szCs w:val="24"/>
          </w:rPr>
          <w:t>gaganmahato00@gmail.com</w:t>
        </w:r>
      </w:hyperlink>
    </w:p>
    <w:p w14:paraId="2AB87057" w14:textId="05CC6FC8" w:rsidR="001F00F9" w:rsidRDefault="001F00F9" w:rsidP="00EB0D23">
      <w:pPr>
        <w:jc w:val="both"/>
        <w:rPr>
          <w:rFonts w:ascii="Times New Roman" w:hAnsi="Times New Roman" w:cs="Times New Roman"/>
          <w:b/>
          <w:bCs/>
          <w:sz w:val="24"/>
          <w:szCs w:val="24"/>
        </w:rPr>
      </w:pPr>
      <w:r>
        <w:rPr>
          <w:rFonts w:ascii="Times New Roman" w:hAnsi="Times New Roman" w:cs="Times New Roman"/>
          <w:b/>
          <w:bCs/>
          <w:sz w:val="24"/>
          <w:szCs w:val="24"/>
        </w:rPr>
        <w:t>Riya Sahoo</w:t>
      </w:r>
    </w:p>
    <w:p w14:paraId="0E28251F" w14:textId="3C77829B" w:rsidR="001F00F9" w:rsidRPr="001F00F9" w:rsidRDefault="001F00F9" w:rsidP="00EB0D23">
      <w:pPr>
        <w:jc w:val="both"/>
        <w:rPr>
          <w:rFonts w:ascii="Times New Roman" w:hAnsi="Times New Roman" w:cs="Times New Roman"/>
          <w:sz w:val="24"/>
          <w:szCs w:val="24"/>
        </w:rPr>
      </w:pPr>
      <w:r w:rsidRPr="001F00F9">
        <w:rPr>
          <w:rFonts w:ascii="Times New Roman" w:hAnsi="Times New Roman" w:cs="Times New Roman"/>
          <w:sz w:val="24"/>
          <w:szCs w:val="24"/>
        </w:rPr>
        <w:t>Independent Researcher, riyasahoo001@gmail.com</w:t>
      </w:r>
    </w:p>
    <w:p w14:paraId="1F26B908" w14:textId="3739A2FE" w:rsidR="00FC32D4" w:rsidRDefault="00427911">
      <w:pPr>
        <w:rPr>
          <w:rFonts w:ascii="Times New Roman" w:hAnsi="Times New Roman" w:cs="Times New Roman"/>
          <w:b/>
          <w:bCs/>
          <w:sz w:val="24"/>
          <w:szCs w:val="24"/>
        </w:rPr>
      </w:pPr>
      <w:r w:rsidRPr="00427911">
        <w:rPr>
          <w:rFonts w:ascii="Times New Roman" w:hAnsi="Times New Roman" w:cs="Times New Roman"/>
          <w:b/>
          <w:bCs/>
          <w:sz w:val="24"/>
          <w:szCs w:val="24"/>
        </w:rPr>
        <w:t>Abstract</w:t>
      </w:r>
    </w:p>
    <w:p w14:paraId="392EB5F4" w14:textId="27DA54FC" w:rsidR="00427911" w:rsidRDefault="00427911" w:rsidP="004279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aims to analyse the impact of government awareness program on the millet production and consumption in India. The data for the study have been collected from the </w:t>
      </w:r>
      <w:proofErr w:type="spellStart"/>
      <w:r>
        <w:rPr>
          <w:rFonts w:ascii="Times New Roman" w:hAnsi="Times New Roman" w:cs="Times New Roman"/>
          <w:sz w:val="24"/>
          <w:szCs w:val="24"/>
        </w:rPr>
        <w:t>indexmundi</w:t>
      </w:r>
      <w:proofErr w:type="spellEnd"/>
      <w:r>
        <w:rPr>
          <w:rFonts w:ascii="Times New Roman" w:hAnsi="Times New Roman" w:cs="Times New Roman"/>
          <w:sz w:val="24"/>
          <w:szCs w:val="24"/>
        </w:rPr>
        <w:t xml:space="preserve"> website for the period from 2002-2023. As per the objective, we employ paired t-test to analyse the impact of two government programmes by comparing the pre and post production and consumption of millets. The findings suggest that the government awareness programme have no significant impact on the production and consumption of millets in India, which suggest that more effort from government side is expected. The paper will be helpful for policy makers in taking important decisions. </w:t>
      </w:r>
    </w:p>
    <w:p w14:paraId="7DFB0DE7" w14:textId="13E1C14C" w:rsidR="00427911" w:rsidRPr="00427911" w:rsidRDefault="00427911" w:rsidP="00427911">
      <w:pPr>
        <w:spacing w:line="360" w:lineRule="auto"/>
        <w:jc w:val="both"/>
        <w:rPr>
          <w:rFonts w:ascii="Times New Roman" w:hAnsi="Times New Roman" w:cs="Times New Roman"/>
          <w:sz w:val="24"/>
          <w:szCs w:val="24"/>
        </w:rPr>
      </w:pPr>
      <w:r w:rsidRPr="00427911">
        <w:rPr>
          <w:rFonts w:ascii="Times New Roman" w:hAnsi="Times New Roman" w:cs="Times New Roman"/>
          <w:b/>
          <w:bCs/>
          <w:sz w:val="24"/>
          <w:szCs w:val="24"/>
        </w:rPr>
        <w:t>Keyword</w:t>
      </w:r>
      <w:r>
        <w:rPr>
          <w:rFonts w:ascii="Times New Roman" w:hAnsi="Times New Roman" w:cs="Times New Roman"/>
          <w:b/>
          <w:bCs/>
          <w:sz w:val="24"/>
          <w:szCs w:val="24"/>
        </w:rPr>
        <w:t xml:space="preserve">s: </w:t>
      </w:r>
      <w:r>
        <w:rPr>
          <w:rFonts w:ascii="Times New Roman" w:hAnsi="Times New Roman" w:cs="Times New Roman"/>
          <w:sz w:val="24"/>
          <w:szCs w:val="24"/>
        </w:rPr>
        <w:t>Government awareness programmes, Millet’s production, Millet’s consumption</w:t>
      </w:r>
    </w:p>
    <w:p w14:paraId="149B5582" w14:textId="08010FF7" w:rsidR="00FC32D4" w:rsidRPr="00EB0D23" w:rsidRDefault="00FC32D4">
      <w:pPr>
        <w:rPr>
          <w:rFonts w:ascii="Times New Roman" w:hAnsi="Times New Roman" w:cs="Times New Roman"/>
          <w:b/>
          <w:bCs/>
          <w:sz w:val="24"/>
          <w:szCs w:val="24"/>
        </w:rPr>
      </w:pPr>
      <w:r w:rsidRPr="00EB0D23">
        <w:rPr>
          <w:rFonts w:ascii="Times New Roman" w:hAnsi="Times New Roman" w:cs="Times New Roman"/>
          <w:b/>
          <w:bCs/>
          <w:sz w:val="24"/>
          <w:szCs w:val="24"/>
        </w:rPr>
        <w:t>Introduction</w:t>
      </w:r>
    </w:p>
    <w:p w14:paraId="475046C4" w14:textId="55C1216F" w:rsidR="007A0519" w:rsidRPr="00BA2A83" w:rsidRDefault="00FF38E8" w:rsidP="00BA2A83">
      <w:pPr>
        <w:spacing w:after="240" w:line="360" w:lineRule="auto"/>
        <w:jc w:val="both"/>
        <w:rPr>
          <w:rFonts w:ascii="Times New Roman" w:eastAsia="Times New Roman" w:hAnsi="Times New Roman" w:cs="Times New Roman"/>
          <w:sz w:val="24"/>
          <w:szCs w:val="24"/>
          <w:lang w:eastAsia="en-IN" w:bidi="ar-SA"/>
        </w:rPr>
      </w:pPr>
      <w:r w:rsidRPr="00EB0D23">
        <w:rPr>
          <w:rFonts w:ascii="Times New Roman" w:hAnsi="Times New Roman" w:cs="Times New Roman"/>
          <w:sz w:val="24"/>
          <w:szCs w:val="24"/>
        </w:rPr>
        <w:t>Millet is such an power house of nutrition which is an effective tool to address malnutrition. Rich in protein, calcium, dietary fib</w:t>
      </w:r>
      <w:r w:rsidR="0054598D" w:rsidRPr="00EB0D23">
        <w:rPr>
          <w:rFonts w:ascii="Times New Roman" w:hAnsi="Times New Roman" w:cs="Times New Roman"/>
          <w:sz w:val="24"/>
          <w:szCs w:val="24"/>
        </w:rPr>
        <w:t>re, iron, manganese etc. Including Millet in public distribution system not only helpful to t</w:t>
      </w:r>
      <w:r w:rsidR="007A0519" w:rsidRPr="00EB0D23">
        <w:rPr>
          <w:rFonts w:ascii="Times New Roman" w:hAnsi="Times New Roman" w:cs="Times New Roman"/>
          <w:sz w:val="24"/>
          <w:szCs w:val="24"/>
        </w:rPr>
        <w:t>ackle with malnutrition but also in many other aspects like climate change, soil fertility etc.</w:t>
      </w:r>
      <w:r w:rsidR="00BA2A83">
        <w:rPr>
          <w:rFonts w:ascii="Times New Roman" w:hAnsi="Times New Roman" w:cs="Times New Roman"/>
          <w:sz w:val="24"/>
          <w:szCs w:val="24"/>
        </w:rPr>
        <w:t xml:space="preserve"> </w:t>
      </w:r>
      <w:r w:rsidR="00BA2A83" w:rsidRPr="00BA2A83">
        <w:rPr>
          <w:rFonts w:ascii="Times New Roman" w:eastAsia="Times New Roman" w:hAnsi="Times New Roman" w:cs="Times New Roman"/>
          <w:sz w:val="24"/>
          <w:szCs w:val="24"/>
          <w:lang w:eastAsia="en-IN" w:bidi="ar-SA"/>
        </w:rPr>
        <w:t>Consumer behaviour and attitudes towards purchasing sustainable goods have changed due to worries about ethics, the environment, and health hazards. Although there is a trend towards more sustainably produced items, considerable adjustments are still needed to modify our consumption pattern</w:t>
      </w:r>
      <w:r w:rsidR="00BA2A83">
        <w:rPr>
          <w:rFonts w:ascii="Times New Roman" w:eastAsia="Times New Roman" w:hAnsi="Times New Roman" w:cs="Times New Roman"/>
          <w:sz w:val="24"/>
          <w:szCs w:val="24"/>
          <w:lang w:eastAsia="en-IN" w:bidi="ar-SA"/>
        </w:rPr>
        <w:t xml:space="preserve"> </w:t>
      </w:r>
      <w:r w:rsidR="006808C1">
        <w:rPr>
          <w:rFonts w:ascii="Times New Roman" w:eastAsia="Times New Roman" w:hAnsi="Times New Roman" w:cs="Times New Roman"/>
          <w:sz w:val="24"/>
          <w:szCs w:val="24"/>
          <w:lang w:eastAsia="en-IN" w:bidi="ar-SA"/>
        </w:rPr>
        <w:fldChar w:fldCharType="begin" w:fldLock="1"/>
      </w:r>
      <w:r w:rsidR="00875465">
        <w:rPr>
          <w:rFonts w:ascii="Times New Roman" w:eastAsia="Times New Roman" w:hAnsi="Times New Roman" w:cs="Times New Roman"/>
          <w:sz w:val="24"/>
          <w:szCs w:val="24"/>
          <w:lang w:eastAsia="en-IN" w:bidi="ar-SA"/>
        </w:rPr>
        <w:instrText>ADDIN CSL_CITATION {"citationItems":[{"id":"ITEM-1","itemData":{"DOI":"10.33545/26648792.2023.v5.i2c.110","ISSN":"26648792","author":[{"dropping-particle":"","family":"Mahato","given":"Gagan","non-dropping-particle":"","parse-names":false,"suffix":""},{"dropping-particle":"","family":"Jhankar","given":"Subash Chandra","non-dropping-particle":"","parse-names":false,"suffix":""},{"dropping-particle":"","family":"Sharma","given":"Aruna","non-dropping-particle":"","parse-names":false,"suffix":""}],"container-title":"International Journal of Research in Management","id":"ITEM-1","issue":"2","issued":{"date-parts":[["2023"]]},"page":"212-215","title":"Green appetite: Exploring consumer perceptions of sustainably produced oats in Western Odisha","type":"article-journal","volume":"5"},"uris":["http://www.mendeley.com/documents/?uuid=dbe9109a-b5e0-4cdf-981c-0c7dd136aaa7"]}],"mendeley":{"formattedCitation":"(Mahato et al., 2023)","plainTextFormattedCitation":"(Mahato et al., 2023)","previouslyFormattedCitation":"(Mahato et al., 2023)"},"properties":{"noteIndex":0},"schema":"https://github.com/citation-style-language/schema/raw/master/csl-citation.json"}</w:instrText>
      </w:r>
      <w:r w:rsidR="006808C1">
        <w:rPr>
          <w:rFonts w:ascii="Times New Roman" w:eastAsia="Times New Roman" w:hAnsi="Times New Roman" w:cs="Times New Roman"/>
          <w:sz w:val="24"/>
          <w:szCs w:val="24"/>
          <w:lang w:eastAsia="en-IN" w:bidi="ar-SA"/>
        </w:rPr>
        <w:fldChar w:fldCharType="separate"/>
      </w:r>
      <w:r w:rsidR="006808C1" w:rsidRPr="006808C1">
        <w:rPr>
          <w:rFonts w:ascii="Times New Roman" w:eastAsia="Times New Roman" w:hAnsi="Times New Roman" w:cs="Times New Roman"/>
          <w:noProof/>
          <w:sz w:val="24"/>
          <w:szCs w:val="24"/>
          <w:lang w:eastAsia="en-IN" w:bidi="ar-SA"/>
        </w:rPr>
        <w:t>(Mahato et al., 2023)</w:t>
      </w:r>
      <w:r w:rsidR="006808C1">
        <w:rPr>
          <w:rFonts w:ascii="Times New Roman" w:eastAsia="Times New Roman" w:hAnsi="Times New Roman" w:cs="Times New Roman"/>
          <w:sz w:val="24"/>
          <w:szCs w:val="24"/>
          <w:lang w:eastAsia="en-IN" w:bidi="ar-SA"/>
        </w:rPr>
        <w:fldChar w:fldCharType="end"/>
      </w:r>
      <w:r w:rsidR="006808C1">
        <w:rPr>
          <w:rFonts w:ascii="Times New Roman" w:eastAsia="Times New Roman" w:hAnsi="Times New Roman" w:cs="Times New Roman"/>
          <w:sz w:val="24"/>
          <w:szCs w:val="24"/>
          <w:lang w:eastAsia="en-IN" w:bidi="ar-SA"/>
        </w:rPr>
        <w:t xml:space="preserve">. </w:t>
      </w:r>
    </w:p>
    <w:p w14:paraId="251CE45C" w14:textId="2B6C0BE7" w:rsidR="00FA439B" w:rsidRPr="00EB0D23" w:rsidRDefault="007A0519"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Seeing this unmatched benefit of these grains our government of Odisha launched a millet mission to revive millets on farm and plates and simultaneously focus on production, processing, consumption, marketing and inclusion of millet in government scheme. </w:t>
      </w:r>
    </w:p>
    <w:p w14:paraId="26E37632" w14:textId="79DC8C53" w:rsidR="00FA439B" w:rsidRDefault="00FA439B"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Since 55% of India's population is dependent on agriculture, the country is essentially an agrarian society. Small and marginal farmers comprise 86% of the Indian farming population (Source: Agriculture census, 2015-16). Small and marginal farmers are facing an income security dilemma as a result of the rising costs of farming brought on by high input costs. </w:t>
      </w:r>
      <w:r w:rsidRPr="00EB0D23">
        <w:rPr>
          <w:rFonts w:ascii="Times New Roman" w:hAnsi="Times New Roman" w:cs="Times New Roman"/>
          <w:sz w:val="24"/>
          <w:szCs w:val="24"/>
        </w:rPr>
        <w:lastRenderedPageBreak/>
        <w:t>Since almost 60% of India's arable land is rain-fed, crop failure in the agricultural sector is a result of climate change's harm, which also brings high temperatures and droughts. According to CGIAR estimates (Gowri and Shivakumar, 2020), climate change could result in a 13–20% decline in world production of wheat, rice, and maize in the upcoming decades</w:t>
      </w:r>
      <w:r w:rsidR="00EB0D23">
        <w:rPr>
          <w:rFonts w:ascii="Times New Roman" w:hAnsi="Times New Roman" w:cs="Times New Roman"/>
          <w:sz w:val="24"/>
          <w:szCs w:val="24"/>
        </w:rPr>
        <w:t>.</w:t>
      </w:r>
    </w:p>
    <w:p w14:paraId="1D004743" w14:textId="3B1CEFF3" w:rsidR="00427911" w:rsidRPr="00EB0D23" w:rsidRDefault="00427911" w:rsidP="00CF1C0D">
      <w:pPr>
        <w:spacing w:line="360" w:lineRule="auto"/>
        <w:jc w:val="both"/>
        <w:rPr>
          <w:rFonts w:ascii="Times New Roman" w:hAnsi="Times New Roman" w:cs="Times New Roman"/>
          <w:sz w:val="24"/>
          <w:szCs w:val="24"/>
        </w:rPr>
      </w:pPr>
      <w:r>
        <w:rPr>
          <w:rFonts w:ascii="Times New Roman" w:hAnsi="Times New Roman" w:cs="Times New Roman"/>
          <w:sz w:val="24"/>
          <w:szCs w:val="24"/>
        </w:rPr>
        <w:t>With this backdrop, the paper aims to analyse the impact of government awareness programme on the production and consumption in India.</w:t>
      </w:r>
    </w:p>
    <w:p w14:paraId="75A9E7E1" w14:textId="70543C1D" w:rsidR="00FA439B" w:rsidRPr="00EB0D23" w:rsidRDefault="00FA439B" w:rsidP="00CF1C0D">
      <w:pPr>
        <w:spacing w:line="360" w:lineRule="auto"/>
        <w:jc w:val="both"/>
        <w:rPr>
          <w:rFonts w:ascii="Times New Roman" w:hAnsi="Times New Roman" w:cs="Times New Roman"/>
          <w:b/>
          <w:bCs/>
          <w:sz w:val="24"/>
          <w:szCs w:val="24"/>
        </w:rPr>
      </w:pPr>
      <w:r w:rsidRPr="00EB0D23">
        <w:rPr>
          <w:rFonts w:ascii="Times New Roman" w:hAnsi="Times New Roman" w:cs="Times New Roman"/>
          <w:b/>
          <w:bCs/>
          <w:sz w:val="24"/>
          <w:szCs w:val="24"/>
        </w:rPr>
        <w:t>Review of Literature</w:t>
      </w:r>
    </w:p>
    <w:p w14:paraId="3775C234" w14:textId="3C20D2CC" w:rsidR="00BE4A0B" w:rsidRPr="00EB0D23" w:rsidRDefault="00C25AE2"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Behera (2017) in their research study conclude that</w:t>
      </w:r>
      <w:r w:rsidR="00BE4A0B" w:rsidRPr="00EB0D23">
        <w:rPr>
          <w:rFonts w:ascii="Times New Roman" w:hAnsi="Times New Roman" w:cs="Times New Roman"/>
          <w:sz w:val="24"/>
          <w:szCs w:val="24"/>
        </w:rPr>
        <w:t xml:space="preserve"> </w:t>
      </w:r>
      <w:r w:rsidR="00EB0D23" w:rsidRPr="00EB0D23">
        <w:rPr>
          <w:rFonts w:ascii="Times New Roman" w:hAnsi="Times New Roman" w:cs="Times New Roman"/>
          <w:sz w:val="24"/>
          <w:szCs w:val="24"/>
        </w:rPr>
        <w:t>nowadays</w:t>
      </w:r>
      <w:r w:rsidR="00BE4A0B" w:rsidRPr="00EB0D23">
        <w:rPr>
          <w:rFonts w:ascii="Times New Roman" w:hAnsi="Times New Roman" w:cs="Times New Roman"/>
          <w:sz w:val="24"/>
          <w:szCs w:val="24"/>
        </w:rPr>
        <w:t xml:space="preserve">, we require farming systems that are more resilient and designed to provide the country's needs for food and nutrition while maintaining a sustainable use of natural resources. Despite being late, </w:t>
      </w:r>
      <w:proofErr w:type="gramStart"/>
      <w:r w:rsidR="00BE4A0B" w:rsidRPr="00EB0D23">
        <w:rPr>
          <w:rFonts w:ascii="Times New Roman" w:hAnsi="Times New Roman" w:cs="Times New Roman"/>
          <w:sz w:val="24"/>
          <w:szCs w:val="24"/>
        </w:rPr>
        <w:t>In</w:t>
      </w:r>
      <w:proofErr w:type="gramEnd"/>
      <w:r w:rsidR="00BE4A0B" w:rsidRPr="00EB0D23">
        <w:rPr>
          <w:rFonts w:ascii="Times New Roman" w:hAnsi="Times New Roman" w:cs="Times New Roman"/>
          <w:sz w:val="24"/>
          <w:szCs w:val="24"/>
        </w:rPr>
        <w:t xml:space="preserve"> order to encourage millets growing on a mission mode and raise public awareness of greater consumption of millet, especially among urban Indians, the </w:t>
      </w:r>
      <w:proofErr w:type="spellStart"/>
      <w:r w:rsidR="00BE4A0B" w:rsidRPr="00EB0D23">
        <w:rPr>
          <w:rFonts w:ascii="Times New Roman" w:hAnsi="Times New Roman" w:cs="Times New Roman"/>
          <w:sz w:val="24"/>
          <w:szCs w:val="24"/>
        </w:rPr>
        <w:t>GoI</w:t>
      </w:r>
      <w:proofErr w:type="spellEnd"/>
      <w:r w:rsidR="00BE4A0B" w:rsidRPr="00EB0D23">
        <w:rPr>
          <w:rFonts w:ascii="Times New Roman" w:hAnsi="Times New Roman" w:cs="Times New Roman"/>
          <w:sz w:val="24"/>
          <w:szCs w:val="24"/>
        </w:rPr>
        <w:t xml:space="preserve"> and state governments have implemented a number of progressive steps during the past ten years.</w:t>
      </w:r>
      <w:r w:rsidRPr="00EB0D23">
        <w:rPr>
          <w:rFonts w:ascii="Times New Roman" w:hAnsi="Times New Roman" w:cs="Times New Roman"/>
          <w:sz w:val="24"/>
          <w:szCs w:val="24"/>
        </w:rPr>
        <w:t xml:space="preserve"> </w:t>
      </w:r>
    </w:p>
    <w:p w14:paraId="1DB0D918" w14:textId="5243B280" w:rsidR="00374168" w:rsidRPr="00EB0D23" w:rsidRDefault="00BE4A0B" w:rsidP="00CF1C0D">
      <w:pPr>
        <w:spacing w:line="360" w:lineRule="auto"/>
        <w:jc w:val="both"/>
        <w:rPr>
          <w:rFonts w:ascii="Times New Roman" w:hAnsi="Times New Roman" w:cs="Times New Roman"/>
          <w:sz w:val="24"/>
          <w:szCs w:val="24"/>
        </w:rPr>
      </w:pPr>
      <w:proofErr w:type="spellStart"/>
      <w:r w:rsidRPr="00EB0D23">
        <w:rPr>
          <w:rFonts w:ascii="Times New Roman" w:hAnsi="Times New Roman" w:cs="Times New Roman"/>
          <w:sz w:val="24"/>
          <w:szCs w:val="24"/>
        </w:rPr>
        <w:t>Anbukkani</w:t>
      </w:r>
      <w:proofErr w:type="spellEnd"/>
      <w:r w:rsidRPr="00EB0D23">
        <w:rPr>
          <w:rFonts w:ascii="Times New Roman" w:hAnsi="Times New Roman" w:cs="Times New Roman"/>
          <w:sz w:val="24"/>
          <w:szCs w:val="24"/>
        </w:rPr>
        <w:t xml:space="preserve"> et al. </w:t>
      </w:r>
      <w:r w:rsidR="00B2537C" w:rsidRPr="00EB0D23">
        <w:rPr>
          <w:rFonts w:ascii="Times New Roman" w:hAnsi="Times New Roman" w:cs="Times New Roman"/>
          <w:sz w:val="24"/>
          <w:szCs w:val="24"/>
        </w:rPr>
        <w:t>(2017)</w:t>
      </w:r>
      <w:r w:rsidR="00EB5F15" w:rsidRPr="00EB0D23">
        <w:rPr>
          <w:rFonts w:ascii="Times New Roman" w:hAnsi="Times New Roman" w:cs="Times New Roman"/>
          <w:sz w:val="24"/>
          <w:szCs w:val="24"/>
        </w:rPr>
        <w:t xml:space="preserve"> </w:t>
      </w:r>
      <w:r w:rsidR="006929B3" w:rsidRPr="00EB0D23">
        <w:rPr>
          <w:rFonts w:ascii="Times New Roman" w:hAnsi="Times New Roman" w:cs="Times New Roman"/>
          <w:sz w:val="24"/>
          <w:szCs w:val="24"/>
        </w:rPr>
        <w:t>discovered that t</w:t>
      </w:r>
      <w:r w:rsidR="00EB5F15" w:rsidRPr="00EB0D23">
        <w:rPr>
          <w:rFonts w:ascii="Times New Roman" w:hAnsi="Times New Roman" w:cs="Times New Roman"/>
          <w:sz w:val="24"/>
          <w:szCs w:val="24"/>
        </w:rPr>
        <w:t>he cultivated area of millets has experienced a sharp decrease from 1956 to 2006. In the same time frame, wheat and rice</w:t>
      </w:r>
      <w:r w:rsidR="006929B3" w:rsidRPr="00EB0D23">
        <w:rPr>
          <w:rFonts w:ascii="Times New Roman" w:hAnsi="Times New Roman" w:cs="Times New Roman"/>
          <w:sz w:val="24"/>
          <w:szCs w:val="24"/>
        </w:rPr>
        <w:t xml:space="preserve"> </w:t>
      </w:r>
      <w:r w:rsidR="00EB5F15" w:rsidRPr="00EB0D23">
        <w:rPr>
          <w:rFonts w:ascii="Times New Roman" w:hAnsi="Times New Roman" w:cs="Times New Roman"/>
          <w:sz w:val="24"/>
          <w:szCs w:val="24"/>
        </w:rPr>
        <w:t>which were grown on less land than millets in 1955–1956 have progressively increased to surpass millets. The country's rainfed region, which makes about 60% of the entire land, is a major producer of millets. In India, the two states with the highest consumption of small millets in rural regions were Assam (18.82 kg/</w:t>
      </w:r>
      <w:proofErr w:type="spellStart"/>
      <w:r w:rsidR="00EB5F15" w:rsidRPr="00EB0D23">
        <w:rPr>
          <w:rFonts w:ascii="Times New Roman" w:hAnsi="Times New Roman" w:cs="Times New Roman"/>
          <w:sz w:val="24"/>
          <w:szCs w:val="24"/>
        </w:rPr>
        <w:t>hsh</w:t>
      </w:r>
      <w:proofErr w:type="spellEnd"/>
      <w:r w:rsidR="00EB5F15" w:rsidRPr="00EB0D23">
        <w:rPr>
          <w:rFonts w:ascii="Times New Roman" w:hAnsi="Times New Roman" w:cs="Times New Roman"/>
          <w:sz w:val="24"/>
          <w:szCs w:val="24"/>
        </w:rPr>
        <w:t>/m) and Bihar (18.69 kg/</w:t>
      </w:r>
      <w:proofErr w:type="spellStart"/>
      <w:r w:rsidR="00EB5F15" w:rsidRPr="00EB0D23">
        <w:rPr>
          <w:rFonts w:ascii="Times New Roman" w:hAnsi="Times New Roman" w:cs="Times New Roman"/>
          <w:sz w:val="24"/>
          <w:szCs w:val="24"/>
        </w:rPr>
        <w:t>hsh</w:t>
      </w:r>
      <w:proofErr w:type="spellEnd"/>
      <w:r w:rsidR="00EB5F15" w:rsidRPr="00EB0D23">
        <w:rPr>
          <w:rFonts w:ascii="Times New Roman" w:hAnsi="Times New Roman" w:cs="Times New Roman"/>
          <w:sz w:val="24"/>
          <w:szCs w:val="24"/>
        </w:rPr>
        <w:t>/m).</w:t>
      </w:r>
    </w:p>
    <w:p w14:paraId="19ADF3F6" w14:textId="0A23C2E7" w:rsidR="00CA53B2" w:rsidRPr="00EB0D23" w:rsidRDefault="00374168"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Nanda and Janardhana (2024) in their research study found that </w:t>
      </w:r>
      <w:r w:rsidR="007B15D8" w:rsidRPr="00EB0D23">
        <w:rPr>
          <w:rFonts w:ascii="Times New Roman" w:hAnsi="Times New Roman" w:cs="Times New Roman"/>
          <w:sz w:val="24"/>
          <w:szCs w:val="24"/>
        </w:rPr>
        <w:t>the students do not know the various varieties of Millet and its significance to our geography, customs, traditions food and culture.</w:t>
      </w:r>
      <w:r w:rsidR="00225D69" w:rsidRPr="00EB0D23">
        <w:rPr>
          <w:rFonts w:ascii="Times New Roman" w:hAnsi="Times New Roman" w:cs="Times New Roman"/>
          <w:sz w:val="24"/>
          <w:szCs w:val="24"/>
        </w:rPr>
        <w:t xml:space="preserve"> Millets are regarded as</w:t>
      </w:r>
      <w:r w:rsidR="00CA53B2" w:rsidRPr="00EB0D23">
        <w:rPr>
          <w:rFonts w:ascii="Times New Roman" w:hAnsi="Times New Roman" w:cs="Times New Roman"/>
          <w:sz w:val="24"/>
          <w:szCs w:val="24"/>
        </w:rPr>
        <w:t xml:space="preserve"> a low-quality food. Community-stabilized meal that reflects social standing because they are grown or accessible in fewer or non-irrigated locations. </w:t>
      </w:r>
      <w:r w:rsidR="00225D69" w:rsidRPr="00EB0D23">
        <w:rPr>
          <w:rFonts w:ascii="Times New Roman" w:hAnsi="Times New Roman" w:cs="Times New Roman"/>
          <w:sz w:val="24"/>
          <w:szCs w:val="24"/>
        </w:rPr>
        <w:t>The demand of the hour are societal behaviour and common sense in recognising our food, health and community in order to restore the biodiversity of food, fodder and climate. We must promote our Millet bowl to the students in the areas where it is presently grown and provide opportunities for community members to engage with the teachers and students who are now growing and eating millet.</w:t>
      </w:r>
      <w:r w:rsidR="007B15D8" w:rsidRPr="00EB0D23">
        <w:rPr>
          <w:rFonts w:ascii="Times New Roman" w:hAnsi="Times New Roman" w:cs="Times New Roman"/>
          <w:sz w:val="24"/>
          <w:szCs w:val="24"/>
        </w:rPr>
        <w:t xml:space="preserve"> </w:t>
      </w:r>
    </w:p>
    <w:p w14:paraId="79CD6A28" w14:textId="18F8C8B3" w:rsidR="0069314A" w:rsidRPr="00EB0D23" w:rsidRDefault="00CA53B2" w:rsidP="00CF1C0D">
      <w:pPr>
        <w:spacing w:line="360" w:lineRule="auto"/>
        <w:jc w:val="both"/>
        <w:rPr>
          <w:rFonts w:ascii="Times New Roman" w:hAnsi="Times New Roman" w:cs="Times New Roman"/>
          <w:sz w:val="24"/>
          <w:szCs w:val="24"/>
        </w:rPr>
      </w:pPr>
      <w:proofErr w:type="spellStart"/>
      <w:r w:rsidRPr="00EB0D23">
        <w:rPr>
          <w:rFonts w:ascii="Times New Roman" w:hAnsi="Times New Roman" w:cs="Times New Roman"/>
          <w:sz w:val="24"/>
          <w:szCs w:val="24"/>
        </w:rPr>
        <w:t>Sivaramane</w:t>
      </w:r>
      <w:proofErr w:type="spellEnd"/>
      <w:r w:rsidRPr="00EB0D23">
        <w:rPr>
          <w:rFonts w:ascii="Times New Roman" w:hAnsi="Times New Roman" w:cs="Times New Roman"/>
          <w:sz w:val="24"/>
          <w:szCs w:val="24"/>
        </w:rPr>
        <w:t xml:space="preserve"> et al. </w:t>
      </w:r>
      <w:r w:rsidR="000263DE" w:rsidRPr="00EB0D23">
        <w:rPr>
          <w:rFonts w:ascii="Times New Roman" w:hAnsi="Times New Roman" w:cs="Times New Roman"/>
          <w:sz w:val="24"/>
          <w:szCs w:val="24"/>
        </w:rPr>
        <w:t xml:space="preserve">(2023) </w:t>
      </w:r>
      <w:r w:rsidR="00AD61B7" w:rsidRPr="00EB0D23">
        <w:rPr>
          <w:rFonts w:ascii="Times New Roman" w:hAnsi="Times New Roman" w:cs="Times New Roman"/>
          <w:sz w:val="24"/>
          <w:szCs w:val="24"/>
        </w:rPr>
        <w:t xml:space="preserve">in their findings provided that from 1966 to 2021, millets proportion in the total amount of cereal produced decreased from 26% to 6%. India's millet production is largely influenced by Uttar Pradesh, Rajasthan, and Karnataka. While the consumption of </w:t>
      </w:r>
      <w:r w:rsidR="00AD61B7" w:rsidRPr="00EB0D23">
        <w:rPr>
          <w:rFonts w:ascii="Times New Roman" w:hAnsi="Times New Roman" w:cs="Times New Roman"/>
          <w:sz w:val="24"/>
          <w:szCs w:val="24"/>
        </w:rPr>
        <w:lastRenderedPageBreak/>
        <w:t xml:space="preserve">cereals has decreased overall in households in both rural and urban areas, the loss in millet consumption has been more pronounced in rural areas (66%) than in urban areas (50%). </w:t>
      </w:r>
      <w:r w:rsidR="0069314A" w:rsidRPr="00EB0D23">
        <w:rPr>
          <w:rFonts w:ascii="Times New Roman" w:hAnsi="Times New Roman" w:cs="Times New Roman"/>
          <w:sz w:val="24"/>
          <w:szCs w:val="24"/>
        </w:rPr>
        <w:t>Because millet is not as profitable as its rival crop, it needs to be cultivated scientifically and with higher technological adoption.</w:t>
      </w:r>
    </w:p>
    <w:p w14:paraId="21256B4B" w14:textId="571DFF90" w:rsidR="0069314A" w:rsidRPr="00EB0D23" w:rsidRDefault="0069314A"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Malaiarasan et al. (2022) </w:t>
      </w:r>
      <w:r w:rsidR="000065EB" w:rsidRPr="00EB0D23">
        <w:rPr>
          <w:rFonts w:ascii="Times New Roman" w:hAnsi="Times New Roman" w:cs="Times New Roman"/>
          <w:sz w:val="24"/>
          <w:szCs w:val="24"/>
        </w:rPr>
        <w:t xml:space="preserve">in their research study conclude that Millets can be utilised as a tool to solve a number of issues, including nutritional security, poverty, bad diet, climate change, and environmental issues related to agriculture. </w:t>
      </w:r>
      <w:r w:rsidR="0019477C" w:rsidRPr="00EB0D23">
        <w:rPr>
          <w:rFonts w:ascii="Times New Roman" w:hAnsi="Times New Roman" w:cs="Times New Roman"/>
          <w:sz w:val="24"/>
          <w:szCs w:val="24"/>
        </w:rPr>
        <w:t>The scale of the area expansion under millets is extremely little, despite the fact that the higher price of millets has contributed to a larger chance of their adoption. Accordingly choosing millets is adversely correlated with knowledge of their MSP, even when the MSP is 1.5 times higher than the cost of production.</w:t>
      </w:r>
    </w:p>
    <w:p w14:paraId="679B7F6E" w14:textId="3BD1E4DA" w:rsidR="005A6520" w:rsidRPr="00EB0D23" w:rsidRDefault="00B413E4"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Meena (</w:t>
      </w:r>
      <w:r w:rsidR="00762E13" w:rsidRPr="00EB0D23">
        <w:rPr>
          <w:rFonts w:ascii="Times New Roman" w:hAnsi="Times New Roman" w:cs="Times New Roman"/>
          <w:sz w:val="24"/>
          <w:szCs w:val="24"/>
        </w:rPr>
        <w:t xml:space="preserve">2021) </w:t>
      </w:r>
      <w:r w:rsidR="005A6520" w:rsidRPr="00EB0D23">
        <w:rPr>
          <w:rFonts w:ascii="Times New Roman" w:hAnsi="Times New Roman" w:cs="Times New Roman"/>
          <w:sz w:val="24"/>
          <w:szCs w:val="24"/>
        </w:rPr>
        <w:t>Since ancient times, resource-poor farmers in arid regions and tribal populations living in delicate and less productive environments have been cultivating millets. Millets have experienced a resurgence, meanwhile, as a result of increased knowledge about their possible health advantages and industrial use. The primary issue pertaining to millet production is the shrinking worldwide millet farming area. Lower productivity of millets and declining area are mostly caused by a lack of improved cultivars, agricultural inputs, and legislative support. Projection of millets as future golden crops will require well-thought-out, sustained public sector investment in diverse research initiatives, collaboratively undertaken by major developing nations.</w:t>
      </w:r>
    </w:p>
    <w:p w14:paraId="3C0ADFEE" w14:textId="6751651E" w:rsidR="005A6520" w:rsidRPr="00EB0D23" w:rsidRDefault="005A6520"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Singh and </w:t>
      </w:r>
      <w:proofErr w:type="spellStart"/>
      <w:r w:rsidRPr="00EB0D23">
        <w:rPr>
          <w:rFonts w:ascii="Times New Roman" w:hAnsi="Times New Roman" w:cs="Times New Roman"/>
          <w:sz w:val="24"/>
          <w:szCs w:val="24"/>
        </w:rPr>
        <w:t>sharma</w:t>
      </w:r>
      <w:proofErr w:type="spellEnd"/>
      <w:r w:rsidRPr="00EB0D23">
        <w:rPr>
          <w:rFonts w:ascii="Times New Roman" w:hAnsi="Times New Roman" w:cs="Times New Roman"/>
          <w:sz w:val="24"/>
          <w:szCs w:val="24"/>
        </w:rPr>
        <w:t xml:space="preserve"> (2018) </w:t>
      </w:r>
      <w:r w:rsidR="00634F07" w:rsidRPr="00EB0D23">
        <w:rPr>
          <w:rFonts w:ascii="Times New Roman" w:hAnsi="Times New Roman" w:cs="Times New Roman"/>
          <w:sz w:val="24"/>
          <w:szCs w:val="24"/>
        </w:rPr>
        <w:t>It was discovered that, at a highly substantial rate, productivity growth in the state and nation of Madhya Pradesh and India reduced the area under small millets and the output of small millets in India alone. It was discovered that the yield effect was negative and that the state and national production of small millets had decreased for no apparent reason. Therefore, it is recommended that high-quality seed be produced and improved cultivars be distributed to guarantee a sufficient and timely supply of seed materials with high standards of seed quality at farmers' doorsteps.</w:t>
      </w:r>
    </w:p>
    <w:p w14:paraId="6FBE4B43" w14:textId="0A74A92A" w:rsidR="0060687C" w:rsidRPr="00EB0D23" w:rsidRDefault="009228E1" w:rsidP="00EB5F15">
      <w:pPr>
        <w:jc w:val="both"/>
        <w:rPr>
          <w:rFonts w:ascii="Times New Roman" w:hAnsi="Times New Roman" w:cs="Times New Roman"/>
          <w:b/>
          <w:bCs/>
          <w:sz w:val="24"/>
          <w:szCs w:val="24"/>
        </w:rPr>
      </w:pPr>
      <w:r w:rsidRPr="00EB0D23">
        <w:rPr>
          <w:rFonts w:ascii="Times New Roman" w:hAnsi="Times New Roman" w:cs="Times New Roman"/>
          <w:b/>
          <w:bCs/>
          <w:sz w:val="24"/>
          <w:szCs w:val="24"/>
        </w:rPr>
        <w:t>Methodology</w:t>
      </w:r>
    </w:p>
    <w:p w14:paraId="11846AFD" w14:textId="1C85C419" w:rsidR="00CD6BF0" w:rsidRPr="00EB0D23" w:rsidRDefault="009228E1"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The purpose of this study is to ascertain the changes in production and consumption of millet</w:t>
      </w:r>
      <w:r w:rsidR="00CD4A9A" w:rsidRPr="00EB0D23">
        <w:rPr>
          <w:rFonts w:ascii="Times New Roman" w:hAnsi="Times New Roman" w:cs="Times New Roman"/>
          <w:sz w:val="24"/>
          <w:szCs w:val="24"/>
        </w:rPr>
        <w:t xml:space="preserve"> due to the two different schemes of government </w:t>
      </w:r>
      <w:r w:rsidR="00382D8C" w:rsidRPr="00EB0D23">
        <w:rPr>
          <w:rFonts w:ascii="Times New Roman" w:hAnsi="Times New Roman" w:cs="Times New Roman"/>
          <w:sz w:val="24"/>
          <w:szCs w:val="24"/>
        </w:rPr>
        <w:t xml:space="preserve">namely (NMSA) National mission on sustainable agriculture (2010) and (NFSM) National Food Security </w:t>
      </w:r>
      <w:proofErr w:type="gramStart"/>
      <w:r w:rsidR="00382D8C" w:rsidRPr="00EB0D23">
        <w:rPr>
          <w:rFonts w:ascii="Times New Roman" w:hAnsi="Times New Roman" w:cs="Times New Roman"/>
          <w:sz w:val="24"/>
          <w:szCs w:val="24"/>
        </w:rPr>
        <w:t>Mission(</w:t>
      </w:r>
      <w:proofErr w:type="gramEnd"/>
      <w:r w:rsidR="00382D8C" w:rsidRPr="00EB0D23">
        <w:rPr>
          <w:rFonts w:ascii="Times New Roman" w:hAnsi="Times New Roman" w:cs="Times New Roman"/>
          <w:sz w:val="24"/>
          <w:szCs w:val="24"/>
        </w:rPr>
        <w:t xml:space="preserve">2007-08). The study is based on Secondary data and the data collection source (site) is </w:t>
      </w:r>
      <w:proofErr w:type="spellStart"/>
      <w:r w:rsidR="00382D8C" w:rsidRPr="00EB0D23">
        <w:rPr>
          <w:rFonts w:ascii="Times New Roman" w:hAnsi="Times New Roman" w:cs="Times New Roman"/>
          <w:sz w:val="24"/>
          <w:szCs w:val="24"/>
        </w:rPr>
        <w:t>indexmundi</w:t>
      </w:r>
      <w:proofErr w:type="spellEnd"/>
      <w:r w:rsidR="00382D8C" w:rsidRPr="00EB0D23">
        <w:rPr>
          <w:rFonts w:ascii="Times New Roman" w:hAnsi="Times New Roman" w:cs="Times New Roman"/>
          <w:sz w:val="24"/>
          <w:szCs w:val="24"/>
        </w:rPr>
        <w:t xml:space="preserve">. We have applied paired t-test for the comparison to ascertain the impact of Government </w:t>
      </w:r>
      <w:proofErr w:type="spellStart"/>
      <w:r w:rsidR="00382D8C" w:rsidRPr="00EB0D23">
        <w:rPr>
          <w:rFonts w:ascii="Times New Roman" w:hAnsi="Times New Roman" w:cs="Times New Roman"/>
          <w:sz w:val="24"/>
          <w:szCs w:val="24"/>
        </w:rPr>
        <w:lastRenderedPageBreak/>
        <w:t>Awarness</w:t>
      </w:r>
      <w:proofErr w:type="spellEnd"/>
      <w:r w:rsidR="00382D8C" w:rsidRPr="00EB0D23">
        <w:rPr>
          <w:rFonts w:ascii="Times New Roman" w:hAnsi="Times New Roman" w:cs="Times New Roman"/>
          <w:sz w:val="24"/>
          <w:szCs w:val="24"/>
        </w:rPr>
        <w:t xml:space="preserve"> programs by comparing pre and post period p</w:t>
      </w:r>
      <w:r w:rsidR="00646E29" w:rsidRPr="00EB0D23">
        <w:rPr>
          <w:rFonts w:ascii="Times New Roman" w:hAnsi="Times New Roman" w:cs="Times New Roman"/>
          <w:sz w:val="24"/>
          <w:szCs w:val="24"/>
        </w:rPr>
        <w:t xml:space="preserve">roduction and consumption. For accessing the impact of the first scheme we have compared the production and consumption of two periods </w:t>
      </w:r>
      <w:proofErr w:type="spellStart"/>
      <w:r w:rsidR="00646E29" w:rsidRPr="00EB0D23">
        <w:rPr>
          <w:rFonts w:ascii="Times New Roman" w:hAnsi="Times New Roman" w:cs="Times New Roman"/>
          <w:sz w:val="24"/>
          <w:szCs w:val="24"/>
        </w:rPr>
        <w:t>i.e</w:t>
      </w:r>
      <w:proofErr w:type="spellEnd"/>
      <w:r w:rsidR="00646E29" w:rsidRPr="00EB0D23">
        <w:rPr>
          <w:rFonts w:ascii="Times New Roman" w:hAnsi="Times New Roman" w:cs="Times New Roman"/>
          <w:sz w:val="24"/>
          <w:szCs w:val="24"/>
        </w:rPr>
        <w:t>, 2003-2007 and 2008-2012.</w:t>
      </w:r>
      <w:r w:rsidR="009272FD" w:rsidRPr="00EB0D23">
        <w:rPr>
          <w:rFonts w:ascii="Times New Roman" w:hAnsi="Times New Roman" w:cs="Times New Roman"/>
          <w:sz w:val="24"/>
          <w:szCs w:val="24"/>
        </w:rPr>
        <w:t xml:space="preserve"> </w:t>
      </w:r>
      <w:r w:rsidR="00646E29" w:rsidRPr="00EB0D23">
        <w:rPr>
          <w:rFonts w:ascii="Times New Roman" w:hAnsi="Times New Roman" w:cs="Times New Roman"/>
          <w:sz w:val="24"/>
          <w:szCs w:val="24"/>
        </w:rPr>
        <w:t xml:space="preserve">Similarly, for accessing the impact of the second scheme we have compared the production and consumption of two periods </w:t>
      </w:r>
      <w:proofErr w:type="spellStart"/>
      <w:r w:rsidR="00646E29" w:rsidRPr="00EB0D23">
        <w:rPr>
          <w:rFonts w:ascii="Times New Roman" w:hAnsi="Times New Roman" w:cs="Times New Roman"/>
          <w:sz w:val="24"/>
          <w:szCs w:val="24"/>
        </w:rPr>
        <w:t>i.e</w:t>
      </w:r>
      <w:proofErr w:type="spellEnd"/>
      <w:r w:rsidR="00646E29" w:rsidRPr="00EB0D23">
        <w:rPr>
          <w:rFonts w:ascii="Times New Roman" w:hAnsi="Times New Roman" w:cs="Times New Roman"/>
          <w:sz w:val="24"/>
          <w:szCs w:val="24"/>
        </w:rPr>
        <w:t>, 2002-2010 and 2011-2019.</w:t>
      </w:r>
    </w:p>
    <w:p w14:paraId="18E08C52" w14:textId="67B98BA6" w:rsidR="00CD6BF0" w:rsidRPr="00CF1C0D" w:rsidRDefault="00CD6BF0" w:rsidP="00EB5F15">
      <w:pPr>
        <w:jc w:val="both"/>
        <w:rPr>
          <w:rFonts w:ascii="Times New Roman" w:hAnsi="Times New Roman" w:cs="Times New Roman"/>
          <w:b/>
          <w:bCs/>
          <w:sz w:val="24"/>
          <w:szCs w:val="24"/>
        </w:rPr>
      </w:pPr>
      <w:r w:rsidRPr="00CF1C0D">
        <w:rPr>
          <w:rFonts w:ascii="Times New Roman" w:hAnsi="Times New Roman" w:cs="Times New Roman"/>
          <w:b/>
          <w:bCs/>
          <w:sz w:val="24"/>
          <w:szCs w:val="24"/>
        </w:rPr>
        <w:t>Results and discussion</w:t>
      </w:r>
    </w:p>
    <w:p w14:paraId="537918CE" w14:textId="56C9EC1C" w:rsidR="00CD6BF0" w:rsidRPr="00EB0D23" w:rsidRDefault="005F2761"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First,</w:t>
      </w:r>
      <w:r w:rsidR="00CD6BF0" w:rsidRPr="00EB0D23">
        <w:rPr>
          <w:rFonts w:ascii="Times New Roman" w:hAnsi="Times New Roman" w:cs="Times New Roman"/>
          <w:sz w:val="24"/>
          <w:szCs w:val="24"/>
        </w:rPr>
        <w:t xml:space="preserve"> we test the normality of all variables and we found that all the variable are normally distributed as the p value is more than 0.05. the result is shown in Table-</w:t>
      </w:r>
      <w:r w:rsidR="00A675CA">
        <w:rPr>
          <w:rFonts w:ascii="Times New Roman" w:hAnsi="Times New Roman" w:cs="Times New Roman"/>
          <w:sz w:val="24"/>
          <w:szCs w:val="24"/>
        </w:rPr>
        <w:t>3</w:t>
      </w:r>
      <w:r w:rsidR="00CD6BF0" w:rsidRPr="00EB0D23">
        <w:rPr>
          <w:rFonts w:ascii="Times New Roman" w:hAnsi="Times New Roman" w:cs="Times New Roman"/>
          <w:sz w:val="24"/>
          <w:szCs w:val="24"/>
        </w:rPr>
        <w:t>. so, we can go for parametric test. So, here as per the objective we have applied paired t-test to compare the consumption and production of millets in India pre and post of two government scheme namely (NMSA) National Mission on Sustainable Agriculture</w:t>
      </w:r>
      <w:r w:rsidR="00710A93" w:rsidRPr="00EB0D23">
        <w:rPr>
          <w:rFonts w:ascii="Times New Roman" w:hAnsi="Times New Roman" w:cs="Times New Roman"/>
          <w:sz w:val="24"/>
          <w:szCs w:val="24"/>
        </w:rPr>
        <w:t xml:space="preserve"> and (NFSM) National Food Security Mission. the result shows that there is no significant difference in the production and consumption of millets in pre and post period of the awareness schemes.</w:t>
      </w:r>
    </w:p>
    <w:p w14:paraId="3E2CF7E1" w14:textId="45C9B5DF" w:rsidR="00710A93" w:rsidRPr="00EB0D23" w:rsidRDefault="00710A93" w:rsidP="00CF1C0D">
      <w:pPr>
        <w:spacing w:line="360" w:lineRule="auto"/>
        <w:jc w:val="both"/>
        <w:rPr>
          <w:rFonts w:ascii="Times New Roman" w:hAnsi="Times New Roman" w:cs="Times New Roman"/>
          <w:sz w:val="24"/>
          <w:szCs w:val="24"/>
        </w:rPr>
      </w:pPr>
      <w:r w:rsidRPr="00EB0D23">
        <w:rPr>
          <w:rFonts w:ascii="Times New Roman" w:hAnsi="Times New Roman" w:cs="Times New Roman"/>
          <w:sz w:val="24"/>
          <w:szCs w:val="24"/>
        </w:rPr>
        <w:t xml:space="preserve">This insignificant result is observed for the growth rate also. </w:t>
      </w:r>
      <w:proofErr w:type="gramStart"/>
      <w:r w:rsidRPr="00EB0D23">
        <w:rPr>
          <w:rFonts w:ascii="Times New Roman" w:hAnsi="Times New Roman" w:cs="Times New Roman"/>
          <w:sz w:val="24"/>
          <w:szCs w:val="24"/>
        </w:rPr>
        <w:t>Hence</w:t>
      </w:r>
      <w:proofErr w:type="gramEnd"/>
      <w:r w:rsidRPr="00EB0D23">
        <w:rPr>
          <w:rFonts w:ascii="Times New Roman" w:hAnsi="Times New Roman" w:cs="Times New Roman"/>
          <w:sz w:val="24"/>
          <w:szCs w:val="24"/>
        </w:rPr>
        <w:t xml:space="preserve"> we can conclude that though the schemes have helped in increasing the production and consumption of millets in India such growth is not significant. It </w:t>
      </w:r>
      <w:r w:rsidR="005F2761" w:rsidRPr="00EB0D23">
        <w:rPr>
          <w:rFonts w:ascii="Times New Roman" w:hAnsi="Times New Roman" w:cs="Times New Roman"/>
          <w:sz w:val="24"/>
          <w:szCs w:val="24"/>
        </w:rPr>
        <w:t>suggests</w:t>
      </w:r>
      <w:r w:rsidRPr="00EB0D23">
        <w:rPr>
          <w:rFonts w:ascii="Times New Roman" w:hAnsi="Times New Roman" w:cs="Times New Roman"/>
          <w:sz w:val="24"/>
          <w:szCs w:val="24"/>
        </w:rPr>
        <w:t xml:space="preserve"> that the government should put more effort on promoting the benefits of the schemes. The result of paired t-test is shown in table-</w:t>
      </w:r>
      <w:r w:rsidR="00A675CA">
        <w:rPr>
          <w:rFonts w:ascii="Times New Roman" w:hAnsi="Times New Roman" w:cs="Times New Roman"/>
          <w:sz w:val="24"/>
          <w:szCs w:val="24"/>
        </w:rPr>
        <w:t>4</w:t>
      </w:r>
      <w:r w:rsidRPr="00EB0D23">
        <w:rPr>
          <w:rFonts w:ascii="Times New Roman" w:hAnsi="Times New Roman" w:cs="Times New Roman"/>
          <w:sz w:val="24"/>
          <w:szCs w:val="24"/>
        </w:rPr>
        <w:t>.</w:t>
      </w:r>
    </w:p>
    <w:p w14:paraId="11639D37" w14:textId="164D5AB7" w:rsidR="000476EC" w:rsidRPr="00BA2A83" w:rsidRDefault="00CF1C0D" w:rsidP="00CF1C0D">
      <w:pPr>
        <w:jc w:val="center"/>
        <w:rPr>
          <w:rFonts w:ascii="Times New Roman" w:hAnsi="Times New Roman" w:cs="Times New Roman"/>
          <w:b/>
          <w:bCs/>
          <w:sz w:val="24"/>
          <w:szCs w:val="24"/>
        </w:rPr>
      </w:pPr>
      <w:r w:rsidRPr="00BA2A83">
        <w:rPr>
          <w:rFonts w:ascii="Times New Roman" w:hAnsi="Times New Roman" w:cs="Times New Roman"/>
          <w:b/>
          <w:bCs/>
          <w:sz w:val="24"/>
          <w:szCs w:val="24"/>
        </w:rPr>
        <w:t xml:space="preserve">Table 1: </w:t>
      </w:r>
      <w:r w:rsidR="00CA285C" w:rsidRPr="00BA2A83">
        <w:rPr>
          <w:rFonts w:ascii="Times New Roman" w:hAnsi="Times New Roman" w:cs="Times New Roman"/>
          <w:b/>
          <w:bCs/>
          <w:sz w:val="24"/>
          <w:szCs w:val="24"/>
        </w:rPr>
        <w:t>India millet domestic production by year</w:t>
      </w:r>
    </w:p>
    <w:tbl>
      <w:tblPr>
        <w:tblStyle w:val="TableGrid"/>
        <w:tblW w:w="9240" w:type="dxa"/>
        <w:tblLook w:val="04A0" w:firstRow="1" w:lastRow="0" w:firstColumn="1" w:lastColumn="0" w:noHBand="0" w:noVBand="1"/>
      </w:tblPr>
      <w:tblGrid>
        <w:gridCol w:w="3080"/>
        <w:gridCol w:w="3080"/>
        <w:gridCol w:w="3080"/>
      </w:tblGrid>
      <w:tr w:rsidR="00CF1C0D" w14:paraId="63EFB99E" w14:textId="77777777" w:rsidTr="00CF1C0D">
        <w:tc>
          <w:tcPr>
            <w:tcW w:w="3080" w:type="dxa"/>
          </w:tcPr>
          <w:p w14:paraId="2FFC7554" w14:textId="3C8F533E" w:rsidR="00CF1C0D" w:rsidRDefault="00CF1C0D" w:rsidP="00CF1C0D">
            <w:pPr>
              <w:jc w:val="both"/>
              <w:rPr>
                <w:rFonts w:ascii="Times New Roman" w:hAnsi="Times New Roman" w:cs="Times New Roman"/>
                <w:sz w:val="24"/>
                <w:szCs w:val="24"/>
              </w:rPr>
            </w:pPr>
            <w:r w:rsidRPr="00CF592B">
              <w:t>Market Year</w:t>
            </w:r>
          </w:p>
        </w:tc>
        <w:tc>
          <w:tcPr>
            <w:tcW w:w="3080" w:type="dxa"/>
          </w:tcPr>
          <w:p w14:paraId="032DD243" w14:textId="61794D9C" w:rsidR="00CF1C0D" w:rsidRDefault="00CF1C0D" w:rsidP="00CF1C0D">
            <w:pPr>
              <w:jc w:val="both"/>
              <w:rPr>
                <w:rFonts w:ascii="Times New Roman" w:hAnsi="Times New Roman" w:cs="Times New Roman"/>
                <w:sz w:val="24"/>
                <w:szCs w:val="24"/>
              </w:rPr>
            </w:pPr>
            <w:r w:rsidRPr="00CF592B">
              <w:t>Production</w:t>
            </w:r>
          </w:p>
        </w:tc>
        <w:tc>
          <w:tcPr>
            <w:tcW w:w="3080" w:type="dxa"/>
          </w:tcPr>
          <w:p w14:paraId="0FE81767" w14:textId="05A33C95" w:rsidR="00CF1C0D" w:rsidRDefault="00CF1C0D" w:rsidP="00CF1C0D">
            <w:pPr>
              <w:jc w:val="both"/>
              <w:rPr>
                <w:rFonts w:ascii="Times New Roman" w:hAnsi="Times New Roman" w:cs="Times New Roman"/>
                <w:sz w:val="24"/>
                <w:szCs w:val="24"/>
              </w:rPr>
            </w:pPr>
            <w:r w:rsidRPr="00CF592B">
              <w:t>Growth Rate</w:t>
            </w:r>
          </w:p>
        </w:tc>
      </w:tr>
      <w:tr w:rsidR="00CF1C0D" w14:paraId="394C0D96" w14:textId="77777777" w:rsidTr="00CF1C0D">
        <w:tc>
          <w:tcPr>
            <w:tcW w:w="3080" w:type="dxa"/>
          </w:tcPr>
          <w:p w14:paraId="23ED1D3C" w14:textId="6257CA9D" w:rsidR="00CF1C0D" w:rsidRDefault="00CF1C0D" w:rsidP="00CF1C0D">
            <w:pPr>
              <w:jc w:val="both"/>
              <w:rPr>
                <w:rFonts w:ascii="Times New Roman" w:hAnsi="Times New Roman" w:cs="Times New Roman"/>
                <w:sz w:val="24"/>
                <w:szCs w:val="24"/>
              </w:rPr>
            </w:pPr>
            <w:r w:rsidRPr="00CF592B">
              <w:t>2002</w:t>
            </w:r>
          </w:p>
        </w:tc>
        <w:tc>
          <w:tcPr>
            <w:tcW w:w="3080" w:type="dxa"/>
          </w:tcPr>
          <w:p w14:paraId="5A874D27" w14:textId="5D04C280" w:rsidR="00CF1C0D" w:rsidRDefault="00CF1C0D" w:rsidP="00CF1C0D">
            <w:pPr>
              <w:jc w:val="both"/>
              <w:rPr>
                <w:rFonts w:ascii="Times New Roman" w:hAnsi="Times New Roman" w:cs="Times New Roman"/>
                <w:sz w:val="24"/>
                <w:szCs w:val="24"/>
              </w:rPr>
            </w:pPr>
            <w:r w:rsidRPr="00CF592B">
              <w:t>6494</w:t>
            </w:r>
          </w:p>
        </w:tc>
        <w:tc>
          <w:tcPr>
            <w:tcW w:w="3080" w:type="dxa"/>
          </w:tcPr>
          <w:p w14:paraId="13A7C084" w14:textId="1AA67DB2" w:rsidR="00CF1C0D" w:rsidRDefault="00CF1C0D" w:rsidP="00CF1C0D">
            <w:pPr>
              <w:jc w:val="both"/>
              <w:rPr>
                <w:rFonts w:ascii="Times New Roman" w:hAnsi="Times New Roman" w:cs="Times New Roman"/>
                <w:sz w:val="24"/>
                <w:szCs w:val="24"/>
              </w:rPr>
            </w:pPr>
            <w:r w:rsidRPr="00CF592B">
              <w:t>-42.20%</w:t>
            </w:r>
          </w:p>
        </w:tc>
      </w:tr>
      <w:tr w:rsidR="00CF1C0D" w14:paraId="4EB85C7D" w14:textId="77777777" w:rsidTr="00CF1C0D">
        <w:tc>
          <w:tcPr>
            <w:tcW w:w="3080" w:type="dxa"/>
          </w:tcPr>
          <w:p w14:paraId="4F290210" w14:textId="0030DD4D" w:rsidR="00CF1C0D" w:rsidRDefault="00CF1C0D" w:rsidP="00CF1C0D">
            <w:pPr>
              <w:jc w:val="both"/>
              <w:rPr>
                <w:rFonts w:ascii="Times New Roman" w:hAnsi="Times New Roman" w:cs="Times New Roman"/>
                <w:sz w:val="24"/>
                <w:szCs w:val="24"/>
              </w:rPr>
            </w:pPr>
            <w:r w:rsidRPr="00CF592B">
              <w:t>2003</w:t>
            </w:r>
          </w:p>
        </w:tc>
        <w:tc>
          <w:tcPr>
            <w:tcW w:w="3080" w:type="dxa"/>
          </w:tcPr>
          <w:p w14:paraId="73410CD5" w14:textId="6DA678F5" w:rsidR="00CF1C0D" w:rsidRDefault="00CF1C0D" w:rsidP="00CF1C0D">
            <w:pPr>
              <w:jc w:val="both"/>
              <w:rPr>
                <w:rFonts w:ascii="Times New Roman" w:hAnsi="Times New Roman" w:cs="Times New Roman"/>
                <w:sz w:val="24"/>
                <w:szCs w:val="24"/>
              </w:rPr>
            </w:pPr>
            <w:r w:rsidRPr="00CF592B">
              <w:t>14639</w:t>
            </w:r>
          </w:p>
        </w:tc>
        <w:tc>
          <w:tcPr>
            <w:tcW w:w="3080" w:type="dxa"/>
          </w:tcPr>
          <w:p w14:paraId="21962C3C" w14:textId="267B52BB" w:rsidR="00CF1C0D" w:rsidRDefault="00CF1C0D" w:rsidP="00CF1C0D">
            <w:pPr>
              <w:jc w:val="both"/>
              <w:rPr>
                <w:rFonts w:ascii="Times New Roman" w:hAnsi="Times New Roman" w:cs="Times New Roman"/>
                <w:sz w:val="24"/>
                <w:szCs w:val="24"/>
              </w:rPr>
            </w:pPr>
            <w:r w:rsidRPr="00CF592B">
              <w:t>125.42%</w:t>
            </w:r>
          </w:p>
        </w:tc>
      </w:tr>
      <w:tr w:rsidR="00CF1C0D" w14:paraId="148B5A39" w14:textId="77777777" w:rsidTr="00CF1C0D">
        <w:tc>
          <w:tcPr>
            <w:tcW w:w="3080" w:type="dxa"/>
          </w:tcPr>
          <w:p w14:paraId="3E778783" w14:textId="64219E3B" w:rsidR="00CF1C0D" w:rsidRDefault="00CF1C0D" w:rsidP="00CF1C0D">
            <w:pPr>
              <w:jc w:val="both"/>
              <w:rPr>
                <w:rFonts w:ascii="Times New Roman" w:hAnsi="Times New Roman" w:cs="Times New Roman"/>
                <w:sz w:val="24"/>
                <w:szCs w:val="24"/>
              </w:rPr>
            </w:pPr>
            <w:r w:rsidRPr="00CF592B">
              <w:t>2004</w:t>
            </w:r>
          </w:p>
        </w:tc>
        <w:tc>
          <w:tcPr>
            <w:tcW w:w="3080" w:type="dxa"/>
          </w:tcPr>
          <w:p w14:paraId="0A968349" w14:textId="78C03684" w:rsidR="00CF1C0D" w:rsidRDefault="00CF1C0D" w:rsidP="00CF1C0D">
            <w:pPr>
              <w:jc w:val="both"/>
              <w:rPr>
                <w:rFonts w:ascii="Times New Roman" w:hAnsi="Times New Roman" w:cs="Times New Roman"/>
                <w:sz w:val="24"/>
                <w:szCs w:val="24"/>
              </w:rPr>
            </w:pPr>
            <w:r w:rsidRPr="00CF592B">
              <w:t>10841</w:t>
            </w:r>
          </w:p>
        </w:tc>
        <w:tc>
          <w:tcPr>
            <w:tcW w:w="3080" w:type="dxa"/>
          </w:tcPr>
          <w:p w14:paraId="4B374110" w14:textId="00F8542D" w:rsidR="00CF1C0D" w:rsidRDefault="00CF1C0D" w:rsidP="00CF1C0D">
            <w:pPr>
              <w:jc w:val="both"/>
              <w:rPr>
                <w:rFonts w:ascii="Times New Roman" w:hAnsi="Times New Roman" w:cs="Times New Roman"/>
                <w:sz w:val="24"/>
                <w:szCs w:val="24"/>
              </w:rPr>
            </w:pPr>
            <w:r w:rsidRPr="00CF592B">
              <w:t>-25.94%</w:t>
            </w:r>
          </w:p>
        </w:tc>
      </w:tr>
      <w:tr w:rsidR="00CF1C0D" w14:paraId="412DD047" w14:textId="77777777" w:rsidTr="00CF1C0D">
        <w:tc>
          <w:tcPr>
            <w:tcW w:w="3080" w:type="dxa"/>
          </w:tcPr>
          <w:p w14:paraId="0E48A33C" w14:textId="51C1FD51" w:rsidR="00CF1C0D" w:rsidRDefault="00CF1C0D" w:rsidP="00CF1C0D">
            <w:pPr>
              <w:jc w:val="both"/>
              <w:rPr>
                <w:rFonts w:ascii="Times New Roman" w:hAnsi="Times New Roman" w:cs="Times New Roman"/>
                <w:sz w:val="24"/>
                <w:szCs w:val="24"/>
              </w:rPr>
            </w:pPr>
            <w:r w:rsidRPr="00CF592B">
              <w:t>2005</w:t>
            </w:r>
          </w:p>
        </w:tc>
        <w:tc>
          <w:tcPr>
            <w:tcW w:w="3080" w:type="dxa"/>
          </w:tcPr>
          <w:p w14:paraId="13AAFB02" w14:textId="1A1FE465" w:rsidR="00CF1C0D" w:rsidRDefault="00CF1C0D" w:rsidP="00CF1C0D">
            <w:pPr>
              <w:jc w:val="both"/>
              <w:rPr>
                <w:rFonts w:ascii="Times New Roman" w:hAnsi="Times New Roman" w:cs="Times New Roman"/>
                <w:sz w:val="24"/>
                <w:szCs w:val="24"/>
              </w:rPr>
            </w:pPr>
            <w:r w:rsidRPr="00CF592B">
              <w:t>10509</w:t>
            </w:r>
          </w:p>
        </w:tc>
        <w:tc>
          <w:tcPr>
            <w:tcW w:w="3080" w:type="dxa"/>
          </w:tcPr>
          <w:p w14:paraId="216C36C6" w14:textId="5489BF12" w:rsidR="00CF1C0D" w:rsidRDefault="00CF1C0D" w:rsidP="00CF1C0D">
            <w:pPr>
              <w:jc w:val="both"/>
              <w:rPr>
                <w:rFonts w:ascii="Times New Roman" w:hAnsi="Times New Roman" w:cs="Times New Roman"/>
                <w:sz w:val="24"/>
                <w:szCs w:val="24"/>
              </w:rPr>
            </w:pPr>
            <w:r w:rsidRPr="00CF592B">
              <w:t>-3.06%</w:t>
            </w:r>
          </w:p>
        </w:tc>
      </w:tr>
      <w:tr w:rsidR="00CF1C0D" w14:paraId="0A7F8FCE" w14:textId="77777777" w:rsidTr="00CF1C0D">
        <w:tc>
          <w:tcPr>
            <w:tcW w:w="3080" w:type="dxa"/>
          </w:tcPr>
          <w:p w14:paraId="3032C7A9" w14:textId="43740136" w:rsidR="00CF1C0D" w:rsidRDefault="00CF1C0D" w:rsidP="00CF1C0D">
            <w:pPr>
              <w:jc w:val="both"/>
              <w:rPr>
                <w:rFonts w:ascii="Times New Roman" w:hAnsi="Times New Roman" w:cs="Times New Roman"/>
                <w:sz w:val="24"/>
                <w:szCs w:val="24"/>
              </w:rPr>
            </w:pPr>
            <w:r w:rsidRPr="00CF592B">
              <w:t>2006</w:t>
            </w:r>
          </w:p>
        </w:tc>
        <w:tc>
          <w:tcPr>
            <w:tcW w:w="3080" w:type="dxa"/>
          </w:tcPr>
          <w:p w14:paraId="27226C19" w14:textId="545F4F21" w:rsidR="00CF1C0D" w:rsidRDefault="00CF1C0D" w:rsidP="00CF1C0D">
            <w:pPr>
              <w:jc w:val="both"/>
              <w:rPr>
                <w:rFonts w:ascii="Times New Roman" w:hAnsi="Times New Roman" w:cs="Times New Roman"/>
                <w:sz w:val="24"/>
                <w:szCs w:val="24"/>
              </w:rPr>
            </w:pPr>
            <w:r w:rsidRPr="00CF592B">
              <w:t>10347</w:t>
            </w:r>
          </w:p>
        </w:tc>
        <w:tc>
          <w:tcPr>
            <w:tcW w:w="3080" w:type="dxa"/>
          </w:tcPr>
          <w:p w14:paraId="6E99BC6B" w14:textId="676B8F02" w:rsidR="00CF1C0D" w:rsidRDefault="00CF1C0D" w:rsidP="00CF1C0D">
            <w:pPr>
              <w:jc w:val="both"/>
              <w:rPr>
                <w:rFonts w:ascii="Times New Roman" w:hAnsi="Times New Roman" w:cs="Times New Roman"/>
                <w:sz w:val="24"/>
                <w:szCs w:val="24"/>
              </w:rPr>
            </w:pPr>
            <w:r w:rsidRPr="00CF592B">
              <w:t>-1.54%</w:t>
            </w:r>
          </w:p>
        </w:tc>
      </w:tr>
      <w:tr w:rsidR="00CF1C0D" w14:paraId="5E9F038B" w14:textId="77777777" w:rsidTr="00CF1C0D">
        <w:tc>
          <w:tcPr>
            <w:tcW w:w="3080" w:type="dxa"/>
          </w:tcPr>
          <w:p w14:paraId="5AF1B3FF" w14:textId="245A40C1" w:rsidR="00CF1C0D" w:rsidRDefault="00CF1C0D" w:rsidP="00CF1C0D">
            <w:pPr>
              <w:jc w:val="both"/>
              <w:rPr>
                <w:rFonts w:ascii="Times New Roman" w:hAnsi="Times New Roman" w:cs="Times New Roman"/>
                <w:sz w:val="24"/>
                <w:szCs w:val="24"/>
              </w:rPr>
            </w:pPr>
            <w:r w:rsidRPr="00CF592B">
              <w:t>2007</w:t>
            </w:r>
          </w:p>
        </w:tc>
        <w:tc>
          <w:tcPr>
            <w:tcW w:w="3080" w:type="dxa"/>
          </w:tcPr>
          <w:p w14:paraId="059331C8" w14:textId="3572FDB6" w:rsidR="00CF1C0D" w:rsidRDefault="00CF1C0D" w:rsidP="00CF1C0D">
            <w:pPr>
              <w:jc w:val="both"/>
              <w:rPr>
                <w:rFonts w:ascii="Times New Roman" w:hAnsi="Times New Roman" w:cs="Times New Roman"/>
                <w:sz w:val="24"/>
                <w:szCs w:val="24"/>
              </w:rPr>
            </w:pPr>
            <w:r w:rsidRPr="00CF592B">
              <w:t>12673</w:t>
            </w:r>
          </w:p>
        </w:tc>
        <w:tc>
          <w:tcPr>
            <w:tcW w:w="3080" w:type="dxa"/>
          </w:tcPr>
          <w:p w14:paraId="7AE96798" w14:textId="177C018B" w:rsidR="00CF1C0D" w:rsidRDefault="00CF1C0D" w:rsidP="00CF1C0D">
            <w:pPr>
              <w:jc w:val="both"/>
              <w:rPr>
                <w:rFonts w:ascii="Times New Roman" w:hAnsi="Times New Roman" w:cs="Times New Roman"/>
                <w:sz w:val="24"/>
                <w:szCs w:val="24"/>
              </w:rPr>
            </w:pPr>
            <w:r w:rsidRPr="00CF592B">
              <w:t>22.48%</w:t>
            </w:r>
          </w:p>
        </w:tc>
      </w:tr>
      <w:tr w:rsidR="00CF1C0D" w14:paraId="4A9561E5" w14:textId="77777777" w:rsidTr="00CF1C0D">
        <w:tc>
          <w:tcPr>
            <w:tcW w:w="3080" w:type="dxa"/>
          </w:tcPr>
          <w:p w14:paraId="7393F827" w14:textId="0B53DD7C" w:rsidR="00CF1C0D" w:rsidRDefault="00CF1C0D" w:rsidP="00CF1C0D">
            <w:pPr>
              <w:jc w:val="both"/>
              <w:rPr>
                <w:rFonts w:ascii="Times New Roman" w:hAnsi="Times New Roman" w:cs="Times New Roman"/>
                <w:sz w:val="24"/>
                <w:szCs w:val="24"/>
              </w:rPr>
            </w:pPr>
            <w:r w:rsidRPr="00CF592B">
              <w:t>2008</w:t>
            </w:r>
          </w:p>
        </w:tc>
        <w:tc>
          <w:tcPr>
            <w:tcW w:w="3080" w:type="dxa"/>
          </w:tcPr>
          <w:p w14:paraId="0EA3D9D2" w14:textId="2B648310" w:rsidR="00CF1C0D" w:rsidRDefault="00CF1C0D" w:rsidP="00CF1C0D">
            <w:pPr>
              <w:jc w:val="both"/>
              <w:rPr>
                <w:rFonts w:ascii="Times New Roman" w:hAnsi="Times New Roman" w:cs="Times New Roman"/>
                <w:sz w:val="24"/>
                <w:szCs w:val="24"/>
              </w:rPr>
            </w:pPr>
            <w:r w:rsidRPr="00CF592B">
              <w:t>11372</w:t>
            </w:r>
          </w:p>
        </w:tc>
        <w:tc>
          <w:tcPr>
            <w:tcW w:w="3080" w:type="dxa"/>
          </w:tcPr>
          <w:p w14:paraId="3EE80543" w14:textId="4A04CC50" w:rsidR="00CF1C0D" w:rsidRDefault="00CF1C0D" w:rsidP="00CF1C0D">
            <w:pPr>
              <w:jc w:val="both"/>
              <w:rPr>
                <w:rFonts w:ascii="Times New Roman" w:hAnsi="Times New Roman" w:cs="Times New Roman"/>
                <w:sz w:val="24"/>
                <w:szCs w:val="24"/>
              </w:rPr>
            </w:pPr>
            <w:r w:rsidRPr="00CF592B">
              <w:t>-10.27%</w:t>
            </w:r>
          </w:p>
        </w:tc>
      </w:tr>
      <w:tr w:rsidR="00CF1C0D" w14:paraId="5BA21F42" w14:textId="77777777" w:rsidTr="00CF1C0D">
        <w:tc>
          <w:tcPr>
            <w:tcW w:w="3080" w:type="dxa"/>
          </w:tcPr>
          <w:p w14:paraId="414AAC34" w14:textId="351EE830" w:rsidR="00CF1C0D" w:rsidRDefault="00CF1C0D" w:rsidP="00CF1C0D">
            <w:pPr>
              <w:jc w:val="both"/>
              <w:rPr>
                <w:rFonts w:ascii="Times New Roman" w:hAnsi="Times New Roman" w:cs="Times New Roman"/>
                <w:sz w:val="24"/>
                <w:szCs w:val="24"/>
              </w:rPr>
            </w:pPr>
            <w:r w:rsidRPr="00CF592B">
              <w:t>2009</w:t>
            </w:r>
          </w:p>
        </w:tc>
        <w:tc>
          <w:tcPr>
            <w:tcW w:w="3080" w:type="dxa"/>
          </w:tcPr>
          <w:p w14:paraId="68BD2B98" w14:textId="7DBE4C14" w:rsidR="00CF1C0D" w:rsidRDefault="00CF1C0D" w:rsidP="00CF1C0D">
            <w:pPr>
              <w:jc w:val="both"/>
              <w:rPr>
                <w:rFonts w:ascii="Times New Roman" w:hAnsi="Times New Roman" w:cs="Times New Roman"/>
                <w:sz w:val="24"/>
                <w:szCs w:val="24"/>
              </w:rPr>
            </w:pPr>
            <w:r w:rsidRPr="00CF592B">
              <w:t>8777</w:t>
            </w:r>
          </w:p>
        </w:tc>
        <w:tc>
          <w:tcPr>
            <w:tcW w:w="3080" w:type="dxa"/>
          </w:tcPr>
          <w:p w14:paraId="3C3E44DB" w14:textId="0879A8E2" w:rsidR="00CF1C0D" w:rsidRDefault="00CF1C0D" w:rsidP="00CF1C0D">
            <w:pPr>
              <w:jc w:val="both"/>
              <w:rPr>
                <w:rFonts w:ascii="Times New Roman" w:hAnsi="Times New Roman" w:cs="Times New Roman"/>
                <w:sz w:val="24"/>
                <w:szCs w:val="24"/>
              </w:rPr>
            </w:pPr>
            <w:r w:rsidRPr="00CF592B">
              <w:t>-22.82%</w:t>
            </w:r>
          </w:p>
        </w:tc>
      </w:tr>
      <w:tr w:rsidR="00CF1C0D" w14:paraId="52E057A5" w14:textId="77777777" w:rsidTr="00CF1C0D">
        <w:tc>
          <w:tcPr>
            <w:tcW w:w="3080" w:type="dxa"/>
          </w:tcPr>
          <w:p w14:paraId="3FCB64A7" w14:textId="3E50A544" w:rsidR="00CF1C0D" w:rsidRDefault="00CF1C0D" w:rsidP="00CF1C0D">
            <w:pPr>
              <w:jc w:val="both"/>
              <w:rPr>
                <w:rFonts w:ascii="Times New Roman" w:hAnsi="Times New Roman" w:cs="Times New Roman"/>
                <w:sz w:val="24"/>
                <w:szCs w:val="24"/>
              </w:rPr>
            </w:pPr>
            <w:r w:rsidRPr="00CF592B">
              <w:t>2010</w:t>
            </w:r>
          </w:p>
        </w:tc>
        <w:tc>
          <w:tcPr>
            <w:tcW w:w="3080" w:type="dxa"/>
          </w:tcPr>
          <w:p w14:paraId="78E140DE" w14:textId="36E10043" w:rsidR="00CF1C0D" w:rsidRDefault="00CF1C0D" w:rsidP="00CF1C0D">
            <w:pPr>
              <w:jc w:val="both"/>
              <w:rPr>
                <w:rFonts w:ascii="Times New Roman" w:hAnsi="Times New Roman" w:cs="Times New Roman"/>
                <w:sz w:val="24"/>
                <w:szCs w:val="24"/>
              </w:rPr>
            </w:pPr>
            <w:r w:rsidRPr="00CF592B">
              <w:t>13005</w:t>
            </w:r>
          </w:p>
        </w:tc>
        <w:tc>
          <w:tcPr>
            <w:tcW w:w="3080" w:type="dxa"/>
          </w:tcPr>
          <w:p w14:paraId="74827B8F" w14:textId="70D3ED05" w:rsidR="00CF1C0D" w:rsidRDefault="00CF1C0D" w:rsidP="00CF1C0D">
            <w:pPr>
              <w:jc w:val="both"/>
              <w:rPr>
                <w:rFonts w:ascii="Times New Roman" w:hAnsi="Times New Roman" w:cs="Times New Roman"/>
                <w:sz w:val="24"/>
                <w:szCs w:val="24"/>
              </w:rPr>
            </w:pPr>
            <w:r w:rsidRPr="00CF592B">
              <w:t>48.17%</w:t>
            </w:r>
          </w:p>
        </w:tc>
      </w:tr>
      <w:tr w:rsidR="00CF1C0D" w14:paraId="30B14D36" w14:textId="77777777" w:rsidTr="00CF1C0D">
        <w:tc>
          <w:tcPr>
            <w:tcW w:w="3080" w:type="dxa"/>
          </w:tcPr>
          <w:p w14:paraId="22F1638B" w14:textId="0D38BB20" w:rsidR="00CF1C0D" w:rsidRDefault="00CF1C0D" w:rsidP="00CF1C0D">
            <w:pPr>
              <w:jc w:val="both"/>
              <w:rPr>
                <w:rFonts w:ascii="Times New Roman" w:hAnsi="Times New Roman" w:cs="Times New Roman"/>
                <w:sz w:val="24"/>
                <w:szCs w:val="24"/>
              </w:rPr>
            </w:pPr>
            <w:r w:rsidRPr="00CF592B">
              <w:t>2011</w:t>
            </w:r>
          </w:p>
        </w:tc>
        <w:tc>
          <w:tcPr>
            <w:tcW w:w="3080" w:type="dxa"/>
          </w:tcPr>
          <w:p w14:paraId="2184947A" w14:textId="546F7A17" w:rsidR="00CF1C0D" w:rsidRDefault="00CF1C0D" w:rsidP="00CF1C0D">
            <w:pPr>
              <w:jc w:val="both"/>
              <w:rPr>
                <w:rFonts w:ascii="Times New Roman" w:hAnsi="Times New Roman" w:cs="Times New Roman"/>
                <w:sz w:val="24"/>
                <w:szCs w:val="24"/>
              </w:rPr>
            </w:pPr>
            <w:r w:rsidRPr="00CF592B">
              <w:t>12657</w:t>
            </w:r>
          </w:p>
        </w:tc>
        <w:tc>
          <w:tcPr>
            <w:tcW w:w="3080" w:type="dxa"/>
          </w:tcPr>
          <w:p w14:paraId="7640E302" w14:textId="53AB986D" w:rsidR="00CF1C0D" w:rsidRDefault="00CF1C0D" w:rsidP="00CF1C0D">
            <w:pPr>
              <w:jc w:val="both"/>
              <w:rPr>
                <w:rFonts w:ascii="Times New Roman" w:hAnsi="Times New Roman" w:cs="Times New Roman"/>
                <w:sz w:val="24"/>
                <w:szCs w:val="24"/>
              </w:rPr>
            </w:pPr>
            <w:r w:rsidRPr="00CF592B">
              <w:t>-2.68%</w:t>
            </w:r>
          </w:p>
        </w:tc>
      </w:tr>
      <w:tr w:rsidR="00CF1C0D" w14:paraId="647266E3" w14:textId="77777777" w:rsidTr="00CF1C0D">
        <w:tc>
          <w:tcPr>
            <w:tcW w:w="3080" w:type="dxa"/>
          </w:tcPr>
          <w:p w14:paraId="06BF28A9" w14:textId="79035FCA" w:rsidR="00CF1C0D" w:rsidRDefault="00CF1C0D" w:rsidP="00CF1C0D">
            <w:pPr>
              <w:jc w:val="both"/>
              <w:rPr>
                <w:rFonts w:ascii="Times New Roman" w:hAnsi="Times New Roman" w:cs="Times New Roman"/>
                <w:sz w:val="24"/>
                <w:szCs w:val="24"/>
              </w:rPr>
            </w:pPr>
            <w:r w:rsidRPr="00CF592B">
              <w:t>2012</w:t>
            </w:r>
          </w:p>
        </w:tc>
        <w:tc>
          <w:tcPr>
            <w:tcW w:w="3080" w:type="dxa"/>
          </w:tcPr>
          <w:p w14:paraId="6E8799E2" w14:textId="117ED28E" w:rsidR="00CF1C0D" w:rsidRDefault="00CF1C0D" w:rsidP="00CF1C0D">
            <w:pPr>
              <w:jc w:val="both"/>
              <w:rPr>
                <w:rFonts w:ascii="Times New Roman" w:hAnsi="Times New Roman" w:cs="Times New Roman"/>
                <w:sz w:val="24"/>
                <w:szCs w:val="24"/>
              </w:rPr>
            </w:pPr>
            <w:r w:rsidRPr="00CF592B">
              <w:t>10752</w:t>
            </w:r>
          </w:p>
        </w:tc>
        <w:tc>
          <w:tcPr>
            <w:tcW w:w="3080" w:type="dxa"/>
          </w:tcPr>
          <w:p w14:paraId="63275FAC" w14:textId="496042F7" w:rsidR="00CF1C0D" w:rsidRDefault="00CF1C0D" w:rsidP="00CF1C0D">
            <w:pPr>
              <w:jc w:val="both"/>
              <w:rPr>
                <w:rFonts w:ascii="Times New Roman" w:hAnsi="Times New Roman" w:cs="Times New Roman"/>
                <w:sz w:val="24"/>
                <w:szCs w:val="24"/>
              </w:rPr>
            </w:pPr>
            <w:r w:rsidRPr="00CF592B">
              <w:t>-15.05%</w:t>
            </w:r>
          </w:p>
        </w:tc>
      </w:tr>
      <w:tr w:rsidR="00CF1C0D" w14:paraId="30AC8050" w14:textId="77777777" w:rsidTr="00CF1C0D">
        <w:tc>
          <w:tcPr>
            <w:tcW w:w="3080" w:type="dxa"/>
          </w:tcPr>
          <w:p w14:paraId="01132BA3" w14:textId="0CF5CC1C" w:rsidR="00CF1C0D" w:rsidRDefault="00CF1C0D" w:rsidP="00CF1C0D">
            <w:pPr>
              <w:jc w:val="both"/>
              <w:rPr>
                <w:rFonts w:ascii="Times New Roman" w:hAnsi="Times New Roman" w:cs="Times New Roman"/>
                <w:sz w:val="24"/>
                <w:szCs w:val="24"/>
              </w:rPr>
            </w:pPr>
            <w:r w:rsidRPr="00CF592B">
              <w:t>2013</w:t>
            </w:r>
          </w:p>
        </w:tc>
        <w:tc>
          <w:tcPr>
            <w:tcW w:w="3080" w:type="dxa"/>
          </w:tcPr>
          <w:p w14:paraId="577DC0E3" w14:textId="4CA4017F" w:rsidR="00CF1C0D" w:rsidRDefault="00CF1C0D" w:rsidP="00CF1C0D">
            <w:pPr>
              <w:jc w:val="both"/>
              <w:rPr>
                <w:rFonts w:ascii="Times New Roman" w:hAnsi="Times New Roman" w:cs="Times New Roman"/>
                <w:sz w:val="24"/>
                <w:szCs w:val="24"/>
              </w:rPr>
            </w:pPr>
            <w:r w:rsidRPr="00CF592B">
              <w:t>11663</w:t>
            </w:r>
          </w:p>
        </w:tc>
        <w:tc>
          <w:tcPr>
            <w:tcW w:w="3080" w:type="dxa"/>
          </w:tcPr>
          <w:p w14:paraId="0E5DB8E8" w14:textId="4ADA4F3C" w:rsidR="00CF1C0D" w:rsidRDefault="00CF1C0D" w:rsidP="00CF1C0D">
            <w:pPr>
              <w:jc w:val="both"/>
              <w:rPr>
                <w:rFonts w:ascii="Times New Roman" w:hAnsi="Times New Roman" w:cs="Times New Roman"/>
                <w:sz w:val="24"/>
                <w:szCs w:val="24"/>
              </w:rPr>
            </w:pPr>
            <w:r w:rsidRPr="00CF592B">
              <w:t>8.47%</w:t>
            </w:r>
          </w:p>
        </w:tc>
      </w:tr>
      <w:tr w:rsidR="00CF1C0D" w14:paraId="6CB916BC" w14:textId="77777777" w:rsidTr="00CF1C0D">
        <w:tc>
          <w:tcPr>
            <w:tcW w:w="3080" w:type="dxa"/>
          </w:tcPr>
          <w:p w14:paraId="4AC41184" w14:textId="341E926E" w:rsidR="00CF1C0D" w:rsidRDefault="00CF1C0D" w:rsidP="00CF1C0D">
            <w:pPr>
              <w:jc w:val="both"/>
              <w:rPr>
                <w:rFonts w:ascii="Times New Roman" w:hAnsi="Times New Roman" w:cs="Times New Roman"/>
                <w:sz w:val="24"/>
                <w:szCs w:val="24"/>
              </w:rPr>
            </w:pPr>
            <w:r w:rsidRPr="00CF592B">
              <w:t>2014</w:t>
            </w:r>
          </w:p>
        </w:tc>
        <w:tc>
          <w:tcPr>
            <w:tcW w:w="3080" w:type="dxa"/>
          </w:tcPr>
          <w:p w14:paraId="5EE0C460" w14:textId="13E45371" w:rsidR="00CF1C0D" w:rsidRDefault="00CF1C0D" w:rsidP="00CF1C0D">
            <w:pPr>
              <w:jc w:val="both"/>
              <w:rPr>
                <w:rFonts w:ascii="Times New Roman" w:hAnsi="Times New Roman" w:cs="Times New Roman"/>
                <w:sz w:val="24"/>
                <w:szCs w:val="24"/>
              </w:rPr>
            </w:pPr>
            <w:r w:rsidRPr="00CF592B">
              <w:t>11630</w:t>
            </w:r>
          </w:p>
        </w:tc>
        <w:tc>
          <w:tcPr>
            <w:tcW w:w="3080" w:type="dxa"/>
          </w:tcPr>
          <w:p w14:paraId="6FDA8564" w14:textId="3961C27C" w:rsidR="00CF1C0D" w:rsidRDefault="00CF1C0D" w:rsidP="00CF1C0D">
            <w:pPr>
              <w:jc w:val="both"/>
              <w:rPr>
                <w:rFonts w:ascii="Times New Roman" w:hAnsi="Times New Roman" w:cs="Times New Roman"/>
                <w:sz w:val="24"/>
                <w:szCs w:val="24"/>
              </w:rPr>
            </w:pPr>
            <w:r w:rsidRPr="00CF592B">
              <w:t>-0.28%</w:t>
            </w:r>
          </w:p>
        </w:tc>
      </w:tr>
      <w:tr w:rsidR="00CF1C0D" w14:paraId="519364F1" w14:textId="77777777" w:rsidTr="00CF1C0D">
        <w:tc>
          <w:tcPr>
            <w:tcW w:w="3080" w:type="dxa"/>
          </w:tcPr>
          <w:p w14:paraId="7D015187" w14:textId="766EDDDE" w:rsidR="00CF1C0D" w:rsidRDefault="00CF1C0D" w:rsidP="00CF1C0D">
            <w:pPr>
              <w:jc w:val="both"/>
              <w:rPr>
                <w:rFonts w:ascii="Times New Roman" w:hAnsi="Times New Roman" w:cs="Times New Roman"/>
                <w:sz w:val="24"/>
                <w:szCs w:val="24"/>
              </w:rPr>
            </w:pPr>
            <w:r w:rsidRPr="00CF592B">
              <w:t>2015</w:t>
            </w:r>
          </w:p>
        </w:tc>
        <w:tc>
          <w:tcPr>
            <w:tcW w:w="3080" w:type="dxa"/>
          </w:tcPr>
          <w:p w14:paraId="36A19EE1" w14:textId="16429127" w:rsidR="00CF1C0D" w:rsidRDefault="00CF1C0D" w:rsidP="00CF1C0D">
            <w:pPr>
              <w:jc w:val="both"/>
              <w:rPr>
                <w:rFonts w:ascii="Times New Roman" w:hAnsi="Times New Roman" w:cs="Times New Roman"/>
                <w:sz w:val="24"/>
                <w:szCs w:val="24"/>
              </w:rPr>
            </w:pPr>
            <w:r w:rsidRPr="00CF592B">
              <w:t>10280</w:t>
            </w:r>
          </w:p>
        </w:tc>
        <w:tc>
          <w:tcPr>
            <w:tcW w:w="3080" w:type="dxa"/>
          </w:tcPr>
          <w:p w14:paraId="7158FADF" w14:textId="12C73041" w:rsidR="00CF1C0D" w:rsidRDefault="00CF1C0D" w:rsidP="00CF1C0D">
            <w:pPr>
              <w:jc w:val="both"/>
              <w:rPr>
                <w:rFonts w:ascii="Times New Roman" w:hAnsi="Times New Roman" w:cs="Times New Roman"/>
                <w:sz w:val="24"/>
                <w:szCs w:val="24"/>
              </w:rPr>
            </w:pPr>
            <w:r w:rsidRPr="00CF592B">
              <w:t>-11.61%</w:t>
            </w:r>
          </w:p>
        </w:tc>
      </w:tr>
      <w:tr w:rsidR="00CF1C0D" w14:paraId="7EEA9227" w14:textId="77777777" w:rsidTr="00CF1C0D">
        <w:tc>
          <w:tcPr>
            <w:tcW w:w="3080" w:type="dxa"/>
          </w:tcPr>
          <w:p w14:paraId="12FD676B" w14:textId="7E92F218" w:rsidR="00CF1C0D" w:rsidRDefault="00CF1C0D" w:rsidP="00CF1C0D">
            <w:pPr>
              <w:jc w:val="both"/>
              <w:rPr>
                <w:rFonts w:ascii="Times New Roman" w:hAnsi="Times New Roman" w:cs="Times New Roman"/>
                <w:sz w:val="24"/>
                <w:szCs w:val="24"/>
              </w:rPr>
            </w:pPr>
            <w:r w:rsidRPr="00CF592B">
              <w:t>2016</w:t>
            </w:r>
          </w:p>
        </w:tc>
        <w:tc>
          <w:tcPr>
            <w:tcW w:w="3080" w:type="dxa"/>
          </w:tcPr>
          <w:p w14:paraId="1E753A3B" w14:textId="665E83AB" w:rsidR="00CF1C0D" w:rsidRDefault="00CF1C0D" w:rsidP="00CF1C0D">
            <w:pPr>
              <w:jc w:val="both"/>
              <w:rPr>
                <w:rFonts w:ascii="Times New Roman" w:hAnsi="Times New Roman" w:cs="Times New Roman"/>
                <w:sz w:val="24"/>
                <w:szCs w:val="24"/>
              </w:rPr>
            </w:pPr>
            <w:r w:rsidRPr="00CF592B">
              <w:t>11560</w:t>
            </w:r>
          </w:p>
        </w:tc>
        <w:tc>
          <w:tcPr>
            <w:tcW w:w="3080" w:type="dxa"/>
          </w:tcPr>
          <w:p w14:paraId="1247B26B" w14:textId="52EE2830" w:rsidR="00CF1C0D" w:rsidRDefault="00CF1C0D" w:rsidP="00CF1C0D">
            <w:pPr>
              <w:jc w:val="both"/>
              <w:rPr>
                <w:rFonts w:ascii="Times New Roman" w:hAnsi="Times New Roman" w:cs="Times New Roman"/>
                <w:sz w:val="24"/>
                <w:szCs w:val="24"/>
              </w:rPr>
            </w:pPr>
            <w:r w:rsidRPr="00CF592B">
              <w:t>12.45%</w:t>
            </w:r>
          </w:p>
        </w:tc>
      </w:tr>
      <w:tr w:rsidR="00CF1C0D" w14:paraId="192DE1AF" w14:textId="77777777" w:rsidTr="00CF1C0D">
        <w:tc>
          <w:tcPr>
            <w:tcW w:w="3080" w:type="dxa"/>
          </w:tcPr>
          <w:p w14:paraId="4EAE7B6F" w14:textId="158896F3" w:rsidR="00CF1C0D" w:rsidRDefault="00CF1C0D" w:rsidP="00CF1C0D">
            <w:pPr>
              <w:jc w:val="both"/>
              <w:rPr>
                <w:rFonts w:ascii="Times New Roman" w:hAnsi="Times New Roman" w:cs="Times New Roman"/>
                <w:sz w:val="24"/>
                <w:szCs w:val="24"/>
              </w:rPr>
            </w:pPr>
            <w:r w:rsidRPr="00CF592B">
              <w:t>2017</w:t>
            </w:r>
          </w:p>
        </w:tc>
        <w:tc>
          <w:tcPr>
            <w:tcW w:w="3080" w:type="dxa"/>
          </w:tcPr>
          <w:p w14:paraId="16C23E59" w14:textId="3413B621" w:rsidR="00CF1C0D" w:rsidRDefault="00CF1C0D" w:rsidP="00CF1C0D">
            <w:pPr>
              <w:jc w:val="both"/>
              <w:rPr>
                <w:rFonts w:ascii="Times New Roman" w:hAnsi="Times New Roman" w:cs="Times New Roman"/>
                <w:sz w:val="24"/>
                <w:szCs w:val="24"/>
              </w:rPr>
            </w:pPr>
            <w:r w:rsidRPr="00CF592B">
              <w:t>11640</w:t>
            </w:r>
          </w:p>
        </w:tc>
        <w:tc>
          <w:tcPr>
            <w:tcW w:w="3080" w:type="dxa"/>
          </w:tcPr>
          <w:p w14:paraId="34DE9AD3" w14:textId="733EDF42" w:rsidR="00CF1C0D" w:rsidRDefault="00CF1C0D" w:rsidP="00CF1C0D">
            <w:pPr>
              <w:jc w:val="both"/>
              <w:rPr>
                <w:rFonts w:ascii="Times New Roman" w:hAnsi="Times New Roman" w:cs="Times New Roman"/>
                <w:sz w:val="24"/>
                <w:szCs w:val="24"/>
              </w:rPr>
            </w:pPr>
            <w:r w:rsidRPr="00CF592B">
              <w:t>0.69%</w:t>
            </w:r>
          </w:p>
        </w:tc>
      </w:tr>
      <w:tr w:rsidR="00CF1C0D" w14:paraId="4B4DF206" w14:textId="77777777" w:rsidTr="00CF1C0D">
        <w:tc>
          <w:tcPr>
            <w:tcW w:w="3080" w:type="dxa"/>
          </w:tcPr>
          <w:p w14:paraId="519F1754" w14:textId="4E07EDEC" w:rsidR="00CF1C0D" w:rsidRDefault="00CF1C0D" w:rsidP="00CF1C0D">
            <w:pPr>
              <w:jc w:val="both"/>
              <w:rPr>
                <w:rFonts w:ascii="Times New Roman" w:hAnsi="Times New Roman" w:cs="Times New Roman"/>
                <w:sz w:val="24"/>
                <w:szCs w:val="24"/>
              </w:rPr>
            </w:pPr>
            <w:r w:rsidRPr="00CF592B">
              <w:t>2018</w:t>
            </w:r>
          </w:p>
        </w:tc>
        <w:tc>
          <w:tcPr>
            <w:tcW w:w="3080" w:type="dxa"/>
          </w:tcPr>
          <w:p w14:paraId="5F4ED073" w14:textId="213F55D2" w:rsidR="00CF1C0D" w:rsidRDefault="00CF1C0D" w:rsidP="00CF1C0D">
            <w:pPr>
              <w:jc w:val="both"/>
              <w:rPr>
                <w:rFonts w:ascii="Times New Roman" w:hAnsi="Times New Roman" w:cs="Times New Roman"/>
                <w:sz w:val="24"/>
                <w:szCs w:val="24"/>
              </w:rPr>
            </w:pPr>
            <w:r w:rsidRPr="00CF592B">
              <w:t>10236</w:t>
            </w:r>
          </w:p>
        </w:tc>
        <w:tc>
          <w:tcPr>
            <w:tcW w:w="3080" w:type="dxa"/>
          </w:tcPr>
          <w:p w14:paraId="6D9FAAEF" w14:textId="15CC2006" w:rsidR="00CF1C0D" w:rsidRDefault="00CF1C0D" w:rsidP="00CF1C0D">
            <w:pPr>
              <w:jc w:val="both"/>
              <w:rPr>
                <w:rFonts w:ascii="Times New Roman" w:hAnsi="Times New Roman" w:cs="Times New Roman"/>
                <w:sz w:val="24"/>
                <w:szCs w:val="24"/>
              </w:rPr>
            </w:pPr>
            <w:r w:rsidRPr="00CF592B">
              <w:t>-12.06%</w:t>
            </w:r>
          </w:p>
        </w:tc>
      </w:tr>
      <w:tr w:rsidR="00CF1C0D" w14:paraId="116F1B03" w14:textId="77777777" w:rsidTr="00CF1C0D">
        <w:tc>
          <w:tcPr>
            <w:tcW w:w="3080" w:type="dxa"/>
          </w:tcPr>
          <w:p w14:paraId="01DC9A3F" w14:textId="52F54BA3" w:rsidR="00CF1C0D" w:rsidRDefault="00CF1C0D" w:rsidP="00CF1C0D">
            <w:pPr>
              <w:jc w:val="both"/>
              <w:rPr>
                <w:rFonts w:ascii="Times New Roman" w:hAnsi="Times New Roman" w:cs="Times New Roman"/>
                <w:sz w:val="24"/>
                <w:szCs w:val="24"/>
              </w:rPr>
            </w:pPr>
            <w:r w:rsidRPr="00CF592B">
              <w:t>2019</w:t>
            </w:r>
          </w:p>
        </w:tc>
        <w:tc>
          <w:tcPr>
            <w:tcW w:w="3080" w:type="dxa"/>
          </w:tcPr>
          <w:p w14:paraId="071605F5" w14:textId="276394AB" w:rsidR="00CF1C0D" w:rsidRDefault="00CF1C0D" w:rsidP="00CF1C0D">
            <w:pPr>
              <w:jc w:val="both"/>
              <w:rPr>
                <w:rFonts w:ascii="Times New Roman" w:hAnsi="Times New Roman" w:cs="Times New Roman"/>
                <w:sz w:val="24"/>
                <w:szCs w:val="24"/>
              </w:rPr>
            </w:pPr>
            <w:r w:rsidRPr="00CF592B">
              <w:t>12489</w:t>
            </w:r>
          </w:p>
        </w:tc>
        <w:tc>
          <w:tcPr>
            <w:tcW w:w="3080" w:type="dxa"/>
          </w:tcPr>
          <w:p w14:paraId="72EF3BC7" w14:textId="324B1F8A" w:rsidR="00CF1C0D" w:rsidRDefault="00CF1C0D" w:rsidP="00CF1C0D">
            <w:pPr>
              <w:jc w:val="both"/>
              <w:rPr>
                <w:rFonts w:ascii="Times New Roman" w:hAnsi="Times New Roman" w:cs="Times New Roman"/>
                <w:sz w:val="24"/>
                <w:szCs w:val="24"/>
              </w:rPr>
            </w:pPr>
            <w:r w:rsidRPr="00CF592B">
              <w:t>22.01%</w:t>
            </w:r>
          </w:p>
        </w:tc>
      </w:tr>
      <w:tr w:rsidR="00CF1C0D" w14:paraId="5551B468" w14:textId="77777777" w:rsidTr="00CF1C0D">
        <w:tc>
          <w:tcPr>
            <w:tcW w:w="3080" w:type="dxa"/>
          </w:tcPr>
          <w:p w14:paraId="36E4D35F" w14:textId="0705CC8D" w:rsidR="00CF1C0D" w:rsidRDefault="00CF1C0D" w:rsidP="00CF1C0D">
            <w:pPr>
              <w:jc w:val="both"/>
              <w:rPr>
                <w:rFonts w:ascii="Times New Roman" w:hAnsi="Times New Roman" w:cs="Times New Roman"/>
                <w:sz w:val="24"/>
                <w:szCs w:val="24"/>
              </w:rPr>
            </w:pPr>
            <w:r w:rsidRPr="00CF592B">
              <w:t>2020</w:t>
            </w:r>
          </w:p>
        </w:tc>
        <w:tc>
          <w:tcPr>
            <w:tcW w:w="3080" w:type="dxa"/>
          </w:tcPr>
          <w:p w14:paraId="038DB8EF" w14:textId="0484E16B" w:rsidR="00CF1C0D" w:rsidRDefault="00CF1C0D" w:rsidP="00CF1C0D">
            <w:pPr>
              <w:jc w:val="both"/>
              <w:rPr>
                <w:rFonts w:ascii="Times New Roman" w:hAnsi="Times New Roman" w:cs="Times New Roman"/>
                <w:sz w:val="24"/>
                <w:szCs w:val="24"/>
              </w:rPr>
            </w:pPr>
            <w:r w:rsidRPr="00CF592B">
              <w:t>13208</w:t>
            </w:r>
          </w:p>
        </w:tc>
        <w:tc>
          <w:tcPr>
            <w:tcW w:w="3080" w:type="dxa"/>
          </w:tcPr>
          <w:p w14:paraId="6EFC5EFF" w14:textId="78C86F14" w:rsidR="00CF1C0D" w:rsidRDefault="00CF1C0D" w:rsidP="00CF1C0D">
            <w:pPr>
              <w:jc w:val="both"/>
              <w:rPr>
                <w:rFonts w:ascii="Times New Roman" w:hAnsi="Times New Roman" w:cs="Times New Roman"/>
                <w:sz w:val="24"/>
                <w:szCs w:val="24"/>
              </w:rPr>
            </w:pPr>
            <w:r w:rsidRPr="00CF592B">
              <w:t>5.76%</w:t>
            </w:r>
          </w:p>
        </w:tc>
      </w:tr>
      <w:tr w:rsidR="00CF1C0D" w14:paraId="1E630DAC" w14:textId="77777777" w:rsidTr="00CF1C0D">
        <w:tc>
          <w:tcPr>
            <w:tcW w:w="3080" w:type="dxa"/>
          </w:tcPr>
          <w:p w14:paraId="2A77C28C" w14:textId="3C5A4EB9" w:rsidR="00CF1C0D" w:rsidRDefault="00CF1C0D" w:rsidP="00CF1C0D">
            <w:pPr>
              <w:jc w:val="both"/>
              <w:rPr>
                <w:rFonts w:ascii="Times New Roman" w:hAnsi="Times New Roman" w:cs="Times New Roman"/>
                <w:sz w:val="24"/>
                <w:szCs w:val="24"/>
              </w:rPr>
            </w:pPr>
            <w:r w:rsidRPr="00CF592B">
              <w:t>2021</w:t>
            </w:r>
          </w:p>
        </w:tc>
        <w:tc>
          <w:tcPr>
            <w:tcW w:w="3080" w:type="dxa"/>
          </w:tcPr>
          <w:p w14:paraId="4F6F3825" w14:textId="6F8ADDCE" w:rsidR="00CF1C0D" w:rsidRDefault="00CF1C0D" w:rsidP="00CF1C0D">
            <w:pPr>
              <w:jc w:val="both"/>
              <w:rPr>
                <w:rFonts w:ascii="Times New Roman" w:hAnsi="Times New Roman" w:cs="Times New Roman"/>
                <w:sz w:val="24"/>
                <w:szCs w:val="24"/>
              </w:rPr>
            </w:pPr>
            <w:r w:rsidRPr="00CF592B">
              <w:t>11850</w:t>
            </w:r>
          </w:p>
        </w:tc>
        <w:tc>
          <w:tcPr>
            <w:tcW w:w="3080" w:type="dxa"/>
          </w:tcPr>
          <w:p w14:paraId="78C9C1A0" w14:textId="3D6C166E" w:rsidR="00CF1C0D" w:rsidRDefault="00CF1C0D" w:rsidP="00CF1C0D">
            <w:pPr>
              <w:jc w:val="both"/>
              <w:rPr>
                <w:rFonts w:ascii="Times New Roman" w:hAnsi="Times New Roman" w:cs="Times New Roman"/>
                <w:sz w:val="24"/>
                <w:szCs w:val="24"/>
              </w:rPr>
            </w:pPr>
            <w:r w:rsidRPr="00CF592B">
              <w:t>-10.28%</w:t>
            </w:r>
          </w:p>
        </w:tc>
      </w:tr>
      <w:tr w:rsidR="00CF1C0D" w14:paraId="3960093A" w14:textId="77777777" w:rsidTr="00CF1C0D">
        <w:tc>
          <w:tcPr>
            <w:tcW w:w="3080" w:type="dxa"/>
          </w:tcPr>
          <w:p w14:paraId="39A45010" w14:textId="76A557B1" w:rsidR="00CF1C0D" w:rsidRDefault="00CF1C0D" w:rsidP="00CF1C0D">
            <w:pPr>
              <w:jc w:val="both"/>
              <w:rPr>
                <w:rFonts w:ascii="Times New Roman" w:hAnsi="Times New Roman" w:cs="Times New Roman"/>
                <w:sz w:val="24"/>
                <w:szCs w:val="24"/>
              </w:rPr>
            </w:pPr>
            <w:r w:rsidRPr="00CF592B">
              <w:lastRenderedPageBreak/>
              <w:t>2022</w:t>
            </w:r>
          </w:p>
        </w:tc>
        <w:tc>
          <w:tcPr>
            <w:tcW w:w="3080" w:type="dxa"/>
          </w:tcPr>
          <w:p w14:paraId="6FA059D7" w14:textId="40222A6B" w:rsidR="00CF1C0D" w:rsidRDefault="00CF1C0D" w:rsidP="00CF1C0D">
            <w:pPr>
              <w:jc w:val="both"/>
              <w:rPr>
                <w:rFonts w:ascii="Times New Roman" w:hAnsi="Times New Roman" w:cs="Times New Roman"/>
                <w:sz w:val="24"/>
                <w:szCs w:val="24"/>
              </w:rPr>
            </w:pPr>
            <w:r w:rsidRPr="00CF592B">
              <w:t>13160</w:t>
            </w:r>
          </w:p>
        </w:tc>
        <w:tc>
          <w:tcPr>
            <w:tcW w:w="3080" w:type="dxa"/>
          </w:tcPr>
          <w:p w14:paraId="75A379C0" w14:textId="79C2344B" w:rsidR="00CF1C0D" w:rsidRDefault="00CF1C0D" w:rsidP="00CF1C0D">
            <w:pPr>
              <w:jc w:val="both"/>
              <w:rPr>
                <w:rFonts w:ascii="Times New Roman" w:hAnsi="Times New Roman" w:cs="Times New Roman"/>
                <w:sz w:val="24"/>
                <w:szCs w:val="24"/>
              </w:rPr>
            </w:pPr>
            <w:r w:rsidRPr="00CF592B">
              <w:t>11.05%</w:t>
            </w:r>
          </w:p>
        </w:tc>
      </w:tr>
      <w:tr w:rsidR="00CF1C0D" w14:paraId="5770E9C5" w14:textId="77777777" w:rsidTr="00CF1C0D">
        <w:tc>
          <w:tcPr>
            <w:tcW w:w="3080" w:type="dxa"/>
          </w:tcPr>
          <w:p w14:paraId="4EBA6027" w14:textId="21C50A1A" w:rsidR="00CF1C0D" w:rsidRPr="00CF592B" w:rsidRDefault="00CF1C0D" w:rsidP="00CF1C0D">
            <w:pPr>
              <w:jc w:val="both"/>
            </w:pPr>
            <w:r w:rsidRPr="00CF592B">
              <w:t>2023</w:t>
            </w:r>
          </w:p>
        </w:tc>
        <w:tc>
          <w:tcPr>
            <w:tcW w:w="3080" w:type="dxa"/>
          </w:tcPr>
          <w:p w14:paraId="5F07A14A" w14:textId="1F2151A0" w:rsidR="00CF1C0D" w:rsidRPr="00CF592B" w:rsidRDefault="00CF1C0D" w:rsidP="00CF1C0D">
            <w:pPr>
              <w:jc w:val="both"/>
            </w:pPr>
            <w:r w:rsidRPr="00CF592B">
              <w:t>12500</w:t>
            </w:r>
          </w:p>
        </w:tc>
        <w:tc>
          <w:tcPr>
            <w:tcW w:w="3080" w:type="dxa"/>
          </w:tcPr>
          <w:p w14:paraId="42C38E04" w14:textId="5C453A38" w:rsidR="00CF1C0D" w:rsidRPr="00CF592B" w:rsidRDefault="00CF1C0D" w:rsidP="00CF1C0D">
            <w:pPr>
              <w:jc w:val="both"/>
            </w:pPr>
            <w:r w:rsidRPr="00CF592B">
              <w:t>-5.02%</w:t>
            </w:r>
          </w:p>
        </w:tc>
      </w:tr>
    </w:tbl>
    <w:p w14:paraId="24AF747A" w14:textId="2892CAC6" w:rsidR="005F2761" w:rsidRPr="00EB0D23" w:rsidRDefault="00CF1C0D" w:rsidP="00CF1C0D">
      <w:pPr>
        <w:jc w:val="both"/>
        <w:rPr>
          <w:rFonts w:ascii="Times New Roman" w:hAnsi="Times New Roman" w:cs="Times New Roman"/>
          <w:sz w:val="24"/>
          <w:szCs w:val="24"/>
        </w:rPr>
      </w:pPr>
      <w:r>
        <w:rPr>
          <w:rFonts w:ascii="Times New Roman" w:hAnsi="Times New Roman" w:cs="Times New Roman"/>
          <w:sz w:val="24"/>
          <w:szCs w:val="24"/>
        </w:rPr>
        <w:t>Source: Compiled from SPSS</w:t>
      </w:r>
    </w:p>
    <w:p w14:paraId="2CF72F88" w14:textId="0AFB2CCD" w:rsidR="000476EC" w:rsidRPr="00EB0D23" w:rsidRDefault="00CF1C0D" w:rsidP="00EB5F15">
      <w:pPr>
        <w:jc w:val="both"/>
        <w:rPr>
          <w:rFonts w:ascii="Times New Roman" w:hAnsi="Times New Roman" w:cs="Times New Roman"/>
          <w:sz w:val="24"/>
          <w:szCs w:val="24"/>
        </w:rPr>
      </w:pPr>
      <w:r>
        <w:rPr>
          <w:rFonts w:ascii="Times New Roman" w:hAnsi="Times New Roman" w:cs="Times New Roman"/>
          <w:sz w:val="24"/>
          <w:szCs w:val="24"/>
        </w:rPr>
        <w:t xml:space="preserve">Notes: </w:t>
      </w:r>
      <w:r w:rsidR="005126B4" w:rsidRPr="00EB0D23">
        <w:rPr>
          <w:rFonts w:ascii="Times New Roman" w:hAnsi="Times New Roman" w:cs="Times New Roman"/>
          <w:sz w:val="24"/>
          <w:szCs w:val="24"/>
        </w:rPr>
        <w:t>It</w:t>
      </w:r>
      <w:r w:rsidR="00CA285C" w:rsidRPr="00EB0D23">
        <w:rPr>
          <w:rFonts w:ascii="Times New Roman" w:hAnsi="Times New Roman" w:cs="Times New Roman"/>
          <w:sz w:val="24"/>
          <w:szCs w:val="24"/>
        </w:rPr>
        <w:t xml:space="preserve"> shows the </w:t>
      </w:r>
      <w:r w:rsidR="00762AF5" w:rsidRPr="00EB0D23">
        <w:rPr>
          <w:rFonts w:ascii="Times New Roman" w:hAnsi="Times New Roman" w:cs="Times New Roman"/>
          <w:sz w:val="24"/>
          <w:szCs w:val="24"/>
        </w:rPr>
        <w:t xml:space="preserve">years and the production of millets in 1000MT and the growth rate is fluctuating every year.  </w:t>
      </w:r>
    </w:p>
    <w:p w14:paraId="41781B25" w14:textId="248D8ACF" w:rsidR="000476EC" w:rsidRPr="00BA2A83" w:rsidRDefault="00CF1C0D" w:rsidP="00BA2A83">
      <w:pPr>
        <w:jc w:val="center"/>
        <w:rPr>
          <w:rFonts w:ascii="Times New Roman" w:hAnsi="Times New Roman" w:cs="Times New Roman"/>
          <w:b/>
          <w:bCs/>
          <w:sz w:val="24"/>
          <w:szCs w:val="24"/>
        </w:rPr>
      </w:pPr>
      <w:r w:rsidRPr="00BA2A83">
        <w:rPr>
          <w:rFonts w:ascii="Times New Roman" w:hAnsi="Times New Roman" w:cs="Times New Roman"/>
          <w:b/>
          <w:bCs/>
          <w:sz w:val="24"/>
          <w:szCs w:val="24"/>
        </w:rPr>
        <w:t xml:space="preserve">Table-2: </w:t>
      </w:r>
      <w:r w:rsidR="00CA285C" w:rsidRPr="00BA2A83">
        <w:rPr>
          <w:rFonts w:ascii="Times New Roman" w:hAnsi="Times New Roman" w:cs="Times New Roman"/>
          <w:b/>
          <w:bCs/>
          <w:sz w:val="24"/>
          <w:szCs w:val="24"/>
        </w:rPr>
        <w:t>India millet Domestic Consumption by year</w:t>
      </w:r>
    </w:p>
    <w:tbl>
      <w:tblPr>
        <w:tblStyle w:val="TableGrid"/>
        <w:tblW w:w="8921" w:type="dxa"/>
        <w:tblLook w:val="04A0" w:firstRow="1" w:lastRow="0" w:firstColumn="1" w:lastColumn="0" w:noHBand="0" w:noVBand="1"/>
      </w:tblPr>
      <w:tblGrid>
        <w:gridCol w:w="1986"/>
        <w:gridCol w:w="2749"/>
        <w:gridCol w:w="2100"/>
        <w:gridCol w:w="2086"/>
      </w:tblGrid>
      <w:tr w:rsidR="00CA285C" w:rsidRPr="00EB0D23" w14:paraId="62E86423" w14:textId="77777777" w:rsidTr="00A675CA">
        <w:trPr>
          <w:trHeight w:val="670"/>
        </w:trPr>
        <w:tc>
          <w:tcPr>
            <w:tcW w:w="1986" w:type="dxa"/>
            <w:hideMark/>
          </w:tcPr>
          <w:p w14:paraId="4A73DBA1"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Market Year</w:t>
            </w:r>
          </w:p>
        </w:tc>
        <w:tc>
          <w:tcPr>
            <w:tcW w:w="2749" w:type="dxa"/>
            <w:hideMark/>
          </w:tcPr>
          <w:p w14:paraId="59BD8129"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Domestic Consumption</w:t>
            </w:r>
          </w:p>
        </w:tc>
        <w:tc>
          <w:tcPr>
            <w:tcW w:w="2100" w:type="dxa"/>
            <w:hideMark/>
          </w:tcPr>
          <w:p w14:paraId="5610DB4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Unit of Measure</w:t>
            </w:r>
          </w:p>
        </w:tc>
        <w:tc>
          <w:tcPr>
            <w:tcW w:w="2086" w:type="dxa"/>
            <w:hideMark/>
          </w:tcPr>
          <w:p w14:paraId="5FB94DB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Growth Rate</w:t>
            </w:r>
          </w:p>
        </w:tc>
      </w:tr>
      <w:tr w:rsidR="00CA285C" w:rsidRPr="00EB0D23" w14:paraId="54C32A4A" w14:textId="77777777" w:rsidTr="00A675CA">
        <w:trPr>
          <w:trHeight w:val="315"/>
        </w:trPr>
        <w:tc>
          <w:tcPr>
            <w:tcW w:w="1986" w:type="dxa"/>
            <w:hideMark/>
          </w:tcPr>
          <w:p w14:paraId="0856850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2002</w:t>
            </w:r>
          </w:p>
        </w:tc>
        <w:tc>
          <w:tcPr>
            <w:tcW w:w="2749" w:type="dxa"/>
            <w:hideMark/>
          </w:tcPr>
          <w:p w14:paraId="7A3B4AF7"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6600</w:t>
            </w:r>
          </w:p>
        </w:tc>
        <w:tc>
          <w:tcPr>
            <w:tcW w:w="2100" w:type="dxa"/>
            <w:hideMark/>
          </w:tcPr>
          <w:p w14:paraId="4FB7E09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5C30BCA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-40.81%</w:t>
            </w:r>
          </w:p>
        </w:tc>
      </w:tr>
      <w:tr w:rsidR="00CA285C" w:rsidRPr="00EB0D23" w14:paraId="1124B558" w14:textId="77777777" w:rsidTr="00A675CA">
        <w:trPr>
          <w:trHeight w:val="315"/>
        </w:trPr>
        <w:tc>
          <w:tcPr>
            <w:tcW w:w="1986" w:type="dxa"/>
            <w:hideMark/>
          </w:tcPr>
          <w:p w14:paraId="5E3A32D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2003</w:t>
            </w:r>
          </w:p>
        </w:tc>
        <w:tc>
          <w:tcPr>
            <w:tcW w:w="2749" w:type="dxa"/>
            <w:hideMark/>
          </w:tcPr>
          <w:p w14:paraId="79BE749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14200</w:t>
            </w:r>
          </w:p>
        </w:tc>
        <w:tc>
          <w:tcPr>
            <w:tcW w:w="2100" w:type="dxa"/>
            <w:hideMark/>
          </w:tcPr>
          <w:p w14:paraId="1A8CC8E9"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60461B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115.15%</w:t>
            </w:r>
          </w:p>
        </w:tc>
      </w:tr>
      <w:tr w:rsidR="00CA285C" w:rsidRPr="00EB0D23" w14:paraId="6B264A1C" w14:textId="77777777" w:rsidTr="00A675CA">
        <w:trPr>
          <w:trHeight w:val="315"/>
        </w:trPr>
        <w:tc>
          <w:tcPr>
            <w:tcW w:w="1986" w:type="dxa"/>
            <w:hideMark/>
          </w:tcPr>
          <w:p w14:paraId="484DB5FA"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2004</w:t>
            </w:r>
          </w:p>
        </w:tc>
        <w:tc>
          <w:tcPr>
            <w:tcW w:w="2749" w:type="dxa"/>
            <w:hideMark/>
          </w:tcPr>
          <w:p w14:paraId="684B1CD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10840</w:t>
            </w:r>
          </w:p>
        </w:tc>
        <w:tc>
          <w:tcPr>
            <w:tcW w:w="2100" w:type="dxa"/>
            <w:hideMark/>
          </w:tcPr>
          <w:p w14:paraId="249D9ECC"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4DE1D14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-23.66%</w:t>
            </w:r>
          </w:p>
        </w:tc>
      </w:tr>
      <w:tr w:rsidR="00CA285C" w:rsidRPr="00EB0D23" w14:paraId="24FA3797" w14:textId="77777777" w:rsidTr="00A675CA">
        <w:trPr>
          <w:trHeight w:val="315"/>
        </w:trPr>
        <w:tc>
          <w:tcPr>
            <w:tcW w:w="1986" w:type="dxa"/>
            <w:hideMark/>
          </w:tcPr>
          <w:p w14:paraId="36F612A7"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2005</w:t>
            </w:r>
          </w:p>
        </w:tc>
        <w:tc>
          <w:tcPr>
            <w:tcW w:w="2749" w:type="dxa"/>
            <w:hideMark/>
          </w:tcPr>
          <w:p w14:paraId="19365B8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10900</w:t>
            </w:r>
          </w:p>
        </w:tc>
        <w:tc>
          <w:tcPr>
            <w:tcW w:w="2100" w:type="dxa"/>
            <w:hideMark/>
          </w:tcPr>
          <w:p w14:paraId="5561E8C3"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82B6CD0"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0.55%</w:t>
            </w:r>
          </w:p>
        </w:tc>
      </w:tr>
      <w:tr w:rsidR="00CA285C" w:rsidRPr="00EB0D23" w14:paraId="6FBFF41E" w14:textId="77777777" w:rsidTr="00A675CA">
        <w:trPr>
          <w:trHeight w:val="315"/>
        </w:trPr>
        <w:tc>
          <w:tcPr>
            <w:tcW w:w="1986" w:type="dxa"/>
            <w:hideMark/>
          </w:tcPr>
          <w:p w14:paraId="2E334F0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2006</w:t>
            </w:r>
          </w:p>
        </w:tc>
        <w:tc>
          <w:tcPr>
            <w:tcW w:w="2749" w:type="dxa"/>
            <w:hideMark/>
          </w:tcPr>
          <w:p w14:paraId="016BC21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10300</w:t>
            </w:r>
          </w:p>
        </w:tc>
        <w:tc>
          <w:tcPr>
            <w:tcW w:w="2100" w:type="dxa"/>
            <w:hideMark/>
          </w:tcPr>
          <w:p w14:paraId="1E00F00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505EF7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-5.50%</w:t>
            </w:r>
          </w:p>
        </w:tc>
      </w:tr>
      <w:tr w:rsidR="00CA285C" w:rsidRPr="00EB0D23" w14:paraId="25359D85" w14:textId="77777777" w:rsidTr="00A675CA">
        <w:trPr>
          <w:trHeight w:val="315"/>
        </w:trPr>
        <w:tc>
          <w:tcPr>
            <w:tcW w:w="1986" w:type="dxa"/>
            <w:hideMark/>
          </w:tcPr>
          <w:p w14:paraId="3205033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2007</w:t>
            </w:r>
          </w:p>
        </w:tc>
        <w:tc>
          <w:tcPr>
            <w:tcW w:w="2749" w:type="dxa"/>
            <w:hideMark/>
          </w:tcPr>
          <w:p w14:paraId="05595530"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12500</w:t>
            </w:r>
          </w:p>
        </w:tc>
        <w:tc>
          <w:tcPr>
            <w:tcW w:w="2100" w:type="dxa"/>
            <w:hideMark/>
          </w:tcPr>
          <w:p w14:paraId="4F25BDB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75ED21C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21.36%</w:t>
            </w:r>
          </w:p>
        </w:tc>
      </w:tr>
      <w:tr w:rsidR="00CA285C" w:rsidRPr="00EB0D23" w14:paraId="796FFEFB" w14:textId="77777777" w:rsidTr="00A675CA">
        <w:trPr>
          <w:trHeight w:val="315"/>
        </w:trPr>
        <w:tc>
          <w:tcPr>
            <w:tcW w:w="1986" w:type="dxa"/>
            <w:hideMark/>
          </w:tcPr>
          <w:p w14:paraId="14E8C31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2008</w:t>
            </w:r>
          </w:p>
        </w:tc>
        <w:tc>
          <w:tcPr>
            <w:tcW w:w="2749" w:type="dxa"/>
            <w:hideMark/>
          </w:tcPr>
          <w:p w14:paraId="4090558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11500</w:t>
            </w:r>
          </w:p>
        </w:tc>
        <w:tc>
          <w:tcPr>
            <w:tcW w:w="2100" w:type="dxa"/>
            <w:hideMark/>
          </w:tcPr>
          <w:p w14:paraId="7C2D89D5"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7A0DAB4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-8.00%</w:t>
            </w:r>
          </w:p>
        </w:tc>
      </w:tr>
      <w:tr w:rsidR="00CA285C" w:rsidRPr="00EB0D23" w14:paraId="17373368" w14:textId="77777777" w:rsidTr="00A675CA">
        <w:trPr>
          <w:trHeight w:val="315"/>
        </w:trPr>
        <w:tc>
          <w:tcPr>
            <w:tcW w:w="1986" w:type="dxa"/>
            <w:hideMark/>
          </w:tcPr>
          <w:p w14:paraId="5895D4B3"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2009</w:t>
            </w:r>
          </w:p>
        </w:tc>
        <w:tc>
          <w:tcPr>
            <w:tcW w:w="2749" w:type="dxa"/>
            <w:hideMark/>
          </w:tcPr>
          <w:p w14:paraId="070DB810"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8800</w:t>
            </w:r>
          </w:p>
        </w:tc>
        <w:tc>
          <w:tcPr>
            <w:tcW w:w="2100" w:type="dxa"/>
            <w:hideMark/>
          </w:tcPr>
          <w:p w14:paraId="345AF9E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13206A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-23.48%</w:t>
            </w:r>
          </w:p>
        </w:tc>
      </w:tr>
      <w:tr w:rsidR="00CA285C" w:rsidRPr="00EB0D23" w14:paraId="6CE67CA1" w14:textId="77777777" w:rsidTr="00A675CA">
        <w:trPr>
          <w:trHeight w:val="315"/>
        </w:trPr>
        <w:tc>
          <w:tcPr>
            <w:tcW w:w="1986" w:type="dxa"/>
            <w:hideMark/>
          </w:tcPr>
          <w:p w14:paraId="3BBBC95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2010</w:t>
            </w:r>
          </w:p>
        </w:tc>
        <w:tc>
          <w:tcPr>
            <w:tcW w:w="2749" w:type="dxa"/>
            <w:hideMark/>
          </w:tcPr>
          <w:p w14:paraId="2E28D18C"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12500</w:t>
            </w:r>
          </w:p>
        </w:tc>
        <w:tc>
          <w:tcPr>
            <w:tcW w:w="2100" w:type="dxa"/>
            <w:hideMark/>
          </w:tcPr>
          <w:p w14:paraId="6EFBBCC0"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4A850A3C"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42.05%</w:t>
            </w:r>
          </w:p>
        </w:tc>
      </w:tr>
      <w:tr w:rsidR="00CA285C" w:rsidRPr="00EB0D23" w14:paraId="566B59A5" w14:textId="77777777" w:rsidTr="00A675CA">
        <w:trPr>
          <w:trHeight w:val="315"/>
        </w:trPr>
        <w:tc>
          <w:tcPr>
            <w:tcW w:w="1986" w:type="dxa"/>
            <w:hideMark/>
          </w:tcPr>
          <w:p w14:paraId="61482EB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2011</w:t>
            </w:r>
          </w:p>
        </w:tc>
        <w:tc>
          <w:tcPr>
            <w:tcW w:w="2749" w:type="dxa"/>
            <w:hideMark/>
          </w:tcPr>
          <w:p w14:paraId="2934F0A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12900</w:t>
            </w:r>
          </w:p>
        </w:tc>
        <w:tc>
          <w:tcPr>
            <w:tcW w:w="2100" w:type="dxa"/>
            <w:hideMark/>
          </w:tcPr>
          <w:p w14:paraId="6F003BA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76FCAC4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3.20%</w:t>
            </w:r>
          </w:p>
        </w:tc>
      </w:tr>
      <w:tr w:rsidR="00CA285C" w:rsidRPr="00EB0D23" w14:paraId="2A2FB5CF" w14:textId="77777777" w:rsidTr="00A675CA">
        <w:trPr>
          <w:trHeight w:val="315"/>
        </w:trPr>
        <w:tc>
          <w:tcPr>
            <w:tcW w:w="1986" w:type="dxa"/>
            <w:hideMark/>
          </w:tcPr>
          <w:p w14:paraId="6F5AEE0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2012</w:t>
            </w:r>
          </w:p>
        </w:tc>
        <w:tc>
          <w:tcPr>
            <w:tcW w:w="2749" w:type="dxa"/>
            <w:hideMark/>
          </w:tcPr>
          <w:p w14:paraId="0E6A4947"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10900</w:t>
            </w:r>
          </w:p>
        </w:tc>
        <w:tc>
          <w:tcPr>
            <w:tcW w:w="2100" w:type="dxa"/>
            <w:hideMark/>
          </w:tcPr>
          <w:p w14:paraId="1E89EE41"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C85F5B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-15.50%</w:t>
            </w:r>
          </w:p>
        </w:tc>
      </w:tr>
      <w:tr w:rsidR="00CA285C" w:rsidRPr="00EB0D23" w14:paraId="746AA7AF" w14:textId="77777777" w:rsidTr="00A675CA">
        <w:trPr>
          <w:trHeight w:val="315"/>
        </w:trPr>
        <w:tc>
          <w:tcPr>
            <w:tcW w:w="1986" w:type="dxa"/>
            <w:hideMark/>
          </w:tcPr>
          <w:p w14:paraId="035EA19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2013</w:t>
            </w:r>
          </w:p>
        </w:tc>
        <w:tc>
          <w:tcPr>
            <w:tcW w:w="2749" w:type="dxa"/>
            <w:hideMark/>
          </w:tcPr>
          <w:p w14:paraId="606ACE9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11600</w:t>
            </w:r>
          </w:p>
        </w:tc>
        <w:tc>
          <w:tcPr>
            <w:tcW w:w="2100" w:type="dxa"/>
            <w:hideMark/>
          </w:tcPr>
          <w:p w14:paraId="7C84466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798EC00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6.42%</w:t>
            </w:r>
          </w:p>
        </w:tc>
      </w:tr>
      <w:tr w:rsidR="00CA285C" w:rsidRPr="00EB0D23" w14:paraId="67A19A05" w14:textId="77777777" w:rsidTr="00A675CA">
        <w:trPr>
          <w:trHeight w:val="315"/>
        </w:trPr>
        <w:tc>
          <w:tcPr>
            <w:tcW w:w="1986" w:type="dxa"/>
            <w:hideMark/>
          </w:tcPr>
          <w:p w14:paraId="3AAFD33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2014</w:t>
            </w:r>
          </w:p>
        </w:tc>
        <w:tc>
          <w:tcPr>
            <w:tcW w:w="2749" w:type="dxa"/>
            <w:hideMark/>
          </w:tcPr>
          <w:p w14:paraId="0647D64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11600</w:t>
            </w:r>
          </w:p>
        </w:tc>
        <w:tc>
          <w:tcPr>
            <w:tcW w:w="2100" w:type="dxa"/>
            <w:hideMark/>
          </w:tcPr>
          <w:p w14:paraId="0CF52D9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34E245E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0.00%</w:t>
            </w:r>
          </w:p>
        </w:tc>
      </w:tr>
      <w:tr w:rsidR="00CA285C" w:rsidRPr="00EB0D23" w14:paraId="50183065" w14:textId="77777777" w:rsidTr="00A675CA">
        <w:trPr>
          <w:trHeight w:val="315"/>
        </w:trPr>
        <w:tc>
          <w:tcPr>
            <w:tcW w:w="1986" w:type="dxa"/>
            <w:hideMark/>
          </w:tcPr>
          <w:p w14:paraId="3D9E947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2015</w:t>
            </w:r>
          </w:p>
        </w:tc>
        <w:tc>
          <w:tcPr>
            <w:tcW w:w="2749" w:type="dxa"/>
            <w:hideMark/>
          </w:tcPr>
          <w:p w14:paraId="07B3AE7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10500</w:t>
            </w:r>
          </w:p>
        </w:tc>
        <w:tc>
          <w:tcPr>
            <w:tcW w:w="2100" w:type="dxa"/>
            <w:hideMark/>
          </w:tcPr>
          <w:p w14:paraId="13380AE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68062DCE"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-9.48%</w:t>
            </w:r>
          </w:p>
        </w:tc>
      </w:tr>
      <w:tr w:rsidR="00CA285C" w:rsidRPr="00EB0D23" w14:paraId="14FC85CF" w14:textId="77777777" w:rsidTr="00A675CA">
        <w:trPr>
          <w:trHeight w:val="315"/>
        </w:trPr>
        <w:tc>
          <w:tcPr>
            <w:tcW w:w="1986" w:type="dxa"/>
            <w:hideMark/>
          </w:tcPr>
          <w:p w14:paraId="4B05767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2016</w:t>
            </w:r>
          </w:p>
        </w:tc>
        <w:tc>
          <w:tcPr>
            <w:tcW w:w="2749" w:type="dxa"/>
            <w:hideMark/>
          </w:tcPr>
          <w:p w14:paraId="2B9FBDE1"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11300</w:t>
            </w:r>
          </w:p>
        </w:tc>
        <w:tc>
          <w:tcPr>
            <w:tcW w:w="2100" w:type="dxa"/>
            <w:hideMark/>
          </w:tcPr>
          <w:p w14:paraId="2A442F1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14D0453A"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7.62%</w:t>
            </w:r>
          </w:p>
        </w:tc>
      </w:tr>
      <w:tr w:rsidR="00CA285C" w:rsidRPr="00EB0D23" w14:paraId="013E4E51" w14:textId="77777777" w:rsidTr="00A675CA">
        <w:trPr>
          <w:trHeight w:val="315"/>
        </w:trPr>
        <w:tc>
          <w:tcPr>
            <w:tcW w:w="1986" w:type="dxa"/>
            <w:hideMark/>
          </w:tcPr>
          <w:p w14:paraId="36A6117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2017</w:t>
            </w:r>
          </w:p>
        </w:tc>
        <w:tc>
          <w:tcPr>
            <w:tcW w:w="2749" w:type="dxa"/>
            <w:hideMark/>
          </w:tcPr>
          <w:p w14:paraId="1BF8F61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11500</w:t>
            </w:r>
          </w:p>
        </w:tc>
        <w:tc>
          <w:tcPr>
            <w:tcW w:w="2100" w:type="dxa"/>
            <w:hideMark/>
          </w:tcPr>
          <w:p w14:paraId="3904E35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0B92291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1.77%</w:t>
            </w:r>
          </w:p>
        </w:tc>
      </w:tr>
      <w:tr w:rsidR="00CA285C" w:rsidRPr="00EB0D23" w14:paraId="1D7F20DD" w14:textId="77777777" w:rsidTr="00A675CA">
        <w:trPr>
          <w:trHeight w:val="315"/>
        </w:trPr>
        <w:tc>
          <w:tcPr>
            <w:tcW w:w="1986" w:type="dxa"/>
            <w:hideMark/>
          </w:tcPr>
          <w:p w14:paraId="4E4F246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2018</w:t>
            </w:r>
          </w:p>
        </w:tc>
        <w:tc>
          <w:tcPr>
            <w:tcW w:w="2749" w:type="dxa"/>
            <w:hideMark/>
          </w:tcPr>
          <w:p w14:paraId="4D359A3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10600</w:t>
            </w:r>
          </w:p>
        </w:tc>
        <w:tc>
          <w:tcPr>
            <w:tcW w:w="2100" w:type="dxa"/>
            <w:hideMark/>
          </w:tcPr>
          <w:p w14:paraId="1C69A711"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1C3AF96A"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-7.83%</w:t>
            </w:r>
          </w:p>
        </w:tc>
      </w:tr>
      <w:tr w:rsidR="00CA285C" w:rsidRPr="00EB0D23" w14:paraId="7FF680FB" w14:textId="77777777" w:rsidTr="00A675CA">
        <w:trPr>
          <w:trHeight w:val="315"/>
        </w:trPr>
        <w:tc>
          <w:tcPr>
            <w:tcW w:w="1986" w:type="dxa"/>
            <w:hideMark/>
          </w:tcPr>
          <w:p w14:paraId="311C9175"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2019</w:t>
            </w:r>
          </w:p>
        </w:tc>
        <w:tc>
          <w:tcPr>
            <w:tcW w:w="2749" w:type="dxa"/>
            <w:hideMark/>
          </w:tcPr>
          <w:p w14:paraId="300500C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12200</w:t>
            </w:r>
          </w:p>
        </w:tc>
        <w:tc>
          <w:tcPr>
            <w:tcW w:w="2100" w:type="dxa"/>
            <w:hideMark/>
          </w:tcPr>
          <w:p w14:paraId="4AFCCDBB"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5F6D522D"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15.09%</w:t>
            </w:r>
          </w:p>
        </w:tc>
      </w:tr>
      <w:tr w:rsidR="00CA285C" w:rsidRPr="00EB0D23" w14:paraId="70A9D630" w14:textId="77777777" w:rsidTr="00A675CA">
        <w:trPr>
          <w:trHeight w:val="315"/>
        </w:trPr>
        <w:tc>
          <w:tcPr>
            <w:tcW w:w="1986" w:type="dxa"/>
            <w:hideMark/>
          </w:tcPr>
          <w:p w14:paraId="2EBF07F5"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2020</w:t>
            </w:r>
          </w:p>
        </w:tc>
        <w:tc>
          <w:tcPr>
            <w:tcW w:w="2749" w:type="dxa"/>
            <w:hideMark/>
          </w:tcPr>
          <w:p w14:paraId="71A115B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13200</w:t>
            </w:r>
          </w:p>
        </w:tc>
        <w:tc>
          <w:tcPr>
            <w:tcW w:w="2100" w:type="dxa"/>
            <w:hideMark/>
          </w:tcPr>
          <w:p w14:paraId="4BCA49B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2A7BF66F"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8.20%</w:t>
            </w:r>
          </w:p>
        </w:tc>
      </w:tr>
      <w:tr w:rsidR="00CA285C" w:rsidRPr="00EB0D23" w14:paraId="5F7E3C0C" w14:textId="77777777" w:rsidTr="00A675CA">
        <w:trPr>
          <w:trHeight w:val="315"/>
        </w:trPr>
        <w:tc>
          <w:tcPr>
            <w:tcW w:w="1986" w:type="dxa"/>
            <w:hideMark/>
          </w:tcPr>
          <w:p w14:paraId="3E8AF5C9"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2021</w:t>
            </w:r>
          </w:p>
        </w:tc>
        <w:tc>
          <w:tcPr>
            <w:tcW w:w="2749" w:type="dxa"/>
            <w:hideMark/>
          </w:tcPr>
          <w:p w14:paraId="7403EDB8"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11850</w:t>
            </w:r>
          </w:p>
        </w:tc>
        <w:tc>
          <w:tcPr>
            <w:tcW w:w="2100" w:type="dxa"/>
            <w:hideMark/>
          </w:tcPr>
          <w:p w14:paraId="55C3938B"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4B002452"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-10.23%</w:t>
            </w:r>
          </w:p>
        </w:tc>
      </w:tr>
      <w:tr w:rsidR="00CA285C" w:rsidRPr="00EB0D23" w14:paraId="560F1CAF" w14:textId="77777777" w:rsidTr="00A675CA">
        <w:trPr>
          <w:trHeight w:val="315"/>
        </w:trPr>
        <w:tc>
          <w:tcPr>
            <w:tcW w:w="1986" w:type="dxa"/>
            <w:hideMark/>
          </w:tcPr>
          <w:p w14:paraId="08D28589"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2022</w:t>
            </w:r>
          </w:p>
        </w:tc>
        <w:tc>
          <w:tcPr>
            <w:tcW w:w="2749" w:type="dxa"/>
            <w:hideMark/>
          </w:tcPr>
          <w:p w14:paraId="0F597ED6"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13100</w:t>
            </w:r>
          </w:p>
        </w:tc>
        <w:tc>
          <w:tcPr>
            <w:tcW w:w="2100" w:type="dxa"/>
            <w:hideMark/>
          </w:tcPr>
          <w:p w14:paraId="776395B4"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427322E9"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10.55%</w:t>
            </w:r>
          </w:p>
        </w:tc>
      </w:tr>
      <w:tr w:rsidR="00CA285C" w:rsidRPr="00EB0D23" w14:paraId="0E6FF820" w14:textId="77777777" w:rsidTr="00A675CA">
        <w:trPr>
          <w:trHeight w:val="315"/>
        </w:trPr>
        <w:tc>
          <w:tcPr>
            <w:tcW w:w="1986" w:type="dxa"/>
            <w:hideMark/>
          </w:tcPr>
          <w:p w14:paraId="1CCC4FD3"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2023</w:t>
            </w:r>
          </w:p>
        </w:tc>
        <w:tc>
          <w:tcPr>
            <w:tcW w:w="2749" w:type="dxa"/>
            <w:hideMark/>
          </w:tcPr>
          <w:p w14:paraId="651F1ADB"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12600</w:t>
            </w:r>
          </w:p>
        </w:tc>
        <w:tc>
          <w:tcPr>
            <w:tcW w:w="2100" w:type="dxa"/>
            <w:hideMark/>
          </w:tcPr>
          <w:p w14:paraId="75562F27"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(1000 MT)</w:t>
            </w:r>
          </w:p>
        </w:tc>
        <w:tc>
          <w:tcPr>
            <w:tcW w:w="2086" w:type="dxa"/>
            <w:hideMark/>
          </w:tcPr>
          <w:p w14:paraId="065BE515" w14:textId="77777777" w:rsidR="00CA285C" w:rsidRPr="00EB0D23" w:rsidRDefault="00CA285C" w:rsidP="00D06275">
            <w:pPr>
              <w:rPr>
                <w:rFonts w:ascii="Times New Roman" w:hAnsi="Times New Roman" w:cs="Times New Roman"/>
                <w:sz w:val="24"/>
                <w:szCs w:val="24"/>
              </w:rPr>
            </w:pPr>
            <w:r w:rsidRPr="00EB0D23">
              <w:rPr>
                <w:rFonts w:ascii="Times New Roman" w:hAnsi="Times New Roman" w:cs="Times New Roman"/>
                <w:sz w:val="24"/>
                <w:szCs w:val="24"/>
              </w:rPr>
              <w:t>-3.82%</w:t>
            </w:r>
          </w:p>
        </w:tc>
      </w:tr>
    </w:tbl>
    <w:p w14:paraId="1F928E11" w14:textId="21A39CD5" w:rsidR="00CF1C0D" w:rsidRDefault="00CF1C0D" w:rsidP="00EB5F15">
      <w:pPr>
        <w:jc w:val="both"/>
        <w:rPr>
          <w:rFonts w:ascii="Times New Roman" w:hAnsi="Times New Roman" w:cs="Times New Roman"/>
          <w:sz w:val="24"/>
          <w:szCs w:val="24"/>
        </w:rPr>
      </w:pPr>
      <w:r>
        <w:rPr>
          <w:rFonts w:ascii="Times New Roman" w:hAnsi="Times New Roman" w:cs="Times New Roman"/>
          <w:sz w:val="24"/>
          <w:szCs w:val="24"/>
        </w:rPr>
        <w:t>Source: Compiled from SPSS</w:t>
      </w:r>
    </w:p>
    <w:p w14:paraId="5C55871C" w14:textId="4FABE00D" w:rsidR="000476EC" w:rsidRPr="00EB0D23" w:rsidRDefault="00CF1C0D" w:rsidP="00EB5F15">
      <w:pPr>
        <w:jc w:val="both"/>
        <w:rPr>
          <w:rFonts w:ascii="Times New Roman" w:hAnsi="Times New Roman" w:cs="Times New Roman"/>
          <w:sz w:val="24"/>
          <w:szCs w:val="24"/>
        </w:rPr>
      </w:pPr>
      <w:r>
        <w:rPr>
          <w:rFonts w:ascii="Times New Roman" w:hAnsi="Times New Roman" w:cs="Times New Roman"/>
          <w:sz w:val="24"/>
          <w:szCs w:val="24"/>
        </w:rPr>
        <w:t xml:space="preserve">Note: </w:t>
      </w:r>
      <w:r w:rsidR="00762AF5" w:rsidRPr="00EB0D23">
        <w:rPr>
          <w:rFonts w:ascii="Times New Roman" w:hAnsi="Times New Roman" w:cs="Times New Roman"/>
          <w:sz w:val="24"/>
          <w:szCs w:val="24"/>
        </w:rPr>
        <w:t>It shows the year and Domestic consumption in different years in 1000MT and the growth in various years which shows the growth rate is showing ups and down every year.</w:t>
      </w:r>
    </w:p>
    <w:p w14:paraId="0A087FE8" w14:textId="4F5F6B61" w:rsidR="000476EC" w:rsidRPr="00CF1C0D" w:rsidRDefault="00CF1C0D" w:rsidP="00BA2A83">
      <w:pPr>
        <w:jc w:val="center"/>
        <w:rPr>
          <w:rFonts w:ascii="Times New Roman" w:hAnsi="Times New Roman" w:cs="Times New Roman"/>
          <w:b/>
          <w:bCs/>
          <w:sz w:val="24"/>
          <w:szCs w:val="24"/>
        </w:rPr>
      </w:pPr>
      <w:r w:rsidRPr="00CF1C0D">
        <w:rPr>
          <w:rFonts w:ascii="Times New Roman" w:hAnsi="Times New Roman" w:cs="Times New Roman"/>
          <w:b/>
          <w:bCs/>
          <w:sz w:val="24"/>
          <w:szCs w:val="24"/>
        </w:rPr>
        <w:t>Figure-1: production and consumption of millets over the years</w:t>
      </w:r>
    </w:p>
    <w:p w14:paraId="372C36EB" w14:textId="5BB1DB53" w:rsidR="00CF1C0D" w:rsidRDefault="00CF1C0D" w:rsidP="00CF592B">
      <w:pPr>
        <w:rPr>
          <w:rFonts w:ascii="Times New Roman" w:hAnsi="Times New Roman" w:cs="Times New Roman"/>
          <w:sz w:val="24"/>
          <w:szCs w:val="24"/>
        </w:rPr>
      </w:pPr>
      <w:r w:rsidRPr="00EB0D23">
        <w:rPr>
          <w:rFonts w:ascii="Times New Roman" w:hAnsi="Times New Roman" w:cs="Times New Roman"/>
          <w:noProof/>
          <w:sz w:val="24"/>
          <w:szCs w:val="24"/>
        </w:rPr>
        <w:lastRenderedPageBreak/>
        <w:drawing>
          <wp:inline distT="0" distB="0" distL="0" distR="0" wp14:anchorId="768E97AE" wp14:editId="1117DE25">
            <wp:extent cx="5361940" cy="2487478"/>
            <wp:effectExtent l="0" t="0" r="0" b="0"/>
            <wp:docPr id="2" name="Chart 2">
              <a:extLst xmlns:a="http://schemas.openxmlformats.org/drawingml/2006/main">
                <a:ext uri="{FF2B5EF4-FFF2-40B4-BE49-F238E27FC236}">
                  <a16:creationId xmlns:a16="http://schemas.microsoft.com/office/drawing/2014/main" id="{149DB08A-58C8-AF07-25C4-B05CB0971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787F6B" w14:textId="220F20C7" w:rsidR="00CA285C" w:rsidRPr="00EB0D23" w:rsidRDefault="00CF1C0D" w:rsidP="00CF1C0D">
      <w:pPr>
        <w:jc w:val="both"/>
        <w:rPr>
          <w:rFonts w:ascii="Times New Roman" w:hAnsi="Times New Roman" w:cs="Times New Roman"/>
          <w:sz w:val="24"/>
          <w:szCs w:val="24"/>
        </w:rPr>
      </w:pPr>
      <w:r>
        <w:rPr>
          <w:rFonts w:ascii="Times New Roman" w:hAnsi="Times New Roman" w:cs="Times New Roman"/>
          <w:sz w:val="24"/>
          <w:szCs w:val="24"/>
        </w:rPr>
        <w:t>Source: Compiled from SPSS</w:t>
      </w:r>
    </w:p>
    <w:tbl>
      <w:tblPr>
        <w:tblpPr w:leftFromText="180" w:rightFromText="180" w:vertAnchor="text" w:horzAnchor="margin" w:tblpY="322"/>
        <w:tblW w:w="7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3"/>
        <w:gridCol w:w="1009"/>
        <w:gridCol w:w="1009"/>
        <w:gridCol w:w="1010"/>
        <w:gridCol w:w="1010"/>
        <w:gridCol w:w="1010"/>
        <w:gridCol w:w="1010"/>
      </w:tblGrid>
      <w:tr w:rsidR="00322893" w:rsidRPr="00CF592B" w14:paraId="55BD5092" w14:textId="77777777" w:rsidTr="00322893">
        <w:trPr>
          <w:cantSplit/>
        </w:trPr>
        <w:tc>
          <w:tcPr>
            <w:tcW w:w="7541" w:type="dxa"/>
            <w:gridSpan w:val="7"/>
            <w:tcBorders>
              <w:top w:val="nil"/>
              <w:left w:val="nil"/>
              <w:bottom w:val="nil"/>
              <w:right w:val="nil"/>
            </w:tcBorders>
            <w:shd w:val="clear" w:color="auto" w:fill="FFFFFF"/>
          </w:tcPr>
          <w:p w14:paraId="4CA44A25" w14:textId="0BAE5AE2" w:rsidR="00322893" w:rsidRPr="00CF592B" w:rsidRDefault="00CF1C0D"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Pr>
                <w:rFonts w:ascii="Times New Roman" w:hAnsi="Times New Roman" w:cs="Times New Roman"/>
                <w:b/>
                <w:bCs/>
                <w:color w:val="000000"/>
                <w:sz w:val="24"/>
                <w:szCs w:val="24"/>
                <w:lang w:bidi="ar-SA"/>
              </w:rPr>
              <w:t xml:space="preserve">Table-3: </w:t>
            </w:r>
            <w:r w:rsidR="00322893" w:rsidRPr="00CF592B">
              <w:rPr>
                <w:rFonts w:ascii="Times New Roman" w:hAnsi="Times New Roman" w:cs="Times New Roman"/>
                <w:b/>
                <w:bCs/>
                <w:color w:val="000000"/>
                <w:sz w:val="24"/>
                <w:szCs w:val="24"/>
                <w:lang w:bidi="ar-SA"/>
              </w:rPr>
              <w:t>Tests of Normality</w:t>
            </w:r>
          </w:p>
        </w:tc>
      </w:tr>
      <w:tr w:rsidR="00322893" w:rsidRPr="00CF592B" w14:paraId="4A71CA3C" w14:textId="77777777" w:rsidTr="00322893">
        <w:trPr>
          <w:cantSplit/>
        </w:trPr>
        <w:tc>
          <w:tcPr>
            <w:tcW w:w="1483" w:type="dxa"/>
            <w:vMerge w:val="restart"/>
            <w:tcBorders>
              <w:top w:val="single" w:sz="16" w:space="0" w:color="000000"/>
              <w:left w:val="single" w:sz="16" w:space="0" w:color="000000"/>
              <w:bottom w:val="nil"/>
              <w:right w:val="single" w:sz="16" w:space="0" w:color="000000"/>
            </w:tcBorders>
            <w:shd w:val="clear" w:color="auto" w:fill="FFFFFF"/>
          </w:tcPr>
          <w:p w14:paraId="5AC8D6CA"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p>
        </w:tc>
        <w:tc>
          <w:tcPr>
            <w:tcW w:w="3028" w:type="dxa"/>
            <w:gridSpan w:val="3"/>
            <w:tcBorders>
              <w:top w:val="single" w:sz="16" w:space="0" w:color="000000"/>
              <w:left w:val="single" w:sz="16" w:space="0" w:color="000000"/>
            </w:tcBorders>
            <w:shd w:val="clear" w:color="auto" w:fill="FFFFFF"/>
          </w:tcPr>
          <w:p w14:paraId="65E4F6D8"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Kolmogorov-Smirnov</w:t>
            </w:r>
            <w:r w:rsidRPr="00CF592B">
              <w:rPr>
                <w:rFonts w:ascii="Times New Roman" w:hAnsi="Times New Roman" w:cs="Times New Roman"/>
                <w:color w:val="000000"/>
                <w:sz w:val="24"/>
                <w:szCs w:val="24"/>
                <w:vertAlign w:val="superscript"/>
                <w:lang w:bidi="ar-SA"/>
              </w:rPr>
              <w:t>a</w:t>
            </w:r>
          </w:p>
        </w:tc>
        <w:tc>
          <w:tcPr>
            <w:tcW w:w="3030" w:type="dxa"/>
            <w:gridSpan w:val="3"/>
            <w:tcBorders>
              <w:top w:val="single" w:sz="16" w:space="0" w:color="000000"/>
            </w:tcBorders>
            <w:shd w:val="clear" w:color="auto" w:fill="FFFFFF"/>
          </w:tcPr>
          <w:p w14:paraId="1BDEB927"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Shapiro-Wilk</w:t>
            </w:r>
          </w:p>
        </w:tc>
      </w:tr>
      <w:tr w:rsidR="00322893" w:rsidRPr="00CF592B" w14:paraId="5CF00A50" w14:textId="77777777" w:rsidTr="00322893">
        <w:trPr>
          <w:cantSplit/>
        </w:trPr>
        <w:tc>
          <w:tcPr>
            <w:tcW w:w="1483" w:type="dxa"/>
            <w:vMerge/>
            <w:tcBorders>
              <w:top w:val="single" w:sz="16" w:space="0" w:color="000000"/>
              <w:left w:val="single" w:sz="16" w:space="0" w:color="000000"/>
              <w:bottom w:val="nil"/>
              <w:right w:val="single" w:sz="16" w:space="0" w:color="000000"/>
            </w:tcBorders>
            <w:shd w:val="clear" w:color="auto" w:fill="FFFFFF"/>
          </w:tcPr>
          <w:p w14:paraId="0A683B10" w14:textId="77777777" w:rsidR="00322893" w:rsidRPr="00CF592B" w:rsidRDefault="00322893" w:rsidP="00322893">
            <w:pPr>
              <w:autoSpaceDE w:val="0"/>
              <w:autoSpaceDN w:val="0"/>
              <w:adjustRightInd w:val="0"/>
              <w:spacing w:after="0" w:line="240" w:lineRule="auto"/>
              <w:rPr>
                <w:rFonts w:ascii="Times New Roman" w:hAnsi="Times New Roman" w:cs="Times New Roman"/>
                <w:color w:val="000000"/>
                <w:sz w:val="24"/>
                <w:szCs w:val="24"/>
                <w:lang w:bidi="ar-SA"/>
              </w:rPr>
            </w:pPr>
          </w:p>
        </w:tc>
        <w:tc>
          <w:tcPr>
            <w:tcW w:w="1009" w:type="dxa"/>
            <w:tcBorders>
              <w:left w:val="single" w:sz="16" w:space="0" w:color="000000"/>
              <w:bottom w:val="single" w:sz="16" w:space="0" w:color="000000"/>
            </w:tcBorders>
            <w:shd w:val="clear" w:color="auto" w:fill="FFFFFF"/>
          </w:tcPr>
          <w:p w14:paraId="5BAE916E"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Statistic</w:t>
            </w:r>
          </w:p>
        </w:tc>
        <w:tc>
          <w:tcPr>
            <w:tcW w:w="1009" w:type="dxa"/>
            <w:tcBorders>
              <w:bottom w:val="single" w:sz="16" w:space="0" w:color="000000"/>
            </w:tcBorders>
            <w:shd w:val="clear" w:color="auto" w:fill="FFFFFF"/>
          </w:tcPr>
          <w:p w14:paraId="530E00C7"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proofErr w:type="spellStart"/>
            <w:r w:rsidRPr="00CF592B">
              <w:rPr>
                <w:rFonts w:ascii="Times New Roman" w:hAnsi="Times New Roman" w:cs="Times New Roman"/>
                <w:color w:val="000000"/>
                <w:sz w:val="24"/>
                <w:szCs w:val="24"/>
                <w:lang w:bidi="ar-SA"/>
              </w:rPr>
              <w:t>df</w:t>
            </w:r>
            <w:proofErr w:type="spellEnd"/>
          </w:p>
        </w:tc>
        <w:tc>
          <w:tcPr>
            <w:tcW w:w="1010" w:type="dxa"/>
            <w:tcBorders>
              <w:bottom w:val="single" w:sz="16" w:space="0" w:color="000000"/>
            </w:tcBorders>
            <w:shd w:val="clear" w:color="auto" w:fill="FFFFFF"/>
          </w:tcPr>
          <w:p w14:paraId="5B40A7A3"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Sig.</w:t>
            </w:r>
          </w:p>
        </w:tc>
        <w:tc>
          <w:tcPr>
            <w:tcW w:w="1010" w:type="dxa"/>
            <w:tcBorders>
              <w:bottom w:val="single" w:sz="16" w:space="0" w:color="000000"/>
            </w:tcBorders>
            <w:shd w:val="clear" w:color="auto" w:fill="FFFFFF"/>
          </w:tcPr>
          <w:p w14:paraId="5A6BEDC8"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Statistic</w:t>
            </w:r>
          </w:p>
        </w:tc>
        <w:tc>
          <w:tcPr>
            <w:tcW w:w="1010" w:type="dxa"/>
            <w:tcBorders>
              <w:bottom w:val="single" w:sz="16" w:space="0" w:color="000000"/>
            </w:tcBorders>
            <w:shd w:val="clear" w:color="auto" w:fill="FFFFFF"/>
          </w:tcPr>
          <w:p w14:paraId="798DFC20"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proofErr w:type="spellStart"/>
            <w:r w:rsidRPr="00CF592B">
              <w:rPr>
                <w:rFonts w:ascii="Times New Roman" w:hAnsi="Times New Roman" w:cs="Times New Roman"/>
                <w:color w:val="000000"/>
                <w:sz w:val="24"/>
                <w:szCs w:val="24"/>
                <w:lang w:bidi="ar-SA"/>
              </w:rPr>
              <w:t>df</w:t>
            </w:r>
            <w:proofErr w:type="spellEnd"/>
          </w:p>
        </w:tc>
        <w:tc>
          <w:tcPr>
            <w:tcW w:w="1010" w:type="dxa"/>
            <w:tcBorders>
              <w:bottom w:val="single" w:sz="16" w:space="0" w:color="000000"/>
              <w:right w:val="single" w:sz="16" w:space="0" w:color="000000"/>
            </w:tcBorders>
            <w:shd w:val="clear" w:color="auto" w:fill="FFFFFF"/>
          </w:tcPr>
          <w:p w14:paraId="570E5C19" w14:textId="77777777" w:rsidR="00322893" w:rsidRPr="00CF592B" w:rsidRDefault="00322893" w:rsidP="00322893">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Sig.</w:t>
            </w:r>
          </w:p>
        </w:tc>
      </w:tr>
      <w:tr w:rsidR="00322893" w:rsidRPr="00CF592B" w14:paraId="51B7E133" w14:textId="77777777" w:rsidTr="00322893">
        <w:trPr>
          <w:cantSplit/>
        </w:trPr>
        <w:tc>
          <w:tcPr>
            <w:tcW w:w="1483" w:type="dxa"/>
            <w:tcBorders>
              <w:top w:val="single" w:sz="16" w:space="0" w:color="000000"/>
              <w:left w:val="single" w:sz="16" w:space="0" w:color="000000"/>
              <w:bottom w:val="nil"/>
              <w:right w:val="single" w:sz="16" w:space="0" w:color="000000"/>
            </w:tcBorders>
            <w:shd w:val="clear" w:color="auto" w:fill="FFFFFF"/>
            <w:vAlign w:val="center"/>
          </w:tcPr>
          <w:p w14:paraId="7FC89A17"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production1</w:t>
            </w:r>
          </w:p>
        </w:tc>
        <w:tc>
          <w:tcPr>
            <w:tcW w:w="1009" w:type="dxa"/>
            <w:tcBorders>
              <w:top w:val="single" w:sz="16" w:space="0" w:color="000000"/>
              <w:left w:val="single" w:sz="16" w:space="0" w:color="000000"/>
              <w:bottom w:val="nil"/>
            </w:tcBorders>
            <w:shd w:val="clear" w:color="auto" w:fill="FFFFFF"/>
            <w:vAlign w:val="center"/>
          </w:tcPr>
          <w:p w14:paraId="4DCC6E4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.299</w:t>
            </w:r>
          </w:p>
        </w:tc>
        <w:tc>
          <w:tcPr>
            <w:tcW w:w="1009" w:type="dxa"/>
            <w:tcBorders>
              <w:top w:val="single" w:sz="16" w:space="0" w:color="000000"/>
              <w:bottom w:val="nil"/>
            </w:tcBorders>
            <w:shd w:val="clear" w:color="auto" w:fill="FFFFFF"/>
            <w:vAlign w:val="center"/>
          </w:tcPr>
          <w:p w14:paraId="36B042E2"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single" w:sz="16" w:space="0" w:color="000000"/>
              <w:bottom w:val="nil"/>
            </w:tcBorders>
            <w:shd w:val="clear" w:color="auto" w:fill="FFFFFF"/>
            <w:vAlign w:val="center"/>
          </w:tcPr>
          <w:p w14:paraId="2302B9CF"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.163</w:t>
            </w:r>
          </w:p>
        </w:tc>
        <w:tc>
          <w:tcPr>
            <w:tcW w:w="1010" w:type="dxa"/>
            <w:tcBorders>
              <w:top w:val="single" w:sz="16" w:space="0" w:color="000000"/>
              <w:bottom w:val="nil"/>
            </w:tcBorders>
            <w:shd w:val="clear" w:color="auto" w:fill="FFFFFF"/>
            <w:vAlign w:val="center"/>
          </w:tcPr>
          <w:p w14:paraId="3A9F0EA5"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.842</w:t>
            </w:r>
          </w:p>
        </w:tc>
        <w:tc>
          <w:tcPr>
            <w:tcW w:w="1010" w:type="dxa"/>
            <w:tcBorders>
              <w:top w:val="single" w:sz="16" w:space="0" w:color="000000"/>
              <w:bottom w:val="nil"/>
            </w:tcBorders>
            <w:shd w:val="clear" w:color="auto" w:fill="FFFFFF"/>
            <w:vAlign w:val="center"/>
          </w:tcPr>
          <w:p w14:paraId="03019E9F"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single" w:sz="16" w:space="0" w:color="000000"/>
              <w:bottom w:val="nil"/>
              <w:right w:val="single" w:sz="16" w:space="0" w:color="000000"/>
            </w:tcBorders>
            <w:shd w:val="clear" w:color="auto" w:fill="FFFFFF"/>
            <w:vAlign w:val="center"/>
          </w:tcPr>
          <w:p w14:paraId="702EE298"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.172</w:t>
            </w:r>
          </w:p>
        </w:tc>
      </w:tr>
      <w:tr w:rsidR="00322893" w:rsidRPr="00CF592B" w14:paraId="71340444"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16473560"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production2</w:t>
            </w:r>
          </w:p>
        </w:tc>
        <w:tc>
          <w:tcPr>
            <w:tcW w:w="1009" w:type="dxa"/>
            <w:tcBorders>
              <w:top w:val="nil"/>
              <w:left w:val="single" w:sz="16" w:space="0" w:color="000000"/>
              <w:bottom w:val="nil"/>
            </w:tcBorders>
            <w:shd w:val="clear" w:color="auto" w:fill="FFFFFF"/>
            <w:vAlign w:val="center"/>
          </w:tcPr>
          <w:p w14:paraId="44D7612B"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.187</w:t>
            </w:r>
          </w:p>
        </w:tc>
        <w:tc>
          <w:tcPr>
            <w:tcW w:w="1009" w:type="dxa"/>
            <w:tcBorders>
              <w:top w:val="nil"/>
              <w:bottom w:val="nil"/>
            </w:tcBorders>
            <w:shd w:val="clear" w:color="auto" w:fill="FFFFFF"/>
            <w:vAlign w:val="center"/>
          </w:tcPr>
          <w:p w14:paraId="15B7786E"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3A93C437"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51DB4AEB"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.936</w:t>
            </w:r>
          </w:p>
        </w:tc>
        <w:tc>
          <w:tcPr>
            <w:tcW w:w="1010" w:type="dxa"/>
            <w:tcBorders>
              <w:top w:val="nil"/>
              <w:bottom w:val="nil"/>
            </w:tcBorders>
            <w:shd w:val="clear" w:color="auto" w:fill="FFFFFF"/>
            <w:vAlign w:val="center"/>
          </w:tcPr>
          <w:p w14:paraId="64D60A83"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025E2813"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.640</w:t>
            </w:r>
          </w:p>
        </w:tc>
      </w:tr>
      <w:tr w:rsidR="00322893" w:rsidRPr="00CF592B" w14:paraId="556F7963"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73949AB7"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growth1</w:t>
            </w:r>
          </w:p>
        </w:tc>
        <w:tc>
          <w:tcPr>
            <w:tcW w:w="1009" w:type="dxa"/>
            <w:tcBorders>
              <w:top w:val="nil"/>
              <w:left w:val="single" w:sz="16" w:space="0" w:color="000000"/>
              <w:bottom w:val="nil"/>
            </w:tcBorders>
            <w:shd w:val="clear" w:color="auto" w:fill="FFFFFF"/>
            <w:vAlign w:val="center"/>
          </w:tcPr>
          <w:p w14:paraId="2700528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.307</w:t>
            </w:r>
          </w:p>
        </w:tc>
        <w:tc>
          <w:tcPr>
            <w:tcW w:w="1009" w:type="dxa"/>
            <w:tcBorders>
              <w:top w:val="nil"/>
              <w:bottom w:val="nil"/>
            </w:tcBorders>
            <w:shd w:val="clear" w:color="auto" w:fill="FFFFFF"/>
            <w:vAlign w:val="center"/>
          </w:tcPr>
          <w:p w14:paraId="526B8645"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020AF4DD"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.140</w:t>
            </w:r>
          </w:p>
        </w:tc>
        <w:tc>
          <w:tcPr>
            <w:tcW w:w="1010" w:type="dxa"/>
            <w:tcBorders>
              <w:top w:val="nil"/>
              <w:bottom w:val="nil"/>
            </w:tcBorders>
            <w:shd w:val="clear" w:color="auto" w:fill="FFFFFF"/>
            <w:vAlign w:val="center"/>
          </w:tcPr>
          <w:p w14:paraId="7960760F"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.805</w:t>
            </w:r>
          </w:p>
        </w:tc>
        <w:tc>
          <w:tcPr>
            <w:tcW w:w="1010" w:type="dxa"/>
            <w:tcBorders>
              <w:top w:val="nil"/>
              <w:bottom w:val="nil"/>
            </w:tcBorders>
            <w:shd w:val="clear" w:color="auto" w:fill="FFFFFF"/>
            <w:vAlign w:val="center"/>
          </w:tcPr>
          <w:p w14:paraId="049E0B00"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3E18B89F"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.088</w:t>
            </w:r>
          </w:p>
        </w:tc>
      </w:tr>
      <w:tr w:rsidR="00322893" w:rsidRPr="00CF592B" w14:paraId="4591D31F"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3090ABB3"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growth2</w:t>
            </w:r>
          </w:p>
        </w:tc>
        <w:tc>
          <w:tcPr>
            <w:tcW w:w="1009" w:type="dxa"/>
            <w:tcBorders>
              <w:top w:val="nil"/>
              <w:left w:val="single" w:sz="16" w:space="0" w:color="000000"/>
              <w:bottom w:val="nil"/>
            </w:tcBorders>
            <w:shd w:val="clear" w:color="auto" w:fill="FFFFFF"/>
            <w:vAlign w:val="center"/>
          </w:tcPr>
          <w:p w14:paraId="3917B89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.270</w:t>
            </w:r>
          </w:p>
        </w:tc>
        <w:tc>
          <w:tcPr>
            <w:tcW w:w="1009" w:type="dxa"/>
            <w:tcBorders>
              <w:top w:val="nil"/>
              <w:bottom w:val="nil"/>
            </w:tcBorders>
            <w:shd w:val="clear" w:color="auto" w:fill="FFFFFF"/>
            <w:vAlign w:val="center"/>
          </w:tcPr>
          <w:p w14:paraId="5E12168E"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76F83646"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2B4722D4"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.833</w:t>
            </w:r>
          </w:p>
        </w:tc>
        <w:tc>
          <w:tcPr>
            <w:tcW w:w="1010" w:type="dxa"/>
            <w:tcBorders>
              <w:top w:val="nil"/>
              <w:bottom w:val="nil"/>
            </w:tcBorders>
            <w:shd w:val="clear" w:color="auto" w:fill="FFFFFF"/>
            <w:vAlign w:val="center"/>
          </w:tcPr>
          <w:p w14:paraId="630FDB2E"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72586E71"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.147</w:t>
            </w:r>
          </w:p>
        </w:tc>
      </w:tr>
      <w:tr w:rsidR="00322893" w:rsidRPr="00CF592B" w14:paraId="24AADC8F"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065D1FA9"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consumption1</w:t>
            </w:r>
          </w:p>
        </w:tc>
        <w:tc>
          <w:tcPr>
            <w:tcW w:w="1009" w:type="dxa"/>
            <w:tcBorders>
              <w:top w:val="nil"/>
              <w:left w:val="single" w:sz="16" w:space="0" w:color="000000"/>
              <w:bottom w:val="nil"/>
            </w:tcBorders>
            <w:shd w:val="clear" w:color="auto" w:fill="FFFFFF"/>
            <w:vAlign w:val="center"/>
          </w:tcPr>
          <w:p w14:paraId="3D94503D"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.302</w:t>
            </w:r>
          </w:p>
        </w:tc>
        <w:tc>
          <w:tcPr>
            <w:tcW w:w="1009" w:type="dxa"/>
            <w:tcBorders>
              <w:top w:val="nil"/>
              <w:bottom w:val="nil"/>
            </w:tcBorders>
            <w:shd w:val="clear" w:color="auto" w:fill="FFFFFF"/>
            <w:vAlign w:val="center"/>
          </w:tcPr>
          <w:p w14:paraId="7DD716B0"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3F8E58A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.153</w:t>
            </w:r>
          </w:p>
        </w:tc>
        <w:tc>
          <w:tcPr>
            <w:tcW w:w="1010" w:type="dxa"/>
            <w:tcBorders>
              <w:top w:val="nil"/>
              <w:bottom w:val="nil"/>
            </w:tcBorders>
            <w:shd w:val="clear" w:color="auto" w:fill="FFFFFF"/>
            <w:vAlign w:val="center"/>
          </w:tcPr>
          <w:p w14:paraId="52EC8657"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.877</w:t>
            </w:r>
          </w:p>
        </w:tc>
        <w:tc>
          <w:tcPr>
            <w:tcW w:w="1010" w:type="dxa"/>
            <w:tcBorders>
              <w:top w:val="nil"/>
              <w:bottom w:val="nil"/>
            </w:tcBorders>
            <w:shd w:val="clear" w:color="auto" w:fill="FFFFFF"/>
            <w:vAlign w:val="center"/>
          </w:tcPr>
          <w:p w14:paraId="56EA98D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00F72749"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.294</w:t>
            </w:r>
          </w:p>
        </w:tc>
      </w:tr>
      <w:tr w:rsidR="00322893" w:rsidRPr="00CF592B" w14:paraId="5631AA75"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49DC26E7"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consumption2</w:t>
            </w:r>
          </w:p>
        </w:tc>
        <w:tc>
          <w:tcPr>
            <w:tcW w:w="1009" w:type="dxa"/>
            <w:tcBorders>
              <w:top w:val="nil"/>
              <w:left w:val="single" w:sz="16" w:space="0" w:color="000000"/>
              <w:bottom w:val="nil"/>
            </w:tcBorders>
            <w:shd w:val="clear" w:color="auto" w:fill="FFFFFF"/>
            <w:vAlign w:val="center"/>
          </w:tcPr>
          <w:p w14:paraId="1DCD3FCD"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.197</w:t>
            </w:r>
          </w:p>
        </w:tc>
        <w:tc>
          <w:tcPr>
            <w:tcW w:w="1009" w:type="dxa"/>
            <w:tcBorders>
              <w:top w:val="nil"/>
              <w:bottom w:val="nil"/>
            </w:tcBorders>
            <w:shd w:val="clear" w:color="auto" w:fill="FFFFFF"/>
            <w:vAlign w:val="center"/>
          </w:tcPr>
          <w:p w14:paraId="66156F64"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5F5F39F3"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633F0B52"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.926</w:t>
            </w:r>
          </w:p>
        </w:tc>
        <w:tc>
          <w:tcPr>
            <w:tcW w:w="1010" w:type="dxa"/>
            <w:tcBorders>
              <w:top w:val="nil"/>
              <w:bottom w:val="nil"/>
            </w:tcBorders>
            <w:shd w:val="clear" w:color="auto" w:fill="FFFFFF"/>
            <w:vAlign w:val="center"/>
          </w:tcPr>
          <w:p w14:paraId="04A24626"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6069CED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.572</w:t>
            </w:r>
          </w:p>
        </w:tc>
      </w:tr>
      <w:tr w:rsidR="00322893" w:rsidRPr="00CF592B" w14:paraId="65AD1EC8"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4A6530DB"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production3</w:t>
            </w:r>
          </w:p>
        </w:tc>
        <w:tc>
          <w:tcPr>
            <w:tcW w:w="1009" w:type="dxa"/>
            <w:tcBorders>
              <w:top w:val="nil"/>
              <w:left w:val="single" w:sz="16" w:space="0" w:color="000000"/>
              <w:bottom w:val="nil"/>
            </w:tcBorders>
            <w:shd w:val="clear" w:color="auto" w:fill="FFFFFF"/>
            <w:vAlign w:val="center"/>
          </w:tcPr>
          <w:p w14:paraId="2710200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.270</w:t>
            </w:r>
          </w:p>
        </w:tc>
        <w:tc>
          <w:tcPr>
            <w:tcW w:w="1009" w:type="dxa"/>
            <w:tcBorders>
              <w:top w:val="nil"/>
              <w:bottom w:val="nil"/>
            </w:tcBorders>
            <w:shd w:val="clear" w:color="auto" w:fill="FFFFFF"/>
            <w:vAlign w:val="center"/>
          </w:tcPr>
          <w:p w14:paraId="30AA21B6"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09DC032F"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5872E12A"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.919</w:t>
            </w:r>
          </w:p>
        </w:tc>
        <w:tc>
          <w:tcPr>
            <w:tcW w:w="1010" w:type="dxa"/>
            <w:tcBorders>
              <w:top w:val="nil"/>
              <w:bottom w:val="nil"/>
            </w:tcBorders>
            <w:shd w:val="clear" w:color="auto" w:fill="FFFFFF"/>
            <w:vAlign w:val="center"/>
          </w:tcPr>
          <w:p w14:paraId="4A34DFD9"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697C6EA2"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.526</w:t>
            </w:r>
          </w:p>
        </w:tc>
      </w:tr>
      <w:tr w:rsidR="00322893" w:rsidRPr="00CF592B" w14:paraId="0811A430"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3D82C802"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production4</w:t>
            </w:r>
          </w:p>
        </w:tc>
        <w:tc>
          <w:tcPr>
            <w:tcW w:w="1009" w:type="dxa"/>
            <w:tcBorders>
              <w:top w:val="nil"/>
              <w:left w:val="single" w:sz="16" w:space="0" w:color="000000"/>
              <w:bottom w:val="nil"/>
            </w:tcBorders>
            <w:shd w:val="clear" w:color="auto" w:fill="FFFFFF"/>
            <w:vAlign w:val="center"/>
          </w:tcPr>
          <w:p w14:paraId="5D3FB709"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p>
        </w:tc>
        <w:tc>
          <w:tcPr>
            <w:tcW w:w="1009" w:type="dxa"/>
            <w:tcBorders>
              <w:top w:val="nil"/>
              <w:bottom w:val="nil"/>
            </w:tcBorders>
            <w:shd w:val="clear" w:color="auto" w:fill="FFFFFF"/>
            <w:vAlign w:val="center"/>
          </w:tcPr>
          <w:p w14:paraId="705DCAF4"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593FE80D"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03B62CD8"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.959</w:t>
            </w:r>
          </w:p>
        </w:tc>
        <w:tc>
          <w:tcPr>
            <w:tcW w:w="1010" w:type="dxa"/>
            <w:tcBorders>
              <w:top w:val="nil"/>
              <w:bottom w:val="nil"/>
            </w:tcBorders>
            <w:shd w:val="clear" w:color="auto" w:fill="FFFFFF"/>
            <w:vAlign w:val="center"/>
          </w:tcPr>
          <w:p w14:paraId="7EE30014"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65870682"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.803</w:t>
            </w:r>
          </w:p>
        </w:tc>
      </w:tr>
      <w:tr w:rsidR="00322893" w:rsidRPr="00CF592B" w14:paraId="77F24CC1" w14:textId="77777777" w:rsidTr="00322893">
        <w:trPr>
          <w:cantSplit/>
        </w:trPr>
        <w:tc>
          <w:tcPr>
            <w:tcW w:w="1483" w:type="dxa"/>
            <w:tcBorders>
              <w:top w:val="nil"/>
              <w:left w:val="single" w:sz="16" w:space="0" w:color="000000"/>
              <w:bottom w:val="nil"/>
              <w:right w:val="single" w:sz="16" w:space="0" w:color="000000"/>
            </w:tcBorders>
            <w:shd w:val="clear" w:color="auto" w:fill="FFFFFF"/>
            <w:vAlign w:val="center"/>
          </w:tcPr>
          <w:p w14:paraId="27D47BB0"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consumption3</w:t>
            </w:r>
          </w:p>
        </w:tc>
        <w:tc>
          <w:tcPr>
            <w:tcW w:w="1009" w:type="dxa"/>
            <w:tcBorders>
              <w:top w:val="nil"/>
              <w:left w:val="single" w:sz="16" w:space="0" w:color="000000"/>
              <w:bottom w:val="nil"/>
            </w:tcBorders>
            <w:shd w:val="clear" w:color="auto" w:fill="FFFFFF"/>
            <w:vAlign w:val="center"/>
          </w:tcPr>
          <w:p w14:paraId="1D99D5E6"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.260</w:t>
            </w:r>
          </w:p>
        </w:tc>
        <w:tc>
          <w:tcPr>
            <w:tcW w:w="1009" w:type="dxa"/>
            <w:tcBorders>
              <w:top w:val="nil"/>
              <w:bottom w:val="nil"/>
            </w:tcBorders>
            <w:shd w:val="clear" w:color="auto" w:fill="FFFFFF"/>
            <w:vAlign w:val="center"/>
          </w:tcPr>
          <w:p w14:paraId="31AF8C8E"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tcBorders>
            <w:shd w:val="clear" w:color="auto" w:fill="FFFFFF"/>
            <w:vAlign w:val="center"/>
          </w:tcPr>
          <w:p w14:paraId="36AFFFAC"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nil"/>
            </w:tcBorders>
            <w:shd w:val="clear" w:color="auto" w:fill="FFFFFF"/>
            <w:vAlign w:val="center"/>
          </w:tcPr>
          <w:p w14:paraId="18F04C64"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.925</w:t>
            </w:r>
          </w:p>
        </w:tc>
        <w:tc>
          <w:tcPr>
            <w:tcW w:w="1010" w:type="dxa"/>
            <w:tcBorders>
              <w:top w:val="nil"/>
              <w:bottom w:val="nil"/>
            </w:tcBorders>
            <w:shd w:val="clear" w:color="auto" w:fill="FFFFFF"/>
            <w:vAlign w:val="center"/>
          </w:tcPr>
          <w:p w14:paraId="55AF692D"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nil"/>
              <w:right w:val="single" w:sz="16" w:space="0" w:color="000000"/>
            </w:tcBorders>
            <w:shd w:val="clear" w:color="auto" w:fill="FFFFFF"/>
            <w:vAlign w:val="center"/>
          </w:tcPr>
          <w:p w14:paraId="4562BCD0"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.562</w:t>
            </w:r>
          </w:p>
        </w:tc>
      </w:tr>
      <w:tr w:rsidR="00322893" w:rsidRPr="00CF592B" w14:paraId="1B3CB942" w14:textId="77777777" w:rsidTr="00322893">
        <w:trPr>
          <w:cantSplit/>
        </w:trPr>
        <w:tc>
          <w:tcPr>
            <w:tcW w:w="1483" w:type="dxa"/>
            <w:tcBorders>
              <w:top w:val="nil"/>
              <w:left w:val="single" w:sz="16" w:space="0" w:color="000000"/>
              <w:bottom w:val="single" w:sz="16" w:space="0" w:color="000000"/>
              <w:right w:val="single" w:sz="16" w:space="0" w:color="000000"/>
            </w:tcBorders>
            <w:shd w:val="clear" w:color="auto" w:fill="FFFFFF"/>
            <w:vAlign w:val="center"/>
          </w:tcPr>
          <w:p w14:paraId="2577761C" w14:textId="77777777" w:rsidR="00322893" w:rsidRPr="00CF592B" w:rsidRDefault="00322893" w:rsidP="00322893">
            <w:pPr>
              <w:autoSpaceDE w:val="0"/>
              <w:autoSpaceDN w:val="0"/>
              <w:adjustRightInd w:val="0"/>
              <w:spacing w:after="0" w:line="320" w:lineRule="atLeast"/>
              <w:ind w:left="60" w:right="60"/>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consumption4</w:t>
            </w:r>
          </w:p>
        </w:tc>
        <w:tc>
          <w:tcPr>
            <w:tcW w:w="1009" w:type="dxa"/>
            <w:tcBorders>
              <w:top w:val="nil"/>
              <w:left w:val="single" w:sz="16" w:space="0" w:color="000000"/>
              <w:bottom w:val="single" w:sz="16" w:space="0" w:color="000000"/>
            </w:tcBorders>
            <w:shd w:val="clear" w:color="auto" w:fill="FFFFFF"/>
            <w:vAlign w:val="center"/>
          </w:tcPr>
          <w:p w14:paraId="72FADC85"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.256</w:t>
            </w:r>
          </w:p>
        </w:tc>
        <w:tc>
          <w:tcPr>
            <w:tcW w:w="1009" w:type="dxa"/>
            <w:tcBorders>
              <w:top w:val="nil"/>
              <w:bottom w:val="single" w:sz="16" w:space="0" w:color="000000"/>
            </w:tcBorders>
            <w:shd w:val="clear" w:color="auto" w:fill="FFFFFF"/>
            <w:vAlign w:val="center"/>
          </w:tcPr>
          <w:p w14:paraId="1CEADE0B"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single" w:sz="16" w:space="0" w:color="000000"/>
            </w:tcBorders>
            <w:shd w:val="clear" w:color="auto" w:fill="FFFFFF"/>
            <w:vAlign w:val="center"/>
          </w:tcPr>
          <w:p w14:paraId="79550C0E"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.200</w:t>
            </w:r>
            <w:r w:rsidRPr="00CF592B">
              <w:rPr>
                <w:rFonts w:ascii="Times New Roman" w:hAnsi="Times New Roman" w:cs="Times New Roman"/>
                <w:color w:val="000000"/>
                <w:sz w:val="24"/>
                <w:szCs w:val="24"/>
                <w:vertAlign w:val="superscript"/>
                <w:lang w:bidi="ar-SA"/>
              </w:rPr>
              <w:t>*</w:t>
            </w:r>
          </w:p>
        </w:tc>
        <w:tc>
          <w:tcPr>
            <w:tcW w:w="1010" w:type="dxa"/>
            <w:tcBorders>
              <w:top w:val="nil"/>
              <w:bottom w:val="single" w:sz="16" w:space="0" w:color="000000"/>
            </w:tcBorders>
            <w:shd w:val="clear" w:color="auto" w:fill="FFFFFF"/>
            <w:vAlign w:val="center"/>
          </w:tcPr>
          <w:p w14:paraId="4EBC80E7"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.932</w:t>
            </w:r>
          </w:p>
        </w:tc>
        <w:tc>
          <w:tcPr>
            <w:tcW w:w="1010" w:type="dxa"/>
            <w:tcBorders>
              <w:top w:val="nil"/>
              <w:bottom w:val="single" w:sz="16" w:space="0" w:color="000000"/>
            </w:tcBorders>
            <w:shd w:val="clear" w:color="auto" w:fill="FFFFFF"/>
            <w:vAlign w:val="center"/>
          </w:tcPr>
          <w:p w14:paraId="30A9F5A9"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5</w:t>
            </w:r>
          </w:p>
        </w:tc>
        <w:tc>
          <w:tcPr>
            <w:tcW w:w="1010" w:type="dxa"/>
            <w:tcBorders>
              <w:top w:val="nil"/>
              <w:bottom w:val="single" w:sz="16" w:space="0" w:color="000000"/>
              <w:right w:val="single" w:sz="16" w:space="0" w:color="000000"/>
            </w:tcBorders>
            <w:shd w:val="clear" w:color="auto" w:fill="FFFFFF"/>
            <w:vAlign w:val="center"/>
          </w:tcPr>
          <w:p w14:paraId="034222C6" w14:textId="77777777" w:rsidR="00322893" w:rsidRPr="00CF592B" w:rsidRDefault="00322893" w:rsidP="00322893">
            <w:pPr>
              <w:autoSpaceDE w:val="0"/>
              <w:autoSpaceDN w:val="0"/>
              <w:adjustRightInd w:val="0"/>
              <w:spacing w:after="0" w:line="320" w:lineRule="atLeast"/>
              <w:ind w:left="60" w:right="60"/>
              <w:jc w:val="right"/>
              <w:rPr>
                <w:rFonts w:ascii="Times New Roman" w:hAnsi="Times New Roman" w:cs="Times New Roman"/>
                <w:color w:val="000000"/>
                <w:sz w:val="24"/>
                <w:szCs w:val="24"/>
                <w:lang w:bidi="ar-SA"/>
              </w:rPr>
            </w:pPr>
            <w:r w:rsidRPr="00CF592B">
              <w:rPr>
                <w:rFonts w:ascii="Times New Roman" w:hAnsi="Times New Roman" w:cs="Times New Roman"/>
                <w:color w:val="000000"/>
                <w:sz w:val="24"/>
                <w:szCs w:val="24"/>
                <w:lang w:bidi="ar-SA"/>
              </w:rPr>
              <w:t>.608</w:t>
            </w:r>
          </w:p>
        </w:tc>
      </w:tr>
    </w:tbl>
    <w:p w14:paraId="56AE212A" w14:textId="713B2FE2" w:rsidR="000476EC" w:rsidRPr="00EB0D23" w:rsidRDefault="000476EC" w:rsidP="00FF38E8">
      <w:pPr>
        <w:jc w:val="both"/>
        <w:rPr>
          <w:rFonts w:ascii="Times New Roman" w:hAnsi="Times New Roman" w:cs="Times New Roman"/>
          <w:sz w:val="24"/>
          <w:szCs w:val="24"/>
        </w:rPr>
      </w:pPr>
    </w:p>
    <w:p w14:paraId="06A8D2F6" w14:textId="15B1E38A" w:rsidR="000476EC" w:rsidRPr="00EB0D23" w:rsidRDefault="000476EC" w:rsidP="00FF38E8">
      <w:pPr>
        <w:jc w:val="both"/>
        <w:rPr>
          <w:rFonts w:ascii="Times New Roman" w:hAnsi="Times New Roman" w:cs="Times New Roman"/>
          <w:sz w:val="24"/>
          <w:szCs w:val="24"/>
        </w:rPr>
      </w:pPr>
    </w:p>
    <w:p w14:paraId="6472D323" w14:textId="241AD3C9" w:rsidR="000476EC" w:rsidRPr="00EB0D23" w:rsidRDefault="000476EC" w:rsidP="00FF38E8">
      <w:pPr>
        <w:jc w:val="both"/>
        <w:rPr>
          <w:rFonts w:ascii="Times New Roman" w:hAnsi="Times New Roman" w:cs="Times New Roman"/>
          <w:sz w:val="24"/>
          <w:szCs w:val="24"/>
        </w:rPr>
      </w:pPr>
    </w:p>
    <w:p w14:paraId="775DBD23" w14:textId="77777777" w:rsidR="00CF592B" w:rsidRPr="00CF592B" w:rsidRDefault="00CF592B" w:rsidP="00CF592B">
      <w:pPr>
        <w:autoSpaceDE w:val="0"/>
        <w:autoSpaceDN w:val="0"/>
        <w:adjustRightInd w:val="0"/>
        <w:spacing w:after="0" w:line="240" w:lineRule="auto"/>
        <w:rPr>
          <w:rFonts w:ascii="Times New Roman" w:hAnsi="Times New Roman" w:cs="Times New Roman"/>
          <w:sz w:val="24"/>
          <w:szCs w:val="24"/>
          <w:lang w:bidi="ar-SA"/>
        </w:rPr>
      </w:pPr>
    </w:p>
    <w:p w14:paraId="3ABD4986" w14:textId="77777777" w:rsidR="00CF592B" w:rsidRPr="00CF592B" w:rsidRDefault="00CF592B" w:rsidP="00CF592B">
      <w:pPr>
        <w:autoSpaceDE w:val="0"/>
        <w:autoSpaceDN w:val="0"/>
        <w:adjustRightInd w:val="0"/>
        <w:spacing w:after="0" w:line="400" w:lineRule="atLeast"/>
        <w:rPr>
          <w:rFonts w:ascii="Times New Roman" w:hAnsi="Times New Roman" w:cs="Times New Roman"/>
          <w:sz w:val="24"/>
          <w:szCs w:val="24"/>
          <w:lang w:bidi="ar-SA"/>
        </w:rPr>
      </w:pPr>
    </w:p>
    <w:p w14:paraId="343B9957" w14:textId="3EC73CEB" w:rsidR="000476EC" w:rsidRPr="00EB0D23" w:rsidRDefault="000476EC" w:rsidP="00FF38E8">
      <w:pPr>
        <w:jc w:val="both"/>
        <w:rPr>
          <w:rFonts w:ascii="Times New Roman" w:hAnsi="Times New Roman" w:cs="Times New Roman"/>
          <w:sz w:val="24"/>
          <w:szCs w:val="24"/>
        </w:rPr>
      </w:pPr>
    </w:p>
    <w:p w14:paraId="7C78E214" w14:textId="448609E2" w:rsidR="00AA0FFE" w:rsidRPr="00EB0D23" w:rsidRDefault="00AA0FFE" w:rsidP="00FF38E8">
      <w:pPr>
        <w:jc w:val="both"/>
        <w:rPr>
          <w:rFonts w:ascii="Times New Roman" w:hAnsi="Times New Roman" w:cs="Times New Roman"/>
          <w:sz w:val="24"/>
          <w:szCs w:val="24"/>
        </w:rPr>
      </w:pPr>
    </w:p>
    <w:p w14:paraId="6535FD3D" w14:textId="6340FAB4" w:rsidR="00AA0FFE" w:rsidRPr="00EB0D23" w:rsidRDefault="00AA0FFE" w:rsidP="00FF38E8">
      <w:pPr>
        <w:jc w:val="both"/>
        <w:rPr>
          <w:rFonts w:ascii="Times New Roman" w:hAnsi="Times New Roman" w:cs="Times New Roman"/>
          <w:sz w:val="24"/>
          <w:szCs w:val="24"/>
        </w:rPr>
      </w:pPr>
    </w:p>
    <w:p w14:paraId="1012094B" w14:textId="66258156" w:rsidR="00CF1C0D" w:rsidRDefault="00CF1C0D" w:rsidP="00103959">
      <w:pPr>
        <w:autoSpaceDE w:val="0"/>
        <w:autoSpaceDN w:val="0"/>
        <w:adjustRightInd w:val="0"/>
        <w:spacing w:after="0" w:line="240" w:lineRule="auto"/>
        <w:rPr>
          <w:rFonts w:ascii="Times New Roman" w:hAnsi="Times New Roman" w:cs="Times New Roman"/>
          <w:sz w:val="24"/>
          <w:szCs w:val="24"/>
        </w:rPr>
      </w:pPr>
    </w:p>
    <w:p w14:paraId="47DFBFFF" w14:textId="77777777" w:rsidR="00A675CA" w:rsidRDefault="00A675CA" w:rsidP="00103959">
      <w:pPr>
        <w:autoSpaceDE w:val="0"/>
        <w:autoSpaceDN w:val="0"/>
        <w:adjustRightInd w:val="0"/>
        <w:spacing w:after="0" w:line="240" w:lineRule="auto"/>
        <w:rPr>
          <w:rFonts w:ascii="Times New Roman" w:hAnsi="Times New Roman" w:cs="Times New Roman"/>
          <w:sz w:val="24"/>
          <w:szCs w:val="24"/>
          <w:lang w:bidi="ar-SA"/>
        </w:rPr>
      </w:pPr>
    </w:p>
    <w:p w14:paraId="57087C2A" w14:textId="6DD567DC" w:rsidR="00CF1C0D" w:rsidRPr="00103959" w:rsidRDefault="00CF1C0D" w:rsidP="00A675CA">
      <w:pPr>
        <w:jc w:val="both"/>
        <w:rPr>
          <w:rFonts w:ascii="Times New Roman" w:hAnsi="Times New Roman" w:cs="Times New Roman"/>
          <w:sz w:val="24"/>
          <w:szCs w:val="24"/>
        </w:rPr>
      </w:pPr>
      <w:r>
        <w:rPr>
          <w:rFonts w:ascii="Times New Roman" w:hAnsi="Times New Roman" w:cs="Times New Roman"/>
          <w:sz w:val="24"/>
          <w:szCs w:val="24"/>
        </w:rPr>
        <w:t>Source: Compiled from SPSS</w:t>
      </w:r>
    </w:p>
    <w:tbl>
      <w:tblPr>
        <w:tblW w:w="533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07"/>
        <w:gridCol w:w="1576"/>
        <w:gridCol w:w="1050"/>
        <w:gridCol w:w="1160"/>
        <w:gridCol w:w="1160"/>
        <w:gridCol w:w="1160"/>
        <w:gridCol w:w="1160"/>
        <w:gridCol w:w="565"/>
        <w:gridCol w:w="565"/>
        <w:gridCol w:w="833"/>
      </w:tblGrid>
      <w:tr w:rsidR="00103959" w:rsidRPr="00103959" w14:paraId="6917E6BB" w14:textId="77777777" w:rsidTr="00322893">
        <w:trPr>
          <w:cantSplit/>
          <w:trHeight w:val="363"/>
        </w:trPr>
        <w:tc>
          <w:tcPr>
            <w:tcW w:w="5000" w:type="pct"/>
            <w:gridSpan w:val="10"/>
            <w:tcBorders>
              <w:top w:val="nil"/>
              <w:left w:val="nil"/>
              <w:bottom w:val="nil"/>
              <w:right w:val="nil"/>
            </w:tcBorders>
            <w:shd w:val="clear" w:color="auto" w:fill="FFFFFF"/>
          </w:tcPr>
          <w:p w14:paraId="77D608AE" w14:textId="6E112CAF" w:rsidR="00103959" w:rsidRPr="00103959" w:rsidRDefault="00CF1C0D" w:rsidP="00103959">
            <w:pPr>
              <w:autoSpaceDE w:val="0"/>
              <w:autoSpaceDN w:val="0"/>
              <w:adjustRightInd w:val="0"/>
              <w:spacing w:after="0" w:line="320" w:lineRule="atLeast"/>
              <w:ind w:left="60" w:right="60"/>
              <w:jc w:val="center"/>
              <w:rPr>
                <w:rFonts w:ascii="Times New Roman" w:hAnsi="Times New Roman" w:cs="Times New Roman"/>
                <w:color w:val="000000"/>
                <w:sz w:val="24"/>
                <w:szCs w:val="24"/>
                <w:lang w:bidi="ar-SA"/>
              </w:rPr>
            </w:pPr>
            <w:r>
              <w:rPr>
                <w:rFonts w:ascii="Times New Roman" w:hAnsi="Times New Roman" w:cs="Times New Roman"/>
                <w:b/>
                <w:bCs/>
                <w:color w:val="000000"/>
                <w:sz w:val="24"/>
                <w:szCs w:val="24"/>
                <w:lang w:bidi="ar-SA"/>
              </w:rPr>
              <w:t>Table-</w:t>
            </w:r>
            <w:r w:rsidR="00A675CA">
              <w:rPr>
                <w:rFonts w:ascii="Times New Roman" w:hAnsi="Times New Roman" w:cs="Times New Roman"/>
                <w:b/>
                <w:bCs/>
                <w:color w:val="000000"/>
                <w:sz w:val="24"/>
                <w:szCs w:val="24"/>
                <w:lang w:bidi="ar-SA"/>
              </w:rPr>
              <w:t>4</w:t>
            </w:r>
            <w:r>
              <w:rPr>
                <w:rFonts w:ascii="Times New Roman" w:hAnsi="Times New Roman" w:cs="Times New Roman"/>
                <w:b/>
                <w:bCs/>
                <w:color w:val="000000"/>
                <w:sz w:val="24"/>
                <w:szCs w:val="24"/>
                <w:lang w:bidi="ar-SA"/>
              </w:rPr>
              <w:t xml:space="preserve">: </w:t>
            </w:r>
            <w:r w:rsidR="00103959" w:rsidRPr="00103959">
              <w:rPr>
                <w:rFonts w:ascii="Times New Roman" w:hAnsi="Times New Roman" w:cs="Times New Roman"/>
                <w:b/>
                <w:bCs/>
                <w:color w:val="000000"/>
                <w:sz w:val="24"/>
                <w:szCs w:val="24"/>
                <w:lang w:bidi="ar-SA"/>
              </w:rPr>
              <w:t>Paired Samples Test</w:t>
            </w:r>
          </w:p>
        </w:tc>
      </w:tr>
      <w:tr w:rsidR="00103959" w:rsidRPr="00103959" w14:paraId="1789CDE1" w14:textId="77777777" w:rsidTr="00322893">
        <w:trPr>
          <w:cantSplit/>
          <w:trHeight w:val="514"/>
        </w:trPr>
        <w:tc>
          <w:tcPr>
            <w:tcW w:w="1032" w:type="pct"/>
            <w:gridSpan w:val="2"/>
            <w:vMerge w:val="restart"/>
            <w:tcBorders>
              <w:top w:val="single" w:sz="16" w:space="0" w:color="000000"/>
              <w:left w:val="single" w:sz="16" w:space="0" w:color="000000"/>
              <w:bottom w:val="nil"/>
              <w:right w:val="nil"/>
            </w:tcBorders>
            <w:shd w:val="clear" w:color="auto" w:fill="FFFFFF"/>
          </w:tcPr>
          <w:p w14:paraId="54FB86F3" w14:textId="77777777" w:rsidR="00103959" w:rsidRPr="00103959" w:rsidRDefault="00103959" w:rsidP="00103959">
            <w:pPr>
              <w:rPr>
                <w:rFonts w:ascii="Times New Roman" w:hAnsi="Times New Roman" w:cs="Times New Roman"/>
                <w:sz w:val="24"/>
                <w:szCs w:val="24"/>
                <w:lang w:bidi="ar-SA"/>
              </w:rPr>
            </w:pPr>
          </w:p>
        </w:tc>
        <w:tc>
          <w:tcPr>
            <w:tcW w:w="2935" w:type="pct"/>
            <w:gridSpan w:val="5"/>
            <w:tcBorders>
              <w:top w:val="single" w:sz="16" w:space="0" w:color="000000"/>
              <w:left w:val="single" w:sz="16" w:space="0" w:color="000000"/>
            </w:tcBorders>
            <w:shd w:val="clear" w:color="auto" w:fill="FFFFFF"/>
          </w:tcPr>
          <w:p w14:paraId="5074EB26"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Paired Differences</w:t>
            </w:r>
          </w:p>
        </w:tc>
        <w:tc>
          <w:tcPr>
            <w:tcW w:w="298" w:type="pct"/>
            <w:vMerge w:val="restart"/>
            <w:tcBorders>
              <w:top w:val="single" w:sz="16" w:space="0" w:color="000000"/>
            </w:tcBorders>
            <w:shd w:val="clear" w:color="auto" w:fill="FFFFFF"/>
          </w:tcPr>
          <w:p w14:paraId="306DE69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t</w:t>
            </w:r>
          </w:p>
        </w:tc>
        <w:tc>
          <w:tcPr>
            <w:tcW w:w="298" w:type="pct"/>
            <w:vMerge w:val="restart"/>
            <w:tcBorders>
              <w:top w:val="single" w:sz="16" w:space="0" w:color="000000"/>
            </w:tcBorders>
            <w:shd w:val="clear" w:color="auto" w:fill="FFFFFF"/>
          </w:tcPr>
          <w:p w14:paraId="0334549A" w14:textId="77777777" w:rsidR="00103959" w:rsidRPr="00103959" w:rsidRDefault="00103959" w:rsidP="00103959">
            <w:pPr>
              <w:rPr>
                <w:rFonts w:ascii="Times New Roman" w:hAnsi="Times New Roman" w:cs="Times New Roman"/>
                <w:sz w:val="24"/>
                <w:szCs w:val="24"/>
                <w:lang w:bidi="ar-SA"/>
              </w:rPr>
            </w:pPr>
            <w:proofErr w:type="spellStart"/>
            <w:r w:rsidRPr="00103959">
              <w:rPr>
                <w:rFonts w:ascii="Times New Roman" w:hAnsi="Times New Roman" w:cs="Times New Roman"/>
                <w:sz w:val="24"/>
                <w:szCs w:val="24"/>
                <w:lang w:bidi="ar-SA"/>
              </w:rPr>
              <w:t>df</w:t>
            </w:r>
            <w:proofErr w:type="spellEnd"/>
          </w:p>
        </w:tc>
        <w:tc>
          <w:tcPr>
            <w:tcW w:w="436" w:type="pct"/>
            <w:vMerge w:val="restart"/>
            <w:tcBorders>
              <w:top w:val="single" w:sz="16" w:space="0" w:color="000000"/>
              <w:right w:val="single" w:sz="16" w:space="0" w:color="000000"/>
            </w:tcBorders>
            <w:shd w:val="clear" w:color="auto" w:fill="FFFFFF"/>
          </w:tcPr>
          <w:p w14:paraId="099E4355"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Sig. (2-tailed)</w:t>
            </w:r>
          </w:p>
        </w:tc>
      </w:tr>
      <w:tr w:rsidR="00322893" w:rsidRPr="00EB0D23" w14:paraId="7B521C7F" w14:textId="77777777" w:rsidTr="00322893">
        <w:trPr>
          <w:cantSplit/>
          <w:trHeight w:val="1211"/>
        </w:trPr>
        <w:tc>
          <w:tcPr>
            <w:tcW w:w="1032" w:type="pct"/>
            <w:gridSpan w:val="2"/>
            <w:vMerge/>
            <w:tcBorders>
              <w:top w:val="single" w:sz="16" w:space="0" w:color="000000"/>
              <w:left w:val="single" w:sz="16" w:space="0" w:color="000000"/>
              <w:bottom w:val="nil"/>
              <w:right w:val="nil"/>
            </w:tcBorders>
            <w:shd w:val="clear" w:color="auto" w:fill="FFFFFF"/>
          </w:tcPr>
          <w:p w14:paraId="1CABEB7A" w14:textId="77777777" w:rsidR="00103959" w:rsidRPr="00103959" w:rsidRDefault="00103959" w:rsidP="00103959">
            <w:pPr>
              <w:rPr>
                <w:rFonts w:ascii="Times New Roman" w:hAnsi="Times New Roman" w:cs="Times New Roman"/>
                <w:sz w:val="24"/>
                <w:szCs w:val="24"/>
                <w:lang w:bidi="ar-SA"/>
              </w:rPr>
            </w:pPr>
          </w:p>
        </w:tc>
        <w:tc>
          <w:tcPr>
            <w:tcW w:w="542" w:type="pct"/>
            <w:vMerge w:val="restart"/>
            <w:tcBorders>
              <w:left w:val="single" w:sz="16" w:space="0" w:color="000000"/>
            </w:tcBorders>
            <w:shd w:val="clear" w:color="auto" w:fill="FFFFFF"/>
          </w:tcPr>
          <w:p w14:paraId="0A755B2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Mean</w:t>
            </w:r>
          </w:p>
        </w:tc>
        <w:tc>
          <w:tcPr>
            <w:tcW w:w="598" w:type="pct"/>
            <w:vMerge w:val="restart"/>
            <w:shd w:val="clear" w:color="auto" w:fill="FFFFFF"/>
          </w:tcPr>
          <w:p w14:paraId="5336053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Std. Deviation</w:t>
            </w:r>
          </w:p>
        </w:tc>
        <w:tc>
          <w:tcPr>
            <w:tcW w:w="598" w:type="pct"/>
            <w:vMerge w:val="restart"/>
            <w:shd w:val="clear" w:color="auto" w:fill="FFFFFF"/>
          </w:tcPr>
          <w:p w14:paraId="5A724F8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Std. Error Mean</w:t>
            </w:r>
          </w:p>
        </w:tc>
        <w:tc>
          <w:tcPr>
            <w:tcW w:w="1196" w:type="pct"/>
            <w:gridSpan w:val="2"/>
            <w:shd w:val="clear" w:color="auto" w:fill="FFFFFF"/>
          </w:tcPr>
          <w:p w14:paraId="6E62CA75"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95% Confidence Interval of the Difference</w:t>
            </w:r>
          </w:p>
        </w:tc>
        <w:tc>
          <w:tcPr>
            <w:tcW w:w="298" w:type="pct"/>
            <w:vMerge/>
            <w:tcBorders>
              <w:top w:val="single" w:sz="16" w:space="0" w:color="000000"/>
            </w:tcBorders>
            <w:shd w:val="clear" w:color="auto" w:fill="FFFFFF"/>
          </w:tcPr>
          <w:p w14:paraId="5EFDDC78" w14:textId="77777777" w:rsidR="00103959" w:rsidRPr="00103959" w:rsidRDefault="00103959" w:rsidP="00103959">
            <w:pPr>
              <w:rPr>
                <w:rFonts w:ascii="Times New Roman" w:hAnsi="Times New Roman" w:cs="Times New Roman"/>
                <w:sz w:val="24"/>
                <w:szCs w:val="24"/>
                <w:lang w:bidi="ar-SA"/>
              </w:rPr>
            </w:pPr>
          </w:p>
        </w:tc>
        <w:tc>
          <w:tcPr>
            <w:tcW w:w="298" w:type="pct"/>
            <w:vMerge/>
            <w:tcBorders>
              <w:top w:val="single" w:sz="16" w:space="0" w:color="000000"/>
            </w:tcBorders>
            <w:shd w:val="clear" w:color="auto" w:fill="FFFFFF"/>
          </w:tcPr>
          <w:p w14:paraId="4BFFCC12" w14:textId="77777777" w:rsidR="00103959" w:rsidRPr="00103959" w:rsidRDefault="00103959" w:rsidP="00103959">
            <w:pPr>
              <w:rPr>
                <w:rFonts w:ascii="Times New Roman" w:hAnsi="Times New Roman" w:cs="Times New Roman"/>
                <w:sz w:val="24"/>
                <w:szCs w:val="24"/>
                <w:lang w:bidi="ar-SA"/>
              </w:rPr>
            </w:pPr>
          </w:p>
        </w:tc>
        <w:tc>
          <w:tcPr>
            <w:tcW w:w="436" w:type="pct"/>
            <w:vMerge/>
            <w:tcBorders>
              <w:top w:val="single" w:sz="16" w:space="0" w:color="000000"/>
              <w:right w:val="single" w:sz="16" w:space="0" w:color="000000"/>
            </w:tcBorders>
            <w:shd w:val="clear" w:color="auto" w:fill="FFFFFF"/>
          </w:tcPr>
          <w:p w14:paraId="2F44BEA2" w14:textId="77777777" w:rsidR="00103959" w:rsidRPr="00103959" w:rsidRDefault="00103959" w:rsidP="00103959">
            <w:pPr>
              <w:rPr>
                <w:rFonts w:ascii="Times New Roman" w:hAnsi="Times New Roman" w:cs="Times New Roman"/>
                <w:sz w:val="24"/>
                <w:szCs w:val="24"/>
                <w:lang w:bidi="ar-SA"/>
              </w:rPr>
            </w:pPr>
          </w:p>
        </w:tc>
      </w:tr>
      <w:tr w:rsidR="00322893" w:rsidRPr="00EB0D23" w14:paraId="4999AF32" w14:textId="77777777" w:rsidTr="00322893">
        <w:trPr>
          <w:cantSplit/>
          <w:trHeight w:val="559"/>
        </w:trPr>
        <w:tc>
          <w:tcPr>
            <w:tcW w:w="1032" w:type="pct"/>
            <w:gridSpan w:val="2"/>
            <w:vMerge/>
            <w:tcBorders>
              <w:top w:val="single" w:sz="16" w:space="0" w:color="000000"/>
              <w:left w:val="single" w:sz="16" w:space="0" w:color="000000"/>
              <w:bottom w:val="nil"/>
              <w:right w:val="nil"/>
            </w:tcBorders>
            <w:shd w:val="clear" w:color="auto" w:fill="FFFFFF"/>
          </w:tcPr>
          <w:p w14:paraId="181C3790" w14:textId="77777777" w:rsidR="00103959" w:rsidRPr="00103959" w:rsidRDefault="00103959" w:rsidP="00103959">
            <w:pPr>
              <w:rPr>
                <w:rFonts w:ascii="Times New Roman" w:hAnsi="Times New Roman" w:cs="Times New Roman"/>
                <w:sz w:val="24"/>
                <w:szCs w:val="24"/>
                <w:lang w:bidi="ar-SA"/>
              </w:rPr>
            </w:pPr>
          </w:p>
        </w:tc>
        <w:tc>
          <w:tcPr>
            <w:tcW w:w="542" w:type="pct"/>
            <w:vMerge/>
            <w:tcBorders>
              <w:left w:val="single" w:sz="16" w:space="0" w:color="000000"/>
            </w:tcBorders>
            <w:shd w:val="clear" w:color="auto" w:fill="FFFFFF"/>
          </w:tcPr>
          <w:p w14:paraId="0D8C59DF" w14:textId="77777777" w:rsidR="00103959" w:rsidRPr="00103959" w:rsidRDefault="00103959" w:rsidP="00103959">
            <w:pPr>
              <w:rPr>
                <w:rFonts w:ascii="Times New Roman" w:hAnsi="Times New Roman" w:cs="Times New Roman"/>
                <w:sz w:val="24"/>
                <w:szCs w:val="24"/>
                <w:lang w:bidi="ar-SA"/>
              </w:rPr>
            </w:pPr>
          </w:p>
        </w:tc>
        <w:tc>
          <w:tcPr>
            <w:tcW w:w="598" w:type="pct"/>
            <w:vMerge/>
            <w:shd w:val="clear" w:color="auto" w:fill="FFFFFF"/>
          </w:tcPr>
          <w:p w14:paraId="5C606939" w14:textId="77777777" w:rsidR="00103959" w:rsidRPr="00103959" w:rsidRDefault="00103959" w:rsidP="00103959">
            <w:pPr>
              <w:rPr>
                <w:rFonts w:ascii="Times New Roman" w:hAnsi="Times New Roman" w:cs="Times New Roman"/>
                <w:sz w:val="24"/>
                <w:szCs w:val="24"/>
                <w:lang w:bidi="ar-SA"/>
              </w:rPr>
            </w:pPr>
          </w:p>
        </w:tc>
        <w:tc>
          <w:tcPr>
            <w:tcW w:w="598" w:type="pct"/>
            <w:vMerge/>
            <w:shd w:val="clear" w:color="auto" w:fill="FFFFFF"/>
          </w:tcPr>
          <w:p w14:paraId="79B185CC" w14:textId="77777777" w:rsidR="00103959" w:rsidRPr="00103959" w:rsidRDefault="00103959" w:rsidP="00103959">
            <w:pPr>
              <w:rPr>
                <w:rFonts w:ascii="Times New Roman" w:hAnsi="Times New Roman" w:cs="Times New Roman"/>
                <w:sz w:val="24"/>
                <w:szCs w:val="24"/>
                <w:lang w:bidi="ar-SA"/>
              </w:rPr>
            </w:pPr>
          </w:p>
        </w:tc>
        <w:tc>
          <w:tcPr>
            <w:tcW w:w="598" w:type="pct"/>
            <w:tcBorders>
              <w:bottom w:val="single" w:sz="16" w:space="0" w:color="000000"/>
            </w:tcBorders>
            <w:shd w:val="clear" w:color="auto" w:fill="FFFFFF"/>
          </w:tcPr>
          <w:p w14:paraId="2A66D800"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Lower</w:t>
            </w:r>
          </w:p>
        </w:tc>
        <w:tc>
          <w:tcPr>
            <w:tcW w:w="598" w:type="pct"/>
            <w:tcBorders>
              <w:bottom w:val="single" w:sz="16" w:space="0" w:color="000000"/>
            </w:tcBorders>
            <w:shd w:val="clear" w:color="auto" w:fill="FFFFFF"/>
          </w:tcPr>
          <w:p w14:paraId="4679394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Upper</w:t>
            </w:r>
          </w:p>
        </w:tc>
        <w:tc>
          <w:tcPr>
            <w:tcW w:w="298" w:type="pct"/>
            <w:vMerge/>
            <w:tcBorders>
              <w:top w:val="single" w:sz="16" w:space="0" w:color="000000"/>
            </w:tcBorders>
            <w:shd w:val="clear" w:color="auto" w:fill="FFFFFF"/>
          </w:tcPr>
          <w:p w14:paraId="3396A133" w14:textId="77777777" w:rsidR="00103959" w:rsidRPr="00103959" w:rsidRDefault="00103959" w:rsidP="00103959">
            <w:pPr>
              <w:rPr>
                <w:rFonts w:ascii="Times New Roman" w:hAnsi="Times New Roman" w:cs="Times New Roman"/>
                <w:sz w:val="24"/>
                <w:szCs w:val="24"/>
                <w:lang w:bidi="ar-SA"/>
              </w:rPr>
            </w:pPr>
          </w:p>
        </w:tc>
        <w:tc>
          <w:tcPr>
            <w:tcW w:w="298" w:type="pct"/>
            <w:vMerge/>
            <w:tcBorders>
              <w:top w:val="single" w:sz="16" w:space="0" w:color="000000"/>
            </w:tcBorders>
            <w:shd w:val="clear" w:color="auto" w:fill="FFFFFF"/>
          </w:tcPr>
          <w:p w14:paraId="34B2DD8C" w14:textId="77777777" w:rsidR="00103959" w:rsidRPr="00103959" w:rsidRDefault="00103959" w:rsidP="00103959">
            <w:pPr>
              <w:rPr>
                <w:rFonts w:ascii="Times New Roman" w:hAnsi="Times New Roman" w:cs="Times New Roman"/>
                <w:sz w:val="24"/>
                <w:szCs w:val="24"/>
                <w:lang w:bidi="ar-SA"/>
              </w:rPr>
            </w:pPr>
          </w:p>
        </w:tc>
        <w:tc>
          <w:tcPr>
            <w:tcW w:w="436" w:type="pct"/>
            <w:vMerge/>
            <w:tcBorders>
              <w:top w:val="single" w:sz="16" w:space="0" w:color="000000"/>
              <w:right w:val="single" w:sz="16" w:space="0" w:color="000000"/>
            </w:tcBorders>
            <w:shd w:val="clear" w:color="auto" w:fill="FFFFFF"/>
          </w:tcPr>
          <w:p w14:paraId="4CEA0A4B" w14:textId="77777777" w:rsidR="00103959" w:rsidRPr="00103959" w:rsidRDefault="00103959" w:rsidP="00103959">
            <w:pPr>
              <w:rPr>
                <w:rFonts w:ascii="Times New Roman" w:hAnsi="Times New Roman" w:cs="Times New Roman"/>
                <w:sz w:val="24"/>
                <w:szCs w:val="24"/>
                <w:lang w:bidi="ar-SA"/>
              </w:rPr>
            </w:pPr>
          </w:p>
        </w:tc>
      </w:tr>
      <w:tr w:rsidR="00322893" w:rsidRPr="00EB0D23" w14:paraId="0CD80F4D" w14:textId="77777777" w:rsidTr="00322893">
        <w:trPr>
          <w:cantSplit/>
          <w:trHeight w:val="832"/>
        </w:trPr>
        <w:tc>
          <w:tcPr>
            <w:tcW w:w="209" w:type="pct"/>
            <w:tcBorders>
              <w:top w:val="single" w:sz="16" w:space="0" w:color="000000"/>
              <w:left w:val="single" w:sz="16" w:space="0" w:color="000000"/>
              <w:bottom w:val="nil"/>
              <w:right w:val="nil"/>
            </w:tcBorders>
            <w:shd w:val="clear" w:color="auto" w:fill="FFFFFF"/>
            <w:vAlign w:val="center"/>
          </w:tcPr>
          <w:p w14:paraId="27E2E3B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lastRenderedPageBreak/>
              <w:t>Pair 1</w:t>
            </w:r>
          </w:p>
        </w:tc>
        <w:tc>
          <w:tcPr>
            <w:tcW w:w="823" w:type="pct"/>
            <w:tcBorders>
              <w:top w:val="single" w:sz="16" w:space="0" w:color="000000"/>
              <w:left w:val="nil"/>
              <w:bottom w:val="nil"/>
              <w:right w:val="single" w:sz="16" w:space="0" w:color="000000"/>
            </w:tcBorders>
            <w:shd w:val="clear" w:color="auto" w:fill="FFFFFF"/>
            <w:vAlign w:val="center"/>
          </w:tcPr>
          <w:p w14:paraId="4647839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production1 - production2</w:t>
            </w:r>
          </w:p>
        </w:tc>
        <w:tc>
          <w:tcPr>
            <w:tcW w:w="542" w:type="pct"/>
            <w:tcBorders>
              <w:top w:val="single" w:sz="16" w:space="0" w:color="000000"/>
              <w:left w:val="single" w:sz="16" w:space="0" w:color="000000"/>
              <w:bottom w:val="nil"/>
            </w:tcBorders>
            <w:shd w:val="clear" w:color="auto" w:fill="FFFFFF"/>
            <w:vAlign w:val="center"/>
          </w:tcPr>
          <w:p w14:paraId="408FAE4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489.20000</w:t>
            </w:r>
          </w:p>
        </w:tc>
        <w:tc>
          <w:tcPr>
            <w:tcW w:w="598" w:type="pct"/>
            <w:tcBorders>
              <w:top w:val="single" w:sz="16" w:space="0" w:color="000000"/>
              <w:bottom w:val="nil"/>
            </w:tcBorders>
            <w:shd w:val="clear" w:color="auto" w:fill="FFFFFF"/>
            <w:vAlign w:val="center"/>
          </w:tcPr>
          <w:p w14:paraId="631D36F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2692.26479</w:t>
            </w:r>
          </w:p>
        </w:tc>
        <w:tc>
          <w:tcPr>
            <w:tcW w:w="598" w:type="pct"/>
            <w:tcBorders>
              <w:top w:val="single" w:sz="16" w:space="0" w:color="000000"/>
              <w:bottom w:val="nil"/>
            </w:tcBorders>
            <w:shd w:val="clear" w:color="auto" w:fill="FFFFFF"/>
            <w:vAlign w:val="center"/>
          </w:tcPr>
          <w:p w14:paraId="72D1F6B8"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1204.01742</w:t>
            </w:r>
          </w:p>
        </w:tc>
        <w:tc>
          <w:tcPr>
            <w:tcW w:w="598" w:type="pct"/>
            <w:tcBorders>
              <w:top w:val="single" w:sz="16" w:space="0" w:color="000000"/>
              <w:bottom w:val="nil"/>
            </w:tcBorders>
            <w:shd w:val="clear" w:color="auto" w:fill="FFFFFF"/>
            <w:vAlign w:val="center"/>
          </w:tcPr>
          <w:p w14:paraId="7BF2E701"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-2853.68826</w:t>
            </w:r>
          </w:p>
        </w:tc>
        <w:tc>
          <w:tcPr>
            <w:tcW w:w="598" w:type="pct"/>
            <w:tcBorders>
              <w:top w:val="single" w:sz="16" w:space="0" w:color="000000"/>
              <w:bottom w:val="nil"/>
            </w:tcBorders>
            <w:shd w:val="clear" w:color="auto" w:fill="FFFFFF"/>
            <w:vAlign w:val="center"/>
          </w:tcPr>
          <w:p w14:paraId="3094FC70"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3832.08826</w:t>
            </w:r>
          </w:p>
        </w:tc>
        <w:tc>
          <w:tcPr>
            <w:tcW w:w="298" w:type="pct"/>
            <w:tcBorders>
              <w:top w:val="single" w:sz="16" w:space="0" w:color="000000"/>
              <w:bottom w:val="nil"/>
            </w:tcBorders>
            <w:shd w:val="clear" w:color="auto" w:fill="FFFFFF"/>
            <w:vAlign w:val="center"/>
          </w:tcPr>
          <w:p w14:paraId="5EA51DE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.406</w:t>
            </w:r>
          </w:p>
        </w:tc>
        <w:tc>
          <w:tcPr>
            <w:tcW w:w="298" w:type="pct"/>
            <w:tcBorders>
              <w:top w:val="single" w:sz="16" w:space="0" w:color="000000"/>
              <w:bottom w:val="nil"/>
            </w:tcBorders>
            <w:shd w:val="clear" w:color="auto" w:fill="FFFFFF"/>
            <w:vAlign w:val="center"/>
          </w:tcPr>
          <w:p w14:paraId="7F789F6C"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w:t>
            </w:r>
          </w:p>
        </w:tc>
        <w:tc>
          <w:tcPr>
            <w:tcW w:w="436" w:type="pct"/>
            <w:tcBorders>
              <w:top w:val="single" w:sz="16" w:space="0" w:color="000000"/>
              <w:bottom w:val="nil"/>
              <w:right w:val="single" w:sz="16" w:space="0" w:color="000000"/>
            </w:tcBorders>
            <w:shd w:val="clear" w:color="auto" w:fill="FFFFFF"/>
            <w:vAlign w:val="center"/>
          </w:tcPr>
          <w:p w14:paraId="5188EC2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.705</w:t>
            </w:r>
          </w:p>
        </w:tc>
      </w:tr>
      <w:tr w:rsidR="00322893" w:rsidRPr="00EB0D23" w14:paraId="200F2DA3" w14:textId="77777777" w:rsidTr="00322893">
        <w:trPr>
          <w:cantSplit/>
          <w:trHeight w:val="848"/>
        </w:trPr>
        <w:tc>
          <w:tcPr>
            <w:tcW w:w="209" w:type="pct"/>
            <w:tcBorders>
              <w:top w:val="nil"/>
              <w:left w:val="single" w:sz="16" w:space="0" w:color="000000"/>
              <w:bottom w:val="nil"/>
              <w:right w:val="nil"/>
            </w:tcBorders>
            <w:shd w:val="clear" w:color="auto" w:fill="FFFFFF"/>
            <w:vAlign w:val="center"/>
          </w:tcPr>
          <w:p w14:paraId="57CFB7D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 2</w:t>
            </w:r>
          </w:p>
        </w:tc>
        <w:tc>
          <w:tcPr>
            <w:tcW w:w="823" w:type="pct"/>
            <w:tcBorders>
              <w:top w:val="nil"/>
              <w:left w:val="nil"/>
              <w:bottom w:val="nil"/>
              <w:right w:val="single" w:sz="16" w:space="0" w:color="000000"/>
            </w:tcBorders>
            <w:shd w:val="clear" w:color="auto" w:fill="FFFFFF"/>
            <w:vAlign w:val="center"/>
          </w:tcPr>
          <w:p w14:paraId="56CD90A5"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growth1 - growth2</w:t>
            </w:r>
          </w:p>
        </w:tc>
        <w:tc>
          <w:tcPr>
            <w:tcW w:w="542" w:type="pct"/>
            <w:tcBorders>
              <w:top w:val="nil"/>
              <w:left w:val="single" w:sz="16" w:space="0" w:color="000000"/>
              <w:bottom w:val="nil"/>
            </w:tcBorders>
            <w:shd w:val="clear" w:color="auto" w:fill="FFFFFF"/>
            <w:vAlign w:val="center"/>
          </w:tcPr>
          <w:p w14:paraId="2732F158"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22.93000</w:t>
            </w:r>
          </w:p>
        </w:tc>
        <w:tc>
          <w:tcPr>
            <w:tcW w:w="598" w:type="pct"/>
            <w:tcBorders>
              <w:top w:val="nil"/>
              <w:bottom w:val="nil"/>
            </w:tcBorders>
            <w:shd w:val="clear" w:color="auto" w:fill="FFFFFF"/>
            <w:vAlign w:val="center"/>
          </w:tcPr>
          <w:p w14:paraId="686189EB"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70.43332</w:t>
            </w:r>
          </w:p>
        </w:tc>
        <w:tc>
          <w:tcPr>
            <w:tcW w:w="598" w:type="pct"/>
            <w:tcBorders>
              <w:top w:val="nil"/>
              <w:bottom w:val="nil"/>
            </w:tcBorders>
            <w:shd w:val="clear" w:color="auto" w:fill="FFFFFF"/>
            <w:vAlign w:val="center"/>
          </w:tcPr>
          <w:p w14:paraId="00F4EB1F"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31.49874</w:t>
            </w:r>
          </w:p>
        </w:tc>
        <w:tc>
          <w:tcPr>
            <w:tcW w:w="598" w:type="pct"/>
            <w:tcBorders>
              <w:top w:val="nil"/>
              <w:bottom w:val="nil"/>
            </w:tcBorders>
            <w:shd w:val="clear" w:color="auto" w:fill="FFFFFF"/>
            <w:vAlign w:val="center"/>
          </w:tcPr>
          <w:p w14:paraId="4EECA335"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-64.52451</w:t>
            </w:r>
          </w:p>
        </w:tc>
        <w:tc>
          <w:tcPr>
            <w:tcW w:w="598" w:type="pct"/>
            <w:tcBorders>
              <w:top w:val="nil"/>
              <w:bottom w:val="nil"/>
            </w:tcBorders>
            <w:shd w:val="clear" w:color="auto" w:fill="FFFFFF"/>
            <w:vAlign w:val="center"/>
          </w:tcPr>
          <w:p w14:paraId="673E02C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110.38451</w:t>
            </w:r>
          </w:p>
        </w:tc>
        <w:tc>
          <w:tcPr>
            <w:tcW w:w="298" w:type="pct"/>
            <w:tcBorders>
              <w:top w:val="nil"/>
              <w:bottom w:val="nil"/>
            </w:tcBorders>
            <w:shd w:val="clear" w:color="auto" w:fill="FFFFFF"/>
            <w:vAlign w:val="center"/>
          </w:tcPr>
          <w:p w14:paraId="50FD0EB1"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.728</w:t>
            </w:r>
          </w:p>
        </w:tc>
        <w:tc>
          <w:tcPr>
            <w:tcW w:w="298" w:type="pct"/>
            <w:tcBorders>
              <w:top w:val="nil"/>
              <w:bottom w:val="nil"/>
            </w:tcBorders>
            <w:shd w:val="clear" w:color="auto" w:fill="FFFFFF"/>
            <w:vAlign w:val="center"/>
          </w:tcPr>
          <w:p w14:paraId="17296EF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w:t>
            </w:r>
          </w:p>
        </w:tc>
        <w:tc>
          <w:tcPr>
            <w:tcW w:w="436" w:type="pct"/>
            <w:tcBorders>
              <w:top w:val="nil"/>
              <w:bottom w:val="nil"/>
              <w:right w:val="single" w:sz="16" w:space="0" w:color="000000"/>
            </w:tcBorders>
            <w:shd w:val="clear" w:color="auto" w:fill="FFFFFF"/>
            <w:vAlign w:val="center"/>
          </w:tcPr>
          <w:p w14:paraId="2B92212B"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.507</w:t>
            </w:r>
          </w:p>
        </w:tc>
      </w:tr>
      <w:tr w:rsidR="00322893" w:rsidRPr="00EB0D23" w14:paraId="7F2A7CFA" w14:textId="77777777" w:rsidTr="00322893">
        <w:trPr>
          <w:cantSplit/>
          <w:trHeight w:val="832"/>
        </w:trPr>
        <w:tc>
          <w:tcPr>
            <w:tcW w:w="209" w:type="pct"/>
            <w:tcBorders>
              <w:top w:val="nil"/>
              <w:left w:val="single" w:sz="16" w:space="0" w:color="000000"/>
              <w:bottom w:val="nil"/>
              <w:right w:val="nil"/>
            </w:tcBorders>
            <w:shd w:val="clear" w:color="auto" w:fill="FFFFFF"/>
            <w:vAlign w:val="center"/>
          </w:tcPr>
          <w:p w14:paraId="015696D8"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 3</w:t>
            </w:r>
          </w:p>
        </w:tc>
        <w:tc>
          <w:tcPr>
            <w:tcW w:w="823" w:type="pct"/>
            <w:tcBorders>
              <w:top w:val="nil"/>
              <w:left w:val="nil"/>
              <w:bottom w:val="nil"/>
              <w:right w:val="single" w:sz="16" w:space="0" w:color="000000"/>
            </w:tcBorders>
            <w:shd w:val="clear" w:color="auto" w:fill="FFFFFF"/>
            <w:vAlign w:val="center"/>
          </w:tcPr>
          <w:p w14:paraId="71E57AAA"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consumption1 - consumption2</w:t>
            </w:r>
          </w:p>
        </w:tc>
        <w:tc>
          <w:tcPr>
            <w:tcW w:w="542" w:type="pct"/>
            <w:tcBorders>
              <w:top w:val="nil"/>
              <w:left w:val="single" w:sz="16" w:space="0" w:color="000000"/>
              <w:bottom w:val="nil"/>
            </w:tcBorders>
            <w:shd w:val="clear" w:color="auto" w:fill="FFFFFF"/>
            <w:vAlign w:val="center"/>
          </w:tcPr>
          <w:p w14:paraId="0B9FAD52"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428.00000</w:t>
            </w:r>
          </w:p>
        </w:tc>
        <w:tc>
          <w:tcPr>
            <w:tcW w:w="598" w:type="pct"/>
            <w:tcBorders>
              <w:top w:val="nil"/>
              <w:bottom w:val="nil"/>
            </w:tcBorders>
            <w:shd w:val="clear" w:color="auto" w:fill="FFFFFF"/>
            <w:vAlign w:val="center"/>
          </w:tcPr>
          <w:p w14:paraId="07C8CE7A"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2367.26002</w:t>
            </w:r>
          </w:p>
        </w:tc>
        <w:tc>
          <w:tcPr>
            <w:tcW w:w="598" w:type="pct"/>
            <w:tcBorders>
              <w:top w:val="nil"/>
              <w:bottom w:val="nil"/>
            </w:tcBorders>
            <w:shd w:val="clear" w:color="auto" w:fill="FFFFFF"/>
            <w:vAlign w:val="center"/>
          </w:tcPr>
          <w:p w14:paraId="3DA5CDD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1058.67086</w:t>
            </w:r>
          </w:p>
        </w:tc>
        <w:tc>
          <w:tcPr>
            <w:tcW w:w="598" w:type="pct"/>
            <w:tcBorders>
              <w:top w:val="nil"/>
              <w:bottom w:val="nil"/>
            </w:tcBorders>
            <w:shd w:val="clear" w:color="auto" w:fill="FFFFFF"/>
            <w:vAlign w:val="center"/>
          </w:tcPr>
          <w:p w14:paraId="1CD5F7A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-2511.34154</w:t>
            </w:r>
          </w:p>
        </w:tc>
        <w:tc>
          <w:tcPr>
            <w:tcW w:w="598" w:type="pct"/>
            <w:tcBorders>
              <w:top w:val="nil"/>
              <w:bottom w:val="nil"/>
            </w:tcBorders>
            <w:shd w:val="clear" w:color="auto" w:fill="FFFFFF"/>
            <w:vAlign w:val="center"/>
          </w:tcPr>
          <w:p w14:paraId="5789F5D7"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3367.34154</w:t>
            </w:r>
          </w:p>
        </w:tc>
        <w:tc>
          <w:tcPr>
            <w:tcW w:w="298" w:type="pct"/>
            <w:tcBorders>
              <w:top w:val="nil"/>
              <w:bottom w:val="nil"/>
            </w:tcBorders>
            <w:shd w:val="clear" w:color="auto" w:fill="FFFFFF"/>
            <w:vAlign w:val="center"/>
          </w:tcPr>
          <w:p w14:paraId="62A919D6"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.404</w:t>
            </w:r>
          </w:p>
        </w:tc>
        <w:tc>
          <w:tcPr>
            <w:tcW w:w="298" w:type="pct"/>
            <w:tcBorders>
              <w:top w:val="nil"/>
              <w:bottom w:val="nil"/>
            </w:tcBorders>
            <w:shd w:val="clear" w:color="auto" w:fill="FFFFFF"/>
            <w:vAlign w:val="center"/>
          </w:tcPr>
          <w:p w14:paraId="0C5113B1"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w:t>
            </w:r>
          </w:p>
        </w:tc>
        <w:tc>
          <w:tcPr>
            <w:tcW w:w="436" w:type="pct"/>
            <w:tcBorders>
              <w:top w:val="nil"/>
              <w:bottom w:val="nil"/>
              <w:right w:val="single" w:sz="16" w:space="0" w:color="000000"/>
            </w:tcBorders>
            <w:shd w:val="clear" w:color="auto" w:fill="FFFFFF"/>
            <w:vAlign w:val="center"/>
          </w:tcPr>
          <w:p w14:paraId="1D6D24D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.707</w:t>
            </w:r>
          </w:p>
        </w:tc>
      </w:tr>
      <w:tr w:rsidR="00322893" w:rsidRPr="00EB0D23" w14:paraId="3EDC5141" w14:textId="77777777" w:rsidTr="00322893">
        <w:trPr>
          <w:cantSplit/>
          <w:trHeight w:val="848"/>
        </w:trPr>
        <w:tc>
          <w:tcPr>
            <w:tcW w:w="209" w:type="pct"/>
            <w:tcBorders>
              <w:top w:val="nil"/>
              <w:left w:val="single" w:sz="16" w:space="0" w:color="000000"/>
              <w:bottom w:val="nil"/>
              <w:right w:val="nil"/>
            </w:tcBorders>
            <w:shd w:val="clear" w:color="auto" w:fill="FFFFFF"/>
            <w:vAlign w:val="center"/>
          </w:tcPr>
          <w:p w14:paraId="1C098A38"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 4</w:t>
            </w:r>
          </w:p>
        </w:tc>
        <w:tc>
          <w:tcPr>
            <w:tcW w:w="823" w:type="pct"/>
            <w:tcBorders>
              <w:top w:val="nil"/>
              <w:left w:val="nil"/>
              <w:bottom w:val="nil"/>
              <w:right w:val="single" w:sz="16" w:space="0" w:color="000000"/>
            </w:tcBorders>
            <w:shd w:val="clear" w:color="auto" w:fill="FFFFFF"/>
            <w:vAlign w:val="center"/>
          </w:tcPr>
          <w:p w14:paraId="3508428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production3 - production4</w:t>
            </w:r>
          </w:p>
        </w:tc>
        <w:tc>
          <w:tcPr>
            <w:tcW w:w="542" w:type="pct"/>
            <w:tcBorders>
              <w:top w:val="nil"/>
              <w:left w:val="single" w:sz="16" w:space="0" w:color="000000"/>
              <w:bottom w:val="nil"/>
            </w:tcBorders>
            <w:shd w:val="clear" w:color="auto" w:fill="FFFFFF"/>
            <w:vAlign w:val="center"/>
          </w:tcPr>
          <w:p w14:paraId="18EC6FF6"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-472.22222</w:t>
            </w:r>
          </w:p>
        </w:tc>
        <w:tc>
          <w:tcPr>
            <w:tcW w:w="598" w:type="pct"/>
            <w:tcBorders>
              <w:top w:val="nil"/>
              <w:bottom w:val="nil"/>
            </w:tcBorders>
            <w:shd w:val="clear" w:color="auto" w:fill="FFFFFF"/>
            <w:vAlign w:val="center"/>
          </w:tcPr>
          <w:p w14:paraId="418FF81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2662.86353</w:t>
            </w:r>
          </w:p>
        </w:tc>
        <w:tc>
          <w:tcPr>
            <w:tcW w:w="598" w:type="pct"/>
            <w:tcBorders>
              <w:top w:val="nil"/>
              <w:bottom w:val="nil"/>
            </w:tcBorders>
            <w:shd w:val="clear" w:color="auto" w:fill="FFFFFF"/>
            <w:vAlign w:val="center"/>
          </w:tcPr>
          <w:p w14:paraId="4B2CC43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887.62118</w:t>
            </w:r>
          </w:p>
        </w:tc>
        <w:tc>
          <w:tcPr>
            <w:tcW w:w="598" w:type="pct"/>
            <w:tcBorders>
              <w:top w:val="nil"/>
              <w:bottom w:val="nil"/>
            </w:tcBorders>
            <w:shd w:val="clear" w:color="auto" w:fill="FFFFFF"/>
            <w:vAlign w:val="center"/>
          </w:tcPr>
          <w:p w14:paraId="0F7097F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-2519.08033</w:t>
            </w:r>
          </w:p>
        </w:tc>
        <w:tc>
          <w:tcPr>
            <w:tcW w:w="598" w:type="pct"/>
            <w:tcBorders>
              <w:top w:val="nil"/>
              <w:bottom w:val="nil"/>
            </w:tcBorders>
            <w:shd w:val="clear" w:color="auto" w:fill="FFFFFF"/>
            <w:vAlign w:val="center"/>
          </w:tcPr>
          <w:p w14:paraId="6D820590"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1574.63588</w:t>
            </w:r>
          </w:p>
        </w:tc>
        <w:tc>
          <w:tcPr>
            <w:tcW w:w="298" w:type="pct"/>
            <w:tcBorders>
              <w:top w:val="nil"/>
              <w:bottom w:val="nil"/>
            </w:tcBorders>
            <w:shd w:val="clear" w:color="auto" w:fill="FFFFFF"/>
            <w:vAlign w:val="center"/>
          </w:tcPr>
          <w:p w14:paraId="301C5FAC"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-.532</w:t>
            </w:r>
          </w:p>
        </w:tc>
        <w:tc>
          <w:tcPr>
            <w:tcW w:w="298" w:type="pct"/>
            <w:tcBorders>
              <w:top w:val="nil"/>
              <w:bottom w:val="nil"/>
            </w:tcBorders>
            <w:shd w:val="clear" w:color="auto" w:fill="FFFFFF"/>
            <w:vAlign w:val="center"/>
          </w:tcPr>
          <w:p w14:paraId="4B8F14C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w:t>
            </w:r>
          </w:p>
        </w:tc>
        <w:tc>
          <w:tcPr>
            <w:tcW w:w="436" w:type="pct"/>
            <w:tcBorders>
              <w:top w:val="nil"/>
              <w:bottom w:val="nil"/>
              <w:right w:val="single" w:sz="16" w:space="0" w:color="000000"/>
            </w:tcBorders>
            <w:shd w:val="clear" w:color="auto" w:fill="FFFFFF"/>
            <w:vAlign w:val="center"/>
          </w:tcPr>
          <w:p w14:paraId="4B1D51EA"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.609</w:t>
            </w:r>
          </w:p>
        </w:tc>
      </w:tr>
      <w:tr w:rsidR="00322893" w:rsidRPr="00EB0D23" w14:paraId="49131CCB" w14:textId="77777777" w:rsidTr="00322893">
        <w:trPr>
          <w:cantSplit/>
          <w:trHeight w:val="832"/>
        </w:trPr>
        <w:tc>
          <w:tcPr>
            <w:tcW w:w="209" w:type="pct"/>
            <w:tcBorders>
              <w:top w:val="nil"/>
              <w:left w:val="single" w:sz="16" w:space="0" w:color="000000"/>
              <w:bottom w:val="nil"/>
              <w:right w:val="nil"/>
            </w:tcBorders>
            <w:shd w:val="clear" w:color="auto" w:fill="FFFFFF"/>
            <w:vAlign w:val="center"/>
          </w:tcPr>
          <w:p w14:paraId="2525FCE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 5</w:t>
            </w:r>
          </w:p>
        </w:tc>
        <w:tc>
          <w:tcPr>
            <w:tcW w:w="823" w:type="pct"/>
            <w:tcBorders>
              <w:top w:val="nil"/>
              <w:left w:val="nil"/>
              <w:bottom w:val="nil"/>
              <w:right w:val="single" w:sz="16" w:space="0" w:color="000000"/>
            </w:tcBorders>
            <w:shd w:val="clear" w:color="auto" w:fill="FFFFFF"/>
            <w:vAlign w:val="center"/>
          </w:tcPr>
          <w:p w14:paraId="3D6354E0"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consumption3 - consumption4</w:t>
            </w:r>
          </w:p>
        </w:tc>
        <w:tc>
          <w:tcPr>
            <w:tcW w:w="542" w:type="pct"/>
            <w:tcBorders>
              <w:top w:val="nil"/>
              <w:left w:val="single" w:sz="16" w:space="0" w:color="000000"/>
              <w:bottom w:val="nil"/>
            </w:tcBorders>
            <w:shd w:val="clear" w:color="auto" w:fill="FFFFFF"/>
            <w:vAlign w:val="center"/>
          </w:tcPr>
          <w:p w14:paraId="26BBE8FF"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-551.11111</w:t>
            </w:r>
          </w:p>
        </w:tc>
        <w:tc>
          <w:tcPr>
            <w:tcW w:w="598" w:type="pct"/>
            <w:tcBorders>
              <w:top w:val="nil"/>
              <w:bottom w:val="nil"/>
            </w:tcBorders>
            <w:shd w:val="clear" w:color="auto" w:fill="FFFFFF"/>
            <w:vAlign w:val="center"/>
          </w:tcPr>
          <w:p w14:paraId="11E64D64"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2591.43032</w:t>
            </w:r>
          </w:p>
        </w:tc>
        <w:tc>
          <w:tcPr>
            <w:tcW w:w="598" w:type="pct"/>
            <w:tcBorders>
              <w:top w:val="nil"/>
              <w:bottom w:val="nil"/>
            </w:tcBorders>
            <w:shd w:val="clear" w:color="auto" w:fill="FFFFFF"/>
            <w:vAlign w:val="center"/>
          </w:tcPr>
          <w:p w14:paraId="4B33A522"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863.81011</w:t>
            </w:r>
          </w:p>
        </w:tc>
        <w:tc>
          <w:tcPr>
            <w:tcW w:w="598" w:type="pct"/>
            <w:tcBorders>
              <w:top w:val="nil"/>
              <w:bottom w:val="nil"/>
            </w:tcBorders>
            <w:shd w:val="clear" w:color="auto" w:fill="FFFFFF"/>
            <w:vAlign w:val="center"/>
          </w:tcPr>
          <w:p w14:paraId="1752DED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-2543.06079</w:t>
            </w:r>
          </w:p>
        </w:tc>
        <w:tc>
          <w:tcPr>
            <w:tcW w:w="598" w:type="pct"/>
            <w:tcBorders>
              <w:top w:val="nil"/>
              <w:bottom w:val="nil"/>
            </w:tcBorders>
            <w:shd w:val="clear" w:color="auto" w:fill="FFFFFF"/>
            <w:vAlign w:val="center"/>
          </w:tcPr>
          <w:p w14:paraId="613BE7F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1440.83857</w:t>
            </w:r>
          </w:p>
        </w:tc>
        <w:tc>
          <w:tcPr>
            <w:tcW w:w="298" w:type="pct"/>
            <w:tcBorders>
              <w:top w:val="nil"/>
              <w:bottom w:val="nil"/>
            </w:tcBorders>
            <w:shd w:val="clear" w:color="auto" w:fill="FFFFFF"/>
            <w:vAlign w:val="center"/>
          </w:tcPr>
          <w:p w14:paraId="523F1DB0"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-.638</w:t>
            </w:r>
          </w:p>
        </w:tc>
        <w:tc>
          <w:tcPr>
            <w:tcW w:w="298" w:type="pct"/>
            <w:tcBorders>
              <w:top w:val="nil"/>
              <w:bottom w:val="nil"/>
            </w:tcBorders>
            <w:shd w:val="clear" w:color="auto" w:fill="FFFFFF"/>
            <w:vAlign w:val="center"/>
          </w:tcPr>
          <w:p w14:paraId="5A62C7CC"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w:t>
            </w:r>
          </w:p>
        </w:tc>
        <w:tc>
          <w:tcPr>
            <w:tcW w:w="436" w:type="pct"/>
            <w:tcBorders>
              <w:top w:val="nil"/>
              <w:bottom w:val="nil"/>
              <w:right w:val="single" w:sz="16" w:space="0" w:color="000000"/>
            </w:tcBorders>
            <w:shd w:val="clear" w:color="auto" w:fill="FFFFFF"/>
            <w:vAlign w:val="center"/>
          </w:tcPr>
          <w:p w14:paraId="1A97B54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.541</w:t>
            </w:r>
          </w:p>
        </w:tc>
      </w:tr>
      <w:tr w:rsidR="00322893" w:rsidRPr="00EB0D23" w14:paraId="0F8EAACA" w14:textId="77777777" w:rsidTr="00322893">
        <w:trPr>
          <w:cantSplit/>
          <w:trHeight w:val="848"/>
        </w:trPr>
        <w:tc>
          <w:tcPr>
            <w:tcW w:w="209" w:type="pct"/>
            <w:tcBorders>
              <w:top w:val="nil"/>
              <w:left w:val="single" w:sz="16" w:space="0" w:color="000000"/>
              <w:bottom w:val="single" w:sz="16" w:space="0" w:color="000000"/>
              <w:right w:val="nil"/>
            </w:tcBorders>
            <w:shd w:val="clear" w:color="auto" w:fill="FFFFFF"/>
            <w:vAlign w:val="center"/>
          </w:tcPr>
          <w:p w14:paraId="7D447F12"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Pair 6</w:t>
            </w:r>
          </w:p>
        </w:tc>
        <w:tc>
          <w:tcPr>
            <w:tcW w:w="823" w:type="pct"/>
            <w:tcBorders>
              <w:top w:val="nil"/>
              <w:left w:val="nil"/>
              <w:bottom w:val="single" w:sz="16" w:space="0" w:color="000000"/>
              <w:right w:val="single" w:sz="16" w:space="0" w:color="000000"/>
            </w:tcBorders>
            <w:shd w:val="clear" w:color="auto" w:fill="FFFFFF"/>
            <w:vAlign w:val="center"/>
          </w:tcPr>
          <w:p w14:paraId="47CBC1E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growth3 - growth4</w:t>
            </w:r>
          </w:p>
        </w:tc>
        <w:tc>
          <w:tcPr>
            <w:tcW w:w="542" w:type="pct"/>
            <w:tcBorders>
              <w:top w:val="nil"/>
              <w:left w:val="single" w:sz="16" w:space="0" w:color="000000"/>
              <w:bottom w:val="single" w:sz="16" w:space="0" w:color="000000"/>
            </w:tcBorders>
            <w:shd w:val="clear" w:color="auto" w:fill="FFFFFF"/>
            <w:vAlign w:val="center"/>
          </w:tcPr>
          <w:p w14:paraId="6ED9EE1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8.48556</w:t>
            </w:r>
          </w:p>
        </w:tc>
        <w:tc>
          <w:tcPr>
            <w:tcW w:w="598" w:type="pct"/>
            <w:tcBorders>
              <w:top w:val="nil"/>
              <w:bottom w:val="single" w:sz="16" w:space="0" w:color="000000"/>
            </w:tcBorders>
            <w:shd w:val="clear" w:color="auto" w:fill="FFFFFF"/>
            <w:vAlign w:val="center"/>
          </w:tcPr>
          <w:p w14:paraId="3990C7C5"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50.66460</w:t>
            </w:r>
          </w:p>
        </w:tc>
        <w:tc>
          <w:tcPr>
            <w:tcW w:w="598" w:type="pct"/>
            <w:tcBorders>
              <w:top w:val="nil"/>
              <w:bottom w:val="single" w:sz="16" w:space="0" w:color="000000"/>
            </w:tcBorders>
            <w:shd w:val="clear" w:color="auto" w:fill="FFFFFF"/>
            <w:vAlign w:val="center"/>
          </w:tcPr>
          <w:p w14:paraId="024CA683"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16.88820</w:t>
            </w:r>
          </w:p>
        </w:tc>
        <w:tc>
          <w:tcPr>
            <w:tcW w:w="598" w:type="pct"/>
            <w:tcBorders>
              <w:top w:val="nil"/>
              <w:bottom w:val="single" w:sz="16" w:space="0" w:color="000000"/>
            </w:tcBorders>
            <w:shd w:val="clear" w:color="auto" w:fill="FFFFFF"/>
            <w:vAlign w:val="center"/>
          </w:tcPr>
          <w:p w14:paraId="519CB02D"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-30.45870</w:t>
            </w:r>
          </w:p>
        </w:tc>
        <w:tc>
          <w:tcPr>
            <w:tcW w:w="598" w:type="pct"/>
            <w:tcBorders>
              <w:top w:val="nil"/>
              <w:bottom w:val="single" w:sz="16" w:space="0" w:color="000000"/>
            </w:tcBorders>
            <w:shd w:val="clear" w:color="auto" w:fill="FFFFFF"/>
            <w:vAlign w:val="center"/>
          </w:tcPr>
          <w:p w14:paraId="031F9E39"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47.42982</w:t>
            </w:r>
          </w:p>
        </w:tc>
        <w:tc>
          <w:tcPr>
            <w:tcW w:w="298" w:type="pct"/>
            <w:tcBorders>
              <w:top w:val="nil"/>
              <w:bottom w:val="single" w:sz="16" w:space="0" w:color="000000"/>
            </w:tcBorders>
            <w:shd w:val="clear" w:color="auto" w:fill="FFFFFF"/>
            <w:vAlign w:val="center"/>
          </w:tcPr>
          <w:p w14:paraId="6F059C17"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.502</w:t>
            </w:r>
          </w:p>
        </w:tc>
        <w:tc>
          <w:tcPr>
            <w:tcW w:w="298" w:type="pct"/>
            <w:tcBorders>
              <w:top w:val="nil"/>
              <w:bottom w:val="single" w:sz="16" w:space="0" w:color="000000"/>
            </w:tcBorders>
            <w:shd w:val="clear" w:color="auto" w:fill="FFFFFF"/>
            <w:vAlign w:val="center"/>
          </w:tcPr>
          <w:p w14:paraId="4541FEB7"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8</w:t>
            </w:r>
          </w:p>
        </w:tc>
        <w:tc>
          <w:tcPr>
            <w:tcW w:w="436" w:type="pct"/>
            <w:tcBorders>
              <w:top w:val="nil"/>
              <w:bottom w:val="single" w:sz="16" w:space="0" w:color="000000"/>
              <w:right w:val="single" w:sz="16" w:space="0" w:color="000000"/>
            </w:tcBorders>
            <w:shd w:val="clear" w:color="auto" w:fill="FFFFFF"/>
            <w:vAlign w:val="center"/>
          </w:tcPr>
          <w:p w14:paraId="0FD593AA" w14:textId="77777777" w:rsidR="00103959" w:rsidRPr="00103959" w:rsidRDefault="00103959" w:rsidP="00103959">
            <w:pPr>
              <w:rPr>
                <w:rFonts w:ascii="Times New Roman" w:hAnsi="Times New Roman" w:cs="Times New Roman"/>
                <w:sz w:val="24"/>
                <w:szCs w:val="24"/>
                <w:lang w:bidi="ar-SA"/>
              </w:rPr>
            </w:pPr>
            <w:r w:rsidRPr="00103959">
              <w:rPr>
                <w:rFonts w:ascii="Times New Roman" w:hAnsi="Times New Roman" w:cs="Times New Roman"/>
                <w:sz w:val="24"/>
                <w:szCs w:val="24"/>
                <w:lang w:bidi="ar-SA"/>
              </w:rPr>
              <w:t>.629</w:t>
            </w:r>
          </w:p>
        </w:tc>
      </w:tr>
    </w:tbl>
    <w:p w14:paraId="4C7C4ADB" w14:textId="5DE069FD" w:rsidR="0088337F" w:rsidRPr="00EB0D23" w:rsidRDefault="00EB0D23" w:rsidP="00FF38E8">
      <w:pPr>
        <w:jc w:val="both"/>
        <w:rPr>
          <w:rFonts w:ascii="Times New Roman" w:hAnsi="Times New Roman" w:cs="Times New Roman"/>
          <w:sz w:val="24"/>
          <w:szCs w:val="24"/>
        </w:rPr>
      </w:pPr>
      <w:r>
        <w:rPr>
          <w:rFonts w:ascii="Times New Roman" w:hAnsi="Times New Roman" w:cs="Times New Roman"/>
          <w:sz w:val="24"/>
          <w:szCs w:val="24"/>
        </w:rPr>
        <w:t>Source: Compiled from SPSS</w:t>
      </w:r>
    </w:p>
    <w:p w14:paraId="35A62197" w14:textId="1376B7F7" w:rsidR="000476EC" w:rsidRPr="00EB0D23" w:rsidRDefault="00AA0FFE" w:rsidP="00FF38E8">
      <w:pPr>
        <w:jc w:val="both"/>
        <w:rPr>
          <w:rFonts w:ascii="Times New Roman" w:hAnsi="Times New Roman" w:cs="Times New Roman"/>
          <w:b/>
          <w:bCs/>
          <w:sz w:val="24"/>
          <w:szCs w:val="24"/>
        </w:rPr>
      </w:pPr>
      <w:r w:rsidRPr="00EB0D23">
        <w:rPr>
          <w:rFonts w:ascii="Times New Roman" w:hAnsi="Times New Roman" w:cs="Times New Roman"/>
          <w:b/>
          <w:bCs/>
          <w:sz w:val="24"/>
          <w:szCs w:val="24"/>
        </w:rPr>
        <w:t>Conclusion and Policy Implication</w:t>
      </w:r>
    </w:p>
    <w:p w14:paraId="264D8564" w14:textId="058B0AF8" w:rsidR="00AA0FFE" w:rsidRPr="00875465" w:rsidRDefault="00AA0FFE" w:rsidP="00875465">
      <w:pPr>
        <w:spacing w:line="360" w:lineRule="auto"/>
        <w:jc w:val="both"/>
        <w:rPr>
          <w:rFonts w:ascii="Times New Roman" w:eastAsia="Times New Roman" w:hAnsi="Times New Roman" w:cs="Times New Roman"/>
          <w:sz w:val="24"/>
          <w:szCs w:val="24"/>
          <w:lang w:eastAsia="en-IN" w:bidi="ar-SA"/>
        </w:rPr>
      </w:pPr>
      <w:r w:rsidRPr="00EB0D23">
        <w:rPr>
          <w:rFonts w:ascii="Times New Roman" w:hAnsi="Times New Roman" w:cs="Times New Roman"/>
          <w:sz w:val="24"/>
          <w:szCs w:val="24"/>
        </w:rPr>
        <w:t>The purpose of this study was to ascertain the changes in production and consumption of millet due to the government awareness schemes.</w:t>
      </w:r>
      <w:r w:rsidR="0088337F" w:rsidRPr="00EB0D23">
        <w:rPr>
          <w:rFonts w:ascii="Times New Roman" w:hAnsi="Times New Roman" w:cs="Times New Roman"/>
          <w:sz w:val="24"/>
          <w:szCs w:val="24"/>
        </w:rPr>
        <w:t xml:space="preserve"> In our result we found that there is no significant difference in the production and consumption of millets in pre and post period of the awareness schemes. This insignificant result is observed for the growth rate also. Hence, we can conclude that though the schemes have helped in increasing the production and consumption of millets in India such growth is not significant. It suggests that the government should put more effort on promoting the benefits of the schemes. Government should provide some concession for the production of millets and provide a minimum support price, which will encourage the farmers to grow more. </w:t>
      </w:r>
      <w:r w:rsidR="00875465" w:rsidRPr="00875465">
        <w:rPr>
          <w:rFonts w:ascii="Times New Roman" w:eastAsia="Times New Roman" w:hAnsi="Times New Roman" w:cs="Times New Roman"/>
          <w:sz w:val="24"/>
          <w:szCs w:val="24"/>
          <w:lang w:eastAsia="en-IN" w:bidi="ar-SA"/>
        </w:rPr>
        <w:t>There are clear links between social media and changing public attitudes, including the possibility</w:t>
      </w:r>
      <w:r w:rsidR="00875465">
        <w:rPr>
          <w:rFonts w:ascii="Times New Roman" w:eastAsia="Times New Roman" w:hAnsi="Times New Roman" w:cs="Times New Roman"/>
          <w:sz w:val="24"/>
          <w:szCs w:val="24"/>
          <w:lang w:eastAsia="en-IN" w:bidi="ar-SA"/>
        </w:rPr>
        <w:t xml:space="preserve"> </w:t>
      </w:r>
      <w:r w:rsidR="00875465" w:rsidRPr="00875465">
        <w:rPr>
          <w:rFonts w:ascii="Times New Roman" w:eastAsia="Times New Roman" w:hAnsi="Times New Roman" w:cs="Times New Roman"/>
          <w:sz w:val="24"/>
          <w:szCs w:val="24"/>
          <w:lang w:eastAsia="en-IN" w:bidi="ar-SA"/>
        </w:rPr>
        <w:t xml:space="preserve">that decisions made in politics will be influenced by public opinion </w:t>
      </w:r>
      <w:r w:rsidR="00875465">
        <w:rPr>
          <w:rFonts w:ascii="Times New Roman" w:eastAsia="Times New Roman" w:hAnsi="Times New Roman" w:cs="Times New Roman"/>
          <w:sz w:val="24"/>
          <w:szCs w:val="24"/>
          <w:lang w:eastAsia="en-IN" w:bidi="ar-SA"/>
        </w:rPr>
        <w:fldChar w:fldCharType="begin" w:fldLock="1"/>
      </w:r>
      <w:r w:rsidR="00875465">
        <w:rPr>
          <w:rFonts w:ascii="Times New Roman" w:eastAsia="Times New Roman" w:hAnsi="Times New Roman" w:cs="Times New Roman"/>
          <w:sz w:val="24"/>
          <w:szCs w:val="24"/>
          <w:lang w:eastAsia="en-IN" w:bidi="ar-SA"/>
        </w:rPr>
        <w:instrText>ADDIN CSL_CITATION {"citationItems":[{"id":"ITEM-1","itemData":{"DOI":"10.9734/ijecc/2023/v13i61835","abstract":"Climate change is a global issue and it needs the attention of everyone for which the United Nations has covered this under Sustainable Development Goals (SDGs13). In this context, this paper attempts to make a bibliometric analysis to get an overview of research works conducted in the field of climate change and sustainable development practices. A total of 889 articles from the Dimension database have been considered for the study and they have been analysed with the help of Biblioshiny and VOS viewer software. Various bibliometric components like thematic evolution, keyword co-occurrence map, top authors etc. have been discussed in the study.  We found that the concerned field is an important research area as the number of documents is showing an increasing trend. So, more studies are expected in future. This paper will help future researchers in choosing the right area of work in the concerned field.","author":[{"dropping-particle":"","family":"Maharana","given":"Arjuna Kumar","non-dropping-particle":"","parse-names":false,"suffix":""},{"dropping-particle":"","family":"Pal","given":"Sudhakar","non-dropping-particle":"","parse-names":false,"suffix":""}],"container-title":"International Journal of Environment and Climate Change","id":"ITEM-1","issue":"6","issued":{"date-parts":[["2023"]]},"page":"361-368","title":"Application of Bibliometric Analysis in the Study of Climate Change and Sustainable Development Practices","type":"article-journal","volume":"13"},"uris":["http://www.mendeley.com/documents/?uuid=b805d6b3-7d76-41d4-8751-6fa169a1de9f"]}],"mendeley":{"formattedCitation":"(Maharana &amp; Pal, 2023)","plainTextFormattedCitation":"(Maharana &amp; Pal, 2023)"},"properties":{"noteIndex":0},"schema":"https://github.com/citation-style-language/schema/raw/master/csl-citation.json"}</w:instrText>
      </w:r>
      <w:r w:rsidR="00875465">
        <w:rPr>
          <w:rFonts w:ascii="Times New Roman" w:eastAsia="Times New Roman" w:hAnsi="Times New Roman" w:cs="Times New Roman"/>
          <w:sz w:val="24"/>
          <w:szCs w:val="24"/>
          <w:lang w:eastAsia="en-IN" w:bidi="ar-SA"/>
        </w:rPr>
        <w:fldChar w:fldCharType="separate"/>
      </w:r>
      <w:r w:rsidR="00875465" w:rsidRPr="00875465">
        <w:rPr>
          <w:rFonts w:ascii="Times New Roman" w:eastAsia="Times New Roman" w:hAnsi="Times New Roman" w:cs="Times New Roman"/>
          <w:noProof/>
          <w:sz w:val="24"/>
          <w:szCs w:val="24"/>
          <w:lang w:eastAsia="en-IN" w:bidi="ar-SA"/>
        </w:rPr>
        <w:t>(Maharana &amp; Pal, 2023)</w:t>
      </w:r>
      <w:r w:rsidR="00875465">
        <w:rPr>
          <w:rFonts w:ascii="Times New Roman" w:eastAsia="Times New Roman" w:hAnsi="Times New Roman" w:cs="Times New Roman"/>
          <w:sz w:val="24"/>
          <w:szCs w:val="24"/>
          <w:lang w:eastAsia="en-IN" w:bidi="ar-SA"/>
        </w:rPr>
        <w:fldChar w:fldCharType="end"/>
      </w:r>
      <w:r w:rsidR="00875465">
        <w:rPr>
          <w:rFonts w:ascii="Times New Roman" w:eastAsia="Times New Roman" w:hAnsi="Times New Roman" w:cs="Times New Roman"/>
          <w:sz w:val="24"/>
          <w:szCs w:val="24"/>
          <w:lang w:eastAsia="en-IN" w:bidi="ar-SA"/>
        </w:rPr>
        <w:t>. So, the young people should organise a digital campaign which can result in more effort in the government side to promote Millet.</w:t>
      </w:r>
    </w:p>
    <w:p w14:paraId="0FDE955C" w14:textId="6EC3940C" w:rsidR="00EB0D23" w:rsidRPr="00EB0D23" w:rsidRDefault="00EB0D23" w:rsidP="00FF38E8">
      <w:pPr>
        <w:jc w:val="both"/>
        <w:rPr>
          <w:rFonts w:ascii="Times New Roman" w:hAnsi="Times New Roman" w:cs="Times New Roman"/>
          <w:b/>
          <w:bCs/>
          <w:sz w:val="24"/>
          <w:szCs w:val="24"/>
        </w:rPr>
      </w:pPr>
      <w:r w:rsidRPr="00EB0D23">
        <w:rPr>
          <w:rFonts w:ascii="Times New Roman" w:hAnsi="Times New Roman" w:cs="Times New Roman"/>
          <w:b/>
          <w:bCs/>
          <w:sz w:val="24"/>
          <w:szCs w:val="24"/>
        </w:rPr>
        <w:t>References</w:t>
      </w:r>
    </w:p>
    <w:p w14:paraId="15FE7E89" w14:textId="77777777" w:rsidR="00875465" w:rsidRPr="00EB0D23" w:rsidRDefault="00875465" w:rsidP="00EB0D23">
      <w:pPr>
        <w:pStyle w:val="NormalWeb"/>
        <w:ind w:left="480" w:hanging="480"/>
        <w:jc w:val="both"/>
      </w:pPr>
      <w:proofErr w:type="spellStart"/>
      <w:r w:rsidRPr="00EB0D23">
        <w:t>Anbukkani</w:t>
      </w:r>
      <w:proofErr w:type="spellEnd"/>
      <w:r w:rsidRPr="00EB0D23">
        <w:t xml:space="preserve">, P., Balaji, S., Nithyashree, M., &amp; Balaji, S. J. (2017). Production and consumption of minor millets in India-A structural break analysis. </w:t>
      </w:r>
      <w:r w:rsidRPr="00EB0D23">
        <w:rPr>
          <w:i/>
          <w:iCs/>
        </w:rPr>
        <w:t>Ann. Agric. Res. New Series</w:t>
      </w:r>
      <w:r w:rsidRPr="00EB0D23">
        <w:t xml:space="preserve">, </w:t>
      </w:r>
      <w:r w:rsidRPr="00EB0D23">
        <w:rPr>
          <w:i/>
          <w:iCs/>
        </w:rPr>
        <w:t>38</w:t>
      </w:r>
      <w:r w:rsidRPr="00EB0D23">
        <w:t>(4), 438–445.</w:t>
      </w:r>
    </w:p>
    <w:p w14:paraId="5F490391" w14:textId="77777777" w:rsidR="00875465" w:rsidRPr="00EB0D23" w:rsidRDefault="00875465" w:rsidP="00EB0D23">
      <w:pPr>
        <w:pStyle w:val="NormalWeb"/>
        <w:ind w:left="480" w:hanging="480"/>
        <w:jc w:val="both"/>
      </w:pPr>
      <w:r w:rsidRPr="00EB0D23">
        <w:t xml:space="preserve">Behera, M. K. (2017). Assessment of the State of Millets Farming in India. </w:t>
      </w:r>
      <w:r w:rsidRPr="00EB0D23">
        <w:rPr>
          <w:i/>
          <w:iCs/>
        </w:rPr>
        <w:t>MOJ Ecology &amp; Environmental Sciences</w:t>
      </w:r>
      <w:r w:rsidRPr="00EB0D23">
        <w:t xml:space="preserve">, </w:t>
      </w:r>
      <w:r w:rsidRPr="00EB0D23">
        <w:rPr>
          <w:i/>
          <w:iCs/>
        </w:rPr>
        <w:t>2</w:t>
      </w:r>
      <w:r w:rsidRPr="00EB0D23">
        <w:t>(1), 1–5. https://doi.org/10.15406/mojes.2017.02.00013</w:t>
      </w:r>
    </w:p>
    <w:p w14:paraId="0F1ABB8E" w14:textId="77777777" w:rsidR="00875465" w:rsidRDefault="00875465" w:rsidP="00875465">
      <w:pPr>
        <w:pStyle w:val="NormalWeb"/>
        <w:ind w:left="480" w:hanging="480"/>
        <w:jc w:val="both"/>
      </w:pPr>
      <w:r>
        <w:lastRenderedPageBreak/>
        <w:t xml:space="preserve">Maharana, A. K., &amp; Pal, S. (2023). Application of Bibliometric Analysis in the Study of Climate Change and Sustainable Development Practices. </w:t>
      </w:r>
      <w:r>
        <w:rPr>
          <w:i/>
          <w:iCs/>
        </w:rPr>
        <w:t>International Journal of Environment and Climate Change</w:t>
      </w:r>
      <w:r>
        <w:t xml:space="preserve">, </w:t>
      </w:r>
      <w:r>
        <w:rPr>
          <w:i/>
          <w:iCs/>
        </w:rPr>
        <w:t>13</w:t>
      </w:r>
      <w:r>
        <w:t>(6), 361–368. https://doi.org/10.9734/ijecc/2023/v13i61835</w:t>
      </w:r>
    </w:p>
    <w:p w14:paraId="0F99DCF4" w14:textId="77777777" w:rsidR="00875465" w:rsidRDefault="00875465" w:rsidP="00875465">
      <w:pPr>
        <w:pStyle w:val="NormalWeb"/>
        <w:ind w:left="480" w:hanging="480"/>
        <w:jc w:val="both"/>
      </w:pPr>
      <w:r>
        <w:t xml:space="preserve">Mahato, G., Jhankar, S. C., &amp; Sharma, A. (2023). Green appetite: Exploring consumer perceptions of sustainably produced oats in Western Odisha. </w:t>
      </w:r>
      <w:r>
        <w:rPr>
          <w:i/>
          <w:iCs/>
        </w:rPr>
        <w:t>International Journal of Research in Management</w:t>
      </w:r>
      <w:r>
        <w:t xml:space="preserve">, </w:t>
      </w:r>
      <w:r>
        <w:rPr>
          <w:i/>
          <w:iCs/>
        </w:rPr>
        <w:t>5</w:t>
      </w:r>
      <w:r>
        <w:t>(2), 212–215. https://doi.org/10.33545/26648792.2023.v5.i2c.110</w:t>
      </w:r>
    </w:p>
    <w:p w14:paraId="1CBE301E" w14:textId="77777777" w:rsidR="00875465" w:rsidRPr="00EB0D23" w:rsidRDefault="00875465" w:rsidP="00EB0D23">
      <w:pPr>
        <w:pStyle w:val="NormalWeb"/>
        <w:ind w:left="480" w:hanging="480"/>
        <w:jc w:val="both"/>
      </w:pPr>
      <w:r w:rsidRPr="00EB0D23">
        <w:t xml:space="preserve">Malaiarasan, U., Paramasivam, R., &amp; Saravanakumar, V. (2022). Choice of millets cultivation in India: </w:t>
      </w:r>
      <w:proofErr w:type="gramStart"/>
      <w:r w:rsidRPr="00EB0D23">
        <w:t>An evidence</w:t>
      </w:r>
      <w:proofErr w:type="gramEnd"/>
      <w:r w:rsidRPr="00EB0D23">
        <w:t xml:space="preserve"> from farm household survey data. In </w:t>
      </w:r>
      <w:r w:rsidRPr="00EB0D23">
        <w:rPr>
          <w:i/>
          <w:iCs/>
        </w:rPr>
        <w:t>Agricultural Economics Research Review</w:t>
      </w:r>
      <w:r w:rsidRPr="00EB0D23">
        <w:t xml:space="preserve"> (Vol. 35, pp. 145–163). https://doi.org/10.5958/0974-0279.2022.00027.1</w:t>
      </w:r>
    </w:p>
    <w:p w14:paraId="4748C092" w14:textId="77777777" w:rsidR="00875465" w:rsidRPr="00EB0D23" w:rsidRDefault="00875465" w:rsidP="00EB0D23">
      <w:pPr>
        <w:pStyle w:val="NormalWeb"/>
        <w:ind w:left="480" w:hanging="480"/>
        <w:jc w:val="both"/>
      </w:pPr>
      <w:r w:rsidRPr="00EB0D23">
        <w:t xml:space="preserve">Meena, R. P., Joshi, D., Bisht, J. K., &amp; Kant, L. (2021). Global Scenario of Millets Cultivation. In </w:t>
      </w:r>
      <w:r w:rsidRPr="00EB0D23">
        <w:rPr>
          <w:i/>
          <w:iCs/>
        </w:rPr>
        <w:t>Millets and Millet Technology</w:t>
      </w:r>
      <w:r w:rsidRPr="00EB0D23">
        <w:t xml:space="preserve"> (pp. 33–50). https://doi.org/10.1007/978-981-16-0676-2_2</w:t>
      </w:r>
    </w:p>
    <w:p w14:paraId="4D107A6E" w14:textId="77777777" w:rsidR="00875465" w:rsidRPr="00EB0D23" w:rsidRDefault="00875465" w:rsidP="00EB0D23">
      <w:pPr>
        <w:pStyle w:val="NormalWeb"/>
        <w:ind w:left="480" w:hanging="480"/>
        <w:jc w:val="both"/>
      </w:pPr>
      <w:r w:rsidRPr="00EB0D23">
        <w:t xml:space="preserve">Nanda, A., &amp; Janardhana, G. L. (2024). Millet and Its Significance on the Eve of International Year of Millets 2023: Culture, Consumption and Conservation Karnataka, India. </w:t>
      </w:r>
      <w:r w:rsidRPr="00EB0D23">
        <w:rPr>
          <w:i/>
          <w:iCs/>
        </w:rPr>
        <w:t>Journal of Education, Society and Behavioural Science</w:t>
      </w:r>
      <w:r w:rsidRPr="00EB0D23">
        <w:t xml:space="preserve">, </w:t>
      </w:r>
      <w:r w:rsidRPr="00EB0D23">
        <w:rPr>
          <w:i/>
          <w:iCs/>
        </w:rPr>
        <w:t>37</w:t>
      </w:r>
      <w:r w:rsidRPr="00EB0D23">
        <w:t>(1), 15–25. https://doi.org/10.9734/jesbs/2024/v37i11294</w:t>
      </w:r>
    </w:p>
    <w:p w14:paraId="0C359C31" w14:textId="77777777" w:rsidR="00875465" w:rsidRPr="00EB0D23" w:rsidRDefault="00875465" w:rsidP="00EB0D23">
      <w:pPr>
        <w:pStyle w:val="NormalWeb"/>
        <w:ind w:left="480" w:hanging="480"/>
        <w:jc w:val="both"/>
      </w:pPr>
      <w:proofErr w:type="spellStart"/>
      <w:r w:rsidRPr="00EB0D23">
        <w:t>Sivaramane</w:t>
      </w:r>
      <w:proofErr w:type="spellEnd"/>
      <w:r w:rsidRPr="00EB0D23">
        <w:t xml:space="preserve">, N., </w:t>
      </w:r>
      <w:proofErr w:type="spellStart"/>
      <w:r w:rsidRPr="00EB0D23">
        <w:t>Srinivastava</w:t>
      </w:r>
      <w:proofErr w:type="spellEnd"/>
      <w:r w:rsidRPr="00EB0D23">
        <w:t xml:space="preserve">, S. K., Nayak, S. H., Kumar, B. G., Kumar, S., &amp; Meena, P. C. (2023). the Millet Movement: Investigating Production and Consumption Trends in India. In </w:t>
      </w:r>
      <w:r w:rsidRPr="00EB0D23">
        <w:rPr>
          <w:i/>
          <w:iCs/>
        </w:rPr>
        <w:t>Sensitizing the Millet Farming, Consumption and Nutritional Security</w:t>
      </w:r>
      <w:r w:rsidRPr="00EB0D23">
        <w:t xml:space="preserve"> (p. 36).</w:t>
      </w:r>
    </w:p>
    <w:p w14:paraId="7FB5A930" w14:textId="77777777" w:rsidR="00875465" w:rsidRDefault="00875465" w:rsidP="00EB0D23">
      <w:pPr>
        <w:pStyle w:val="NormalWeb"/>
        <w:ind w:left="480" w:hanging="480"/>
        <w:jc w:val="both"/>
      </w:pPr>
      <w:r w:rsidRPr="00EB0D23">
        <w:t xml:space="preserve">Thakur, S. S., &amp; Sharma, H. O. (2018). Trend and Growth of Small Millets Production in Madhya Pradesh As Compared </w:t>
      </w:r>
      <w:proofErr w:type="gramStart"/>
      <w:r w:rsidRPr="00EB0D23">
        <w:t>To</w:t>
      </w:r>
      <w:proofErr w:type="gramEnd"/>
      <w:r w:rsidRPr="00EB0D23">
        <w:t xml:space="preserve"> India. </w:t>
      </w:r>
      <w:r w:rsidRPr="00EB0D23">
        <w:rPr>
          <w:i/>
          <w:iCs/>
        </w:rPr>
        <w:t xml:space="preserve">International Journal of Agriculture </w:t>
      </w:r>
      <w:proofErr w:type="gramStart"/>
      <w:r w:rsidRPr="00EB0D23">
        <w:rPr>
          <w:i/>
          <w:iCs/>
        </w:rPr>
        <w:t>Sciences(</w:t>
      </w:r>
      <w:proofErr w:type="gramEnd"/>
      <w:r w:rsidRPr="00EB0D23">
        <w:rPr>
          <w:i/>
          <w:iCs/>
        </w:rPr>
        <w:t>IJAS)</w:t>
      </w:r>
      <w:r w:rsidRPr="00EB0D23">
        <w:t xml:space="preserve">, </w:t>
      </w:r>
      <w:r w:rsidRPr="00EB0D23">
        <w:rPr>
          <w:i/>
          <w:iCs/>
        </w:rPr>
        <w:t>10</w:t>
      </w:r>
      <w:r w:rsidRPr="00EB0D23">
        <w:t xml:space="preserve">(1), 4983. </w:t>
      </w:r>
      <w:hyperlink r:id="rId9" w:history="1">
        <w:r w:rsidRPr="00073F3D">
          <w:rPr>
            <w:rStyle w:val="Hyperlink"/>
          </w:rPr>
          <w:t>https://doi.org/10.9735/0975-3710.10.1.4983-4986</w:t>
        </w:r>
      </w:hyperlink>
    </w:p>
    <w:p w14:paraId="0308644C" w14:textId="5ED32340" w:rsidR="00BA2A83" w:rsidRDefault="00BA2A83" w:rsidP="00EB0D23">
      <w:pPr>
        <w:pStyle w:val="NormalWeb"/>
        <w:ind w:left="480" w:hanging="480"/>
        <w:jc w:val="both"/>
      </w:pPr>
    </w:p>
    <w:p w14:paraId="64FC26BD" w14:textId="77777777" w:rsidR="00BA2A83" w:rsidRPr="00EB0D23" w:rsidRDefault="00BA2A83" w:rsidP="00EB0D23">
      <w:pPr>
        <w:pStyle w:val="NormalWeb"/>
        <w:ind w:left="480" w:hanging="480"/>
        <w:jc w:val="both"/>
      </w:pPr>
    </w:p>
    <w:p w14:paraId="1D78C431" w14:textId="77777777" w:rsidR="00AA0FFE" w:rsidRPr="00EB0D23" w:rsidRDefault="00AA0FFE" w:rsidP="00FF38E8">
      <w:pPr>
        <w:jc w:val="both"/>
        <w:rPr>
          <w:rFonts w:ascii="Times New Roman" w:hAnsi="Times New Roman" w:cs="Times New Roman"/>
          <w:sz w:val="24"/>
          <w:szCs w:val="24"/>
        </w:rPr>
      </w:pPr>
    </w:p>
    <w:sectPr w:rsidR="00AA0FFE" w:rsidRPr="00EB0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0AEE" w14:textId="77777777" w:rsidR="00357F73" w:rsidRDefault="00357F73" w:rsidP="00CD4A9A">
      <w:pPr>
        <w:spacing w:after="0" w:line="240" w:lineRule="auto"/>
      </w:pPr>
      <w:r>
        <w:separator/>
      </w:r>
    </w:p>
  </w:endnote>
  <w:endnote w:type="continuationSeparator" w:id="0">
    <w:p w14:paraId="5E99CB45" w14:textId="77777777" w:rsidR="00357F73" w:rsidRDefault="00357F73" w:rsidP="00CD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B5E6" w14:textId="77777777" w:rsidR="00357F73" w:rsidRDefault="00357F73" w:rsidP="00CD4A9A">
      <w:pPr>
        <w:spacing w:after="0" w:line="240" w:lineRule="auto"/>
      </w:pPr>
      <w:r>
        <w:separator/>
      </w:r>
    </w:p>
  </w:footnote>
  <w:footnote w:type="continuationSeparator" w:id="0">
    <w:p w14:paraId="0B357720" w14:textId="77777777" w:rsidR="00357F73" w:rsidRDefault="00357F73" w:rsidP="00CD4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32D4"/>
    <w:rsid w:val="000065EB"/>
    <w:rsid w:val="00025DB5"/>
    <w:rsid w:val="000263DE"/>
    <w:rsid w:val="000476EC"/>
    <w:rsid w:val="00102427"/>
    <w:rsid w:val="00103959"/>
    <w:rsid w:val="00167EC1"/>
    <w:rsid w:val="0019477C"/>
    <w:rsid w:val="001F00F9"/>
    <w:rsid w:val="00225D69"/>
    <w:rsid w:val="00225DD9"/>
    <w:rsid w:val="002750C6"/>
    <w:rsid w:val="00322893"/>
    <w:rsid w:val="003325C1"/>
    <w:rsid w:val="00343953"/>
    <w:rsid w:val="00357F73"/>
    <w:rsid w:val="00374168"/>
    <w:rsid w:val="00382D8C"/>
    <w:rsid w:val="00421084"/>
    <w:rsid w:val="00427911"/>
    <w:rsid w:val="005126B4"/>
    <w:rsid w:val="0054598D"/>
    <w:rsid w:val="005A6520"/>
    <w:rsid w:val="005F2761"/>
    <w:rsid w:val="0060687C"/>
    <w:rsid w:val="00634F07"/>
    <w:rsid w:val="00646E29"/>
    <w:rsid w:val="006808C1"/>
    <w:rsid w:val="006929B3"/>
    <w:rsid w:val="0069314A"/>
    <w:rsid w:val="006E545E"/>
    <w:rsid w:val="00710A93"/>
    <w:rsid w:val="00740FCF"/>
    <w:rsid w:val="00762AF5"/>
    <w:rsid w:val="00762E13"/>
    <w:rsid w:val="007A0519"/>
    <w:rsid w:val="007B15D8"/>
    <w:rsid w:val="007E5E1A"/>
    <w:rsid w:val="0083202B"/>
    <w:rsid w:val="00875465"/>
    <w:rsid w:val="0088337F"/>
    <w:rsid w:val="008E7A11"/>
    <w:rsid w:val="009228E1"/>
    <w:rsid w:val="009272FD"/>
    <w:rsid w:val="00954E3A"/>
    <w:rsid w:val="00A675CA"/>
    <w:rsid w:val="00AA0FFE"/>
    <w:rsid w:val="00AD61B7"/>
    <w:rsid w:val="00B2537C"/>
    <w:rsid w:val="00B26019"/>
    <w:rsid w:val="00B413E4"/>
    <w:rsid w:val="00BA2A83"/>
    <w:rsid w:val="00BE4A0B"/>
    <w:rsid w:val="00C25AE2"/>
    <w:rsid w:val="00CA285C"/>
    <w:rsid w:val="00CA53B2"/>
    <w:rsid w:val="00CD4A9A"/>
    <w:rsid w:val="00CD6BF0"/>
    <w:rsid w:val="00CF1C0D"/>
    <w:rsid w:val="00CF592B"/>
    <w:rsid w:val="00EB0D23"/>
    <w:rsid w:val="00EB5F15"/>
    <w:rsid w:val="00FA439B"/>
    <w:rsid w:val="00FC32D4"/>
    <w:rsid w:val="00FF38E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4489C"/>
  <w15:docId w15:val="{9C93E95F-DD02-445E-974E-54AF8E63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3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953"/>
    <w:rPr>
      <w:rFonts w:ascii="Times New Roman" w:eastAsia="Times New Roman" w:hAnsi="Times New Roman" w:cs="Times New Roman"/>
      <w:b/>
      <w:bCs/>
      <w:kern w:val="36"/>
      <w:sz w:val="48"/>
      <w:szCs w:val="48"/>
      <w:lang w:eastAsia="en-IN" w:bidi="ar-SA"/>
    </w:rPr>
  </w:style>
  <w:style w:type="paragraph" w:styleId="Header">
    <w:name w:val="header"/>
    <w:basedOn w:val="Normal"/>
    <w:link w:val="HeaderChar"/>
    <w:uiPriority w:val="99"/>
    <w:unhideWhenUsed/>
    <w:rsid w:val="00CD4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A9A"/>
  </w:style>
  <w:style w:type="paragraph" w:styleId="Footer">
    <w:name w:val="footer"/>
    <w:basedOn w:val="Normal"/>
    <w:link w:val="FooterChar"/>
    <w:uiPriority w:val="99"/>
    <w:unhideWhenUsed/>
    <w:rsid w:val="00CD4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A9A"/>
  </w:style>
  <w:style w:type="table" w:styleId="TableGrid">
    <w:name w:val="Table Grid"/>
    <w:basedOn w:val="TableNormal"/>
    <w:uiPriority w:val="39"/>
    <w:rsid w:val="00CF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0D23"/>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Hyperlink">
    <w:name w:val="Hyperlink"/>
    <w:basedOn w:val="DefaultParagraphFont"/>
    <w:uiPriority w:val="99"/>
    <w:unhideWhenUsed/>
    <w:rsid w:val="00BA2A83"/>
    <w:rPr>
      <w:color w:val="0563C1" w:themeColor="hyperlink"/>
      <w:u w:val="single"/>
    </w:rPr>
  </w:style>
  <w:style w:type="character" w:styleId="UnresolvedMention">
    <w:name w:val="Unresolved Mention"/>
    <w:basedOn w:val="DefaultParagraphFont"/>
    <w:uiPriority w:val="99"/>
    <w:semiHidden/>
    <w:unhideWhenUsed/>
    <w:rsid w:val="00BA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7919">
      <w:bodyDiv w:val="1"/>
      <w:marLeft w:val="0"/>
      <w:marRight w:val="0"/>
      <w:marTop w:val="0"/>
      <w:marBottom w:val="0"/>
      <w:divBdr>
        <w:top w:val="none" w:sz="0" w:space="0" w:color="auto"/>
        <w:left w:val="none" w:sz="0" w:space="0" w:color="auto"/>
        <w:bottom w:val="none" w:sz="0" w:space="0" w:color="auto"/>
        <w:right w:val="none" w:sz="0" w:space="0" w:color="auto"/>
      </w:divBdr>
    </w:div>
    <w:div w:id="447434340">
      <w:bodyDiv w:val="1"/>
      <w:marLeft w:val="0"/>
      <w:marRight w:val="0"/>
      <w:marTop w:val="0"/>
      <w:marBottom w:val="0"/>
      <w:divBdr>
        <w:top w:val="none" w:sz="0" w:space="0" w:color="auto"/>
        <w:left w:val="none" w:sz="0" w:space="0" w:color="auto"/>
        <w:bottom w:val="none" w:sz="0" w:space="0" w:color="auto"/>
        <w:right w:val="none" w:sz="0" w:space="0" w:color="auto"/>
      </w:divBdr>
    </w:div>
    <w:div w:id="591813698">
      <w:bodyDiv w:val="1"/>
      <w:marLeft w:val="0"/>
      <w:marRight w:val="0"/>
      <w:marTop w:val="0"/>
      <w:marBottom w:val="0"/>
      <w:divBdr>
        <w:top w:val="none" w:sz="0" w:space="0" w:color="auto"/>
        <w:left w:val="none" w:sz="0" w:space="0" w:color="auto"/>
        <w:bottom w:val="none" w:sz="0" w:space="0" w:color="auto"/>
        <w:right w:val="none" w:sz="0" w:space="0" w:color="auto"/>
      </w:divBdr>
    </w:div>
    <w:div w:id="728194258">
      <w:bodyDiv w:val="1"/>
      <w:marLeft w:val="0"/>
      <w:marRight w:val="0"/>
      <w:marTop w:val="0"/>
      <w:marBottom w:val="0"/>
      <w:divBdr>
        <w:top w:val="none" w:sz="0" w:space="0" w:color="auto"/>
        <w:left w:val="none" w:sz="0" w:space="0" w:color="auto"/>
        <w:bottom w:val="none" w:sz="0" w:space="0" w:color="auto"/>
        <w:right w:val="none" w:sz="0" w:space="0" w:color="auto"/>
      </w:divBdr>
    </w:div>
    <w:div w:id="803085460">
      <w:bodyDiv w:val="1"/>
      <w:marLeft w:val="0"/>
      <w:marRight w:val="0"/>
      <w:marTop w:val="0"/>
      <w:marBottom w:val="0"/>
      <w:divBdr>
        <w:top w:val="none" w:sz="0" w:space="0" w:color="auto"/>
        <w:left w:val="none" w:sz="0" w:space="0" w:color="auto"/>
        <w:bottom w:val="none" w:sz="0" w:space="0" w:color="auto"/>
        <w:right w:val="none" w:sz="0" w:space="0" w:color="auto"/>
      </w:divBdr>
    </w:div>
    <w:div w:id="839009635">
      <w:bodyDiv w:val="1"/>
      <w:marLeft w:val="0"/>
      <w:marRight w:val="0"/>
      <w:marTop w:val="0"/>
      <w:marBottom w:val="0"/>
      <w:divBdr>
        <w:top w:val="none" w:sz="0" w:space="0" w:color="auto"/>
        <w:left w:val="none" w:sz="0" w:space="0" w:color="auto"/>
        <w:bottom w:val="none" w:sz="0" w:space="0" w:color="auto"/>
        <w:right w:val="none" w:sz="0" w:space="0" w:color="auto"/>
      </w:divBdr>
    </w:div>
    <w:div w:id="868295355">
      <w:bodyDiv w:val="1"/>
      <w:marLeft w:val="0"/>
      <w:marRight w:val="0"/>
      <w:marTop w:val="0"/>
      <w:marBottom w:val="0"/>
      <w:divBdr>
        <w:top w:val="none" w:sz="0" w:space="0" w:color="auto"/>
        <w:left w:val="none" w:sz="0" w:space="0" w:color="auto"/>
        <w:bottom w:val="none" w:sz="0" w:space="0" w:color="auto"/>
        <w:right w:val="none" w:sz="0" w:space="0" w:color="auto"/>
      </w:divBdr>
    </w:div>
    <w:div w:id="1019353571">
      <w:bodyDiv w:val="1"/>
      <w:marLeft w:val="0"/>
      <w:marRight w:val="0"/>
      <w:marTop w:val="0"/>
      <w:marBottom w:val="0"/>
      <w:divBdr>
        <w:top w:val="none" w:sz="0" w:space="0" w:color="auto"/>
        <w:left w:val="none" w:sz="0" w:space="0" w:color="auto"/>
        <w:bottom w:val="none" w:sz="0" w:space="0" w:color="auto"/>
        <w:right w:val="none" w:sz="0" w:space="0" w:color="auto"/>
      </w:divBdr>
    </w:div>
    <w:div w:id="1325400829">
      <w:bodyDiv w:val="1"/>
      <w:marLeft w:val="0"/>
      <w:marRight w:val="0"/>
      <w:marTop w:val="0"/>
      <w:marBottom w:val="0"/>
      <w:divBdr>
        <w:top w:val="none" w:sz="0" w:space="0" w:color="auto"/>
        <w:left w:val="none" w:sz="0" w:space="0" w:color="auto"/>
        <w:bottom w:val="none" w:sz="0" w:space="0" w:color="auto"/>
        <w:right w:val="none" w:sz="0" w:space="0" w:color="auto"/>
      </w:divBdr>
    </w:div>
    <w:div w:id="1340809746">
      <w:bodyDiv w:val="1"/>
      <w:marLeft w:val="0"/>
      <w:marRight w:val="0"/>
      <w:marTop w:val="0"/>
      <w:marBottom w:val="0"/>
      <w:divBdr>
        <w:top w:val="none" w:sz="0" w:space="0" w:color="auto"/>
        <w:left w:val="none" w:sz="0" w:space="0" w:color="auto"/>
        <w:bottom w:val="none" w:sz="0" w:space="0" w:color="auto"/>
        <w:right w:val="none" w:sz="0" w:space="0" w:color="auto"/>
      </w:divBdr>
    </w:div>
    <w:div w:id="1660108356">
      <w:bodyDiv w:val="1"/>
      <w:marLeft w:val="0"/>
      <w:marRight w:val="0"/>
      <w:marTop w:val="0"/>
      <w:marBottom w:val="0"/>
      <w:divBdr>
        <w:top w:val="none" w:sz="0" w:space="0" w:color="auto"/>
        <w:left w:val="none" w:sz="0" w:space="0" w:color="auto"/>
        <w:bottom w:val="none" w:sz="0" w:space="0" w:color="auto"/>
        <w:right w:val="none" w:sz="0" w:space="0" w:color="auto"/>
      </w:divBdr>
    </w:div>
    <w:div w:id="2035613908">
      <w:bodyDiv w:val="1"/>
      <w:marLeft w:val="0"/>
      <w:marRight w:val="0"/>
      <w:marTop w:val="0"/>
      <w:marBottom w:val="0"/>
      <w:divBdr>
        <w:top w:val="none" w:sz="0" w:space="0" w:color="auto"/>
        <w:left w:val="none" w:sz="0" w:space="0" w:color="auto"/>
        <w:bottom w:val="none" w:sz="0" w:space="0" w:color="auto"/>
        <w:right w:val="none" w:sz="0" w:space="0" w:color="auto"/>
      </w:divBdr>
    </w:div>
    <w:div w:id="204991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gaganmahato0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5/0975-3710.10.1.4983-498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Production</c:v>
                </c:pt>
              </c:strCache>
            </c:strRef>
          </c:tx>
          <c:spPr>
            <a:solidFill>
              <a:schemeClr val="accent1"/>
            </a:solidFill>
            <a:ln>
              <a:noFill/>
            </a:ln>
            <a:effectLst/>
          </c:spPr>
          <c:invertIfNegative val="0"/>
          <c:cat>
            <c:numRef>
              <c:f>Sheet1!$A$2:$A$23</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Sheet1!$B$2:$B$23</c:f>
              <c:numCache>
                <c:formatCode>General</c:formatCode>
                <c:ptCount val="22"/>
                <c:pt idx="0">
                  <c:v>6494</c:v>
                </c:pt>
                <c:pt idx="1">
                  <c:v>14639</c:v>
                </c:pt>
                <c:pt idx="2">
                  <c:v>10841</c:v>
                </c:pt>
                <c:pt idx="3">
                  <c:v>10509</c:v>
                </c:pt>
                <c:pt idx="4">
                  <c:v>10347</c:v>
                </c:pt>
                <c:pt idx="5">
                  <c:v>12673</c:v>
                </c:pt>
                <c:pt idx="6">
                  <c:v>11372</c:v>
                </c:pt>
                <c:pt idx="7">
                  <c:v>8777</c:v>
                </c:pt>
                <c:pt idx="8">
                  <c:v>13005</c:v>
                </c:pt>
                <c:pt idx="9">
                  <c:v>12657</c:v>
                </c:pt>
                <c:pt idx="10">
                  <c:v>10752</c:v>
                </c:pt>
                <c:pt idx="11">
                  <c:v>11663</c:v>
                </c:pt>
                <c:pt idx="12">
                  <c:v>11630</c:v>
                </c:pt>
                <c:pt idx="13">
                  <c:v>10280</c:v>
                </c:pt>
                <c:pt idx="14">
                  <c:v>11560</c:v>
                </c:pt>
                <c:pt idx="15">
                  <c:v>11640</c:v>
                </c:pt>
                <c:pt idx="16">
                  <c:v>10236</c:v>
                </c:pt>
                <c:pt idx="17">
                  <c:v>12489</c:v>
                </c:pt>
                <c:pt idx="18">
                  <c:v>13208</c:v>
                </c:pt>
                <c:pt idx="19">
                  <c:v>11850</c:v>
                </c:pt>
                <c:pt idx="20">
                  <c:v>13160</c:v>
                </c:pt>
                <c:pt idx="21">
                  <c:v>12500</c:v>
                </c:pt>
              </c:numCache>
            </c:numRef>
          </c:val>
          <c:extLst>
            <c:ext xmlns:c16="http://schemas.microsoft.com/office/drawing/2014/chart" uri="{C3380CC4-5D6E-409C-BE32-E72D297353CC}">
              <c16:uniqueId val="{00000000-EAD0-4344-8896-68A5E684DFC7}"/>
            </c:ext>
          </c:extLst>
        </c:ser>
        <c:ser>
          <c:idx val="1"/>
          <c:order val="1"/>
          <c:tx>
            <c:strRef>
              <c:f>Sheet1!$C$1</c:f>
              <c:strCache>
                <c:ptCount val="1"/>
                <c:pt idx="0">
                  <c:v>consumption</c:v>
                </c:pt>
              </c:strCache>
            </c:strRef>
          </c:tx>
          <c:spPr>
            <a:solidFill>
              <a:schemeClr val="accent2"/>
            </a:solidFill>
            <a:ln>
              <a:noFill/>
            </a:ln>
            <a:effectLst/>
          </c:spPr>
          <c:invertIfNegative val="0"/>
          <c:cat>
            <c:numRef>
              <c:f>Sheet1!$A$2:$A$23</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Sheet1!$C$2:$C$23</c:f>
              <c:numCache>
                <c:formatCode>General</c:formatCode>
                <c:ptCount val="22"/>
                <c:pt idx="0">
                  <c:v>6600</c:v>
                </c:pt>
                <c:pt idx="1">
                  <c:v>14200</c:v>
                </c:pt>
                <c:pt idx="2">
                  <c:v>10840</c:v>
                </c:pt>
                <c:pt idx="3">
                  <c:v>10900</c:v>
                </c:pt>
                <c:pt idx="4">
                  <c:v>10300</c:v>
                </c:pt>
                <c:pt idx="5">
                  <c:v>12500</c:v>
                </c:pt>
                <c:pt idx="6">
                  <c:v>11500</c:v>
                </c:pt>
                <c:pt idx="7">
                  <c:v>8800</c:v>
                </c:pt>
                <c:pt idx="8">
                  <c:v>12500</c:v>
                </c:pt>
                <c:pt idx="9">
                  <c:v>12900</c:v>
                </c:pt>
                <c:pt idx="10">
                  <c:v>10900</c:v>
                </c:pt>
                <c:pt idx="11">
                  <c:v>11600</c:v>
                </c:pt>
                <c:pt idx="12">
                  <c:v>11600</c:v>
                </c:pt>
                <c:pt idx="13">
                  <c:v>10500</c:v>
                </c:pt>
                <c:pt idx="14">
                  <c:v>11300</c:v>
                </c:pt>
                <c:pt idx="15">
                  <c:v>11500</c:v>
                </c:pt>
                <c:pt idx="16">
                  <c:v>10600</c:v>
                </c:pt>
                <c:pt idx="17">
                  <c:v>12200</c:v>
                </c:pt>
                <c:pt idx="18">
                  <c:v>13200</c:v>
                </c:pt>
                <c:pt idx="19">
                  <c:v>11850</c:v>
                </c:pt>
                <c:pt idx="20">
                  <c:v>13100</c:v>
                </c:pt>
                <c:pt idx="21">
                  <c:v>12600</c:v>
                </c:pt>
              </c:numCache>
            </c:numRef>
          </c:val>
          <c:extLst>
            <c:ext xmlns:c16="http://schemas.microsoft.com/office/drawing/2014/chart" uri="{C3380CC4-5D6E-409C-BE32-E72D297353CC}">
              <c16:uniqueId val="{00000001-EAD0-4344-8896-68A5E684DFC7}"/>
            </c:ext>
          </c:extLst>
        </c:ser>
        <c:dLbls>
          <c:showLegendKey val="0"/>
          <c:showVal val="0"/>
          <c:showCatName val="0"/>
          <c:showSerName val="0"/>
          <c:showPercent val="0"/>
          <c:showBubbleSize val="0"/>
        </c:dLbls>
        <c:gapWidth val="219"/>
        <c:overlap val="-27"/>
        <c:axId val="123504832"/>
        <c:axId val="123506080"/>
      </c:barChart>
      <c:catAx>
        <c:axId val="1235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06080"/>
        <c:crosses val="autoZero"/>
        <c:auto val="1"/>
        <c:lblAlgn val="ctr"/>
        <c:lblOffset val="100"/>
        <c:noMultiLvlLbl val="0"/>
      </c:catAx>
      <c:valAx>
        <c:axId val="12350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04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1A9019-0619-49D1-B8F7-17F0FB32274D}">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26A9-9538-4F67-839C-A5C275C6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sahu</dc:creator>
  <cp:keywords/>
  <dc:description/>
  <cp:lastModifiedBy>ayush sahu</cp:lastModifiedBy>
  <cp:revision>13</cp:revision>
  <dcterms:created xsi:type="dcterms:W3CDTF">2024-03-01T17:37:00Z</dcterms:created>
  <dcterms:modified xsi:type="dcterms:W3CDTF">2024-03-02T12:19:00Z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a025e847-f5d6-3c04-ad19-d8f8b2ebe53b</vt:lpwstr>
  </property>
  <property fmtid="{D5CDD505-2E9C-101B-9397-08002B2CF9AE}" pid="24" name="Mendeley Citation Style_1">
    <vt:lpwstr>http://www.zotero.org/styles/apa</vt:lpwstr>
  </property>
</Properties>
</file>