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14680" w14:textId="38845610" w:rsidR="00224C89" w:rsidRDefault="00012222" w:rsidP="00584839">
      <w:pPr>
        <w:spacing w:after="0"/>
        <w:ind w:right="158"/>
        <w:jc w:val="center"/>
        <w:rPr>
          <w:rFonts w:ascii="Times New Roman" w:hAnsi="Times New Roman" w:cs="Times New Roman"/>
          <w:b/>
          <w:bCs/>
          <w:color w:val="000000" w:themeColor="text1"/>
          <w:sz w:val="28"/>
          <w:szCs w:val="28"/>
        </w:rPr>
      </w:pPr>
      <w:r w:rsidRPr="00012222">
        <w:rPr>
          <w:rFonts w:ascii="Times New Roman" w:hAnsi="Times New Roman" w:cs="Times New Roman"/>
          <w:b/>
          <w:bCs/>
          <w:color w:val="000000" w:themeColor="text1"/>
          <w:sz w:val="28"/>
          <w:szCs w:val="28"/>
        </w:rPr>
        <w:t xml:space="preserve">OPTIMIZATION OF MYCELIA GROWTH AND IMMOBILIZATION OF </w:t>
      </w:r>
      <w:r w:rsidRPr="0062328B">
        <w:rPr>
          <w:rFonts w:ascii="Times New Roman" w:hAnsi="Times New Roman" w:cs="Times New Roman"/>
          <w:b/>
          <w:bCs/>
          <w:color w:val="000000" w:themeColor="text1"/>
          <w:sz w:val="28"/>
          <w:szCs w:val="28"/>
        </w:rPr>
        <w:t>PLEUROTUS OSTREATUS</w:t>
      </w:r>
      <w:r w:rsidRPr="00012222">
        <w:rPr>
          <w:rFonts w:ascii="Times New Roman" w:hAnsi="Times New Roman" w:cs="Times New Roman"/>
          <w:b/>
          <w:bCs/>
          <w:color w:val="000000" w:themeColor="text1"/>
          <w:sz w:val="28"/>
          <w:szCs w:val="28"/>
        </w:rPr>
        <w:t xml:space="preserve"> CELLS FOR ENHANCED BIOTECHNOLOGICAL APPLICATIONS</w:t>
      </w:r>
    </w:p>
    <w:p w14:paraId="43FA2E86" w14:textId="77777777" w:rsidR="006C36AB" w:rsidRDefault="00954422" w:rsidP="00584839">
      <w:pPr>
        <w:spacing w:after="0"/>
        <w:ind w:right="158"/>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Rohit Rawat</w:t>
      </w:r>
      <w:r w:rsidR="006C36AB">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Anjali </w:t>
      </w:r>
      <w:r w:rsidR="006A6CB7">
        <w:rPr>
          <w:rFonts w:ascii="Times New Roman" w:hAnsi="Times New Roman" w:cs="Times New Roman"/>
          <w:b/>
          <w:bCs/>
          <w:color w:val="000000" w:themeColor="text1"/>
          <w:sz w:val="24"/>
          <w:szCs w:val="24"/>
        </w:rPr>
        <w:t>Choudhary</w:t>
      </w:r>
      <w:r w:rsidR="006C36AB">
        <w:rPr>
          <w:rFonts w:ascii="Times New Roman" w:hAnsi="Times New Roman" w:cs="Times New Roman"/>
          <w:b/>
          <w:bCs/>
          <w:color w:val="000000" w:themeColor="text1"/>
          <w:sz w:val="24"/>
          <w:szCs w:val="24"/>
          <w:vertAlign w:val="superscript"/>
        </w:rPr>
        <w:t>2</w:t>
      </w:r>
      <w:r w:rsidR="006A6CB7">
        <w:rPr>
          <w:rFonts w:ascii="Times New Roman" w:hAnsi="Times New Roman" w:cs="Times New Roman"/>
          <w:b/>
          <w:bCs/>
          <w:color w:val="000000" w:themeColor="text1"/>
          <w:sz w:val="24"/>
          <w:szCs w:val="24"/>
        </w:rPr>
        <w:t xml:space="preserve">, </w:t>
      </w:r>
      <w:r w:rsidR="00012222" w:rsidRPr="00012222">
        <w:rPr>
          <w:rFonts w:ascii="Times New Roman" w:hAnsi="Times New Roman" w:cs="Times New Roman"/>
          <w:b/>
          <w:bCs/>
          <w:color w:val="000000" w:themeColor="text1"/>
          <w:sz w:val="24"/>
          <w:szCs w:val="24"/>
        </w:rPr>
        <w:t>Amit Raj</w:t>
      </w:r>
      <w:r w:rsidR="006C36AB">
        <w:rPr>
          <w:rFonts w:ascii="Times New Roman" w:hAnsi="Times New Roman" w:cs="Times New Roman"/>
          <w:b/>
          <w:bCs/>
          <w:color w:val="000000" w:themeColor="text1"/>
          <w:sz w:val="24"/>
          <w:szCs w:val="24"/>
          <w:vertAlign w:val="superscript"/>
        </w:rPr>
        <w:t>3</w:t>
      </w:r>
      <w:r w:rsidR="00012222" w:rsidRPr="00012222">
        <w:rPr>
          <w:rFonts w:ascii="Times New Roman" w:hAnsi="Times New Roman" w:cs="Times New Roman"/>
          <w:b/>
          <w:bCs/>
          <w:color w:val="000000" w:themeColor="text1"/>
          <w:sz w:val="24"/>
          <w:szCs w:val="24"/>
        </w:rPr>
        <w:t>, Himanshu Rathor</w:t>
      </w:r>
      <w:r w:rsidR="006A6CB7">
        <w:rPr>
          <w:rFonts w:ascii="Times New Roman" w:hAnsi="Times New Roman" w:cs="Times New Roman"/>
          <w:b/>
          <w:bCs/>
          <w:color w:val="000000" w:themeColor="text1"/>
          <w:sz w:val="24"/>
          <w:szCs w:val="24"/>
        </w:rPr>
        <w:t>e</w:t>
      </w:r>
      <w:r w:rsidR="006E6735">
        <w:rPr>
          <w:rFonts w:ascii="Times New Roman" w:hAnsi="Times New Roman" w:cs="Times New Roman"/>
          <w:b/>
          <w:bCs/>
          <w:color w:val="000000" w:themeColor="text1"/>
          <w:sz w:val="24"/>
          <w:szCs w:val="24"/>
          <w:vertAlign w:val="superscript"/>
        </w:rPr>
        <w:t>4</w:t>
      </w:r>
      <w:r w:rsidR="006A6CB7">
        <w:rPr>
          <w:rFonts w:ascii="Times New Roman" w:hAnsi="Times New Roman" w:cs="Times New Roman"/>
          <w:b/>
          <w:bCs/>
          <w:color w:val="000000" w:themeColor="text1"/>
          <w:sz w:val="24"/>
          <w:szCs w:val="24"/>
        </w:rPr>
        <w:t xml:space="preserve">, </w:t>
      </w:r>
      <w:r w:rsidR="006A6CB7" w:rsidRPr="00012222">
        <w:rPr>
          <w:rFonts w:ascii="Times New Roman" w:hAnsi="Times New Roman" w:cs="Times New Roman"/>
          <w:b/>
          <w:bCs/>
          <w:color w:val="000000" w:themeColor="text1"/>
          <w:sz w:val="24"/>
          <w:szCs w:val="24"/>
        </w:rPr>
        <w:t>Shivam Rajput</w:t>
      </w:r>
      <w:r w:rsidR="006E6735">
        <w:rPr>
          <w:rFonts w:ascii="Times New Roman" w:hAnsi="Times New Roman" w:cs="Times New Roman"/>
          <w:b/>
          <w:bCs/>
          <w:color w:val="000000" w:themeColor="text1"/>
          <w:sz w:val="24"/>
          <w:szCs w:val="24"/>
          <w:vertAlign w:val="superscript"/>
        </w:rPr>
        <w:t>5</w:t>
      </w:r>
      <w:r w:rsidR="006E6735">
        <w:rPr>
          <w:rFonts w:ascii="Times New Roman" w:hAnsi="Times New Roman" w:cs="Times New Roman"/>
          <w:b/>
          <w:bCs/>
          <w:color w:val="000000" w:themeColor="text1"/>
          <w:sz w:val="24"/>
          <w:szCs w:val="24"/>
        </w:rPr>
        <w:t xml:space="preserve">, </w:t>
      </w:r>
    </w:p>
    <w:p w14:paraId="6E3E1266" w14:textId="6FD7A903" w:rsidR="00012222" w:rsidRPr="00711D51" w:rsidRDefault="006C36AB" w:rsidP="00584839">
      <w:pPr>
        <w:spacing w:after="0"/>
        <w:ind w:right="158"/>
        <w:jc w:val="center"/>
        <w:rPr>
          <w:rFonts w:ascii="Times New Roman" w:hAnsi="Times New Roman" w:cs="Times New Roman"/>
          <w:b/>
          <w:bCs/>
          <w:color w:val="000000" w:themeColor="text1"/>
          <w:sz w:val="24"/>
          <w:szCs w:val="24"/>
          <w:vertAlign w:val="superscript"/>
        </w:rPr>
      </w:pPr>
      <w:r w:rsidRPr="00711D51">
        <w:rPr>
          <w:rFonts w:ascii="Times New Roman" w:hAnsi="Times New Roman" w:cs="Times New Roman"/>
          <w:b/>
          <w:bCs/>
          <w:color w:val="000000" w:themeColor="text1"/>
          <w:sz w:val="24"/>
          <w:szCs w:val="24"/>
        </w:rPr>
        <w:t>Akanksha Kashyap</w:t>
      </w:r>
      <w:r w:rsidRPr="00711D51">
        <w:rPr>
          <w:rFonts w:ascii="Times New Roman" w:hAnsi="Times New Roman" w:cs="Times New Roman"/>
          <w:b/>
          <w:bCs/>
          <w:color w:val="000000" w:themeColor="text1"/>
          <w:sz w:val="24"/>
          <w:szCs w:val="24"/>
          <w:vertAlign w:val="superscript"/>
        </w:rPr>
        <w:t>6</w:t>
      </w:r>
    </w:p>
    <w:p w14:paraId="0B56BBE5" w14:textId="64D1AE15" w:rsidR="006C36AB" w:rsidRPr="00711D51" w:rsidRDefault="007451EE" w:rsidP="00584839">
      <w:pPr>
        <w:spacing w:after="0"/>
        <w:ind w:right="158"/>
        <w:jc w:val="center"/>
        <w:rPr>
          <w:rFonts w:ascii="Times New Roman" w:hAnsi="Times New Roman" w:cs="Times New Roman"/>
        </w:rPr>
      </w:pPr>
      <w:r w:rsidRPr="00711D51">
        <w:rPr>
          <w:rFonts w:ascii="Times New Roman" w:hAnsi="Times New Roman" w:cs="Times New Roman"/>
          <w:vertAlign w:val="superscript"/>
        </w:rPr>
        <w:t>1,6</w:t>
      </w:r>
      <w:r w:rsidR="000D1344" w:rsidRPr="00711D51">
        <w:rPr>
          <w:rFonts w:ascii="Times New Roman" w:hAnsi="Times New Roman" w:cs="Times New Roman"/>
          <w:vertAlign w:val="superscript"/>
        </w:rPr>
        <w:t xml:space="preserve"> </w:t>
      </w:r>
      <w:r w:rsidR="009D482C" w:rsidRPr="00711D51">
        <w:rPr>
          <w:rFonts w:ascii="Times New Roman" w:hAnsi="Times New Roman" w:cs="Times New Roman"/>
        </w:rPr>
        <w:t>HARI Lifesciences, Bhopal</w:t>
      </w:r>
    </w:p>
    <w:p w14:paraId="0BF0E665" w14:textId="5B104055" w:rsidR="003E79A9" w:rsidRPr="00711D51" w:rsidRDefault="009D482C" w:rsidP="00584839">
      <w:pPr>
        <w:spacing w:after="0"/>
        <w:ind w:right="158"/>
        <w:jc w:val="center"/>
        <w:rPr>
          <w:rFonts w:ascii="Times New Roman" w:hAnsi="Times New Roman" w:cs="Times New Roman"/>
        </w:rPr>
      </w:pPr>
      <w:r w:rsidRPr="00711D51">
        <w:rPr>
          <w:rFonts w:ascii="Times New Roman" w:hAnsi="Times New Roman" w:cs="Times New Roman"/>
          <w:vertAlign w:val="superscript"/>
        </w:rPr>
        <w:t>2</w:t>
      </w:r>
      <w:r w:rsidRPr="00711D51">
        <w:rPr>
          <w:rFonts w:ascii="Times New Roman" w:hAnsi="Times New Roman" w:cs="Times New Roman"/>
        </w:rPr>
        <w:t>Department of Biotechnology, Career College, Bhopal</w:t>
      </w:r>
    </w:p>
    <w:p w14:paraId="57822B95" w14:textId="1980DB84" w:rsidR="009D482C" w:rsidRPr="00711D51" w:rsidRDefault="009D482C" w:rsidP="00584839">
      <w:pPr>
        <w:spacing w:after="0"/>
        <w:ind w:right="158"/>
        <w:jc w:val="center"/>
        <w:rPr>
          <w:rFonts w:ascii="Times New Roman" w:hAnsi="Times New Roman" w:cs="Times New Roman"/>
        </w:rPr>
      </w:pPr>
      <w:r w:rsidRPr="00711D51">
        <w:rPr>
          <w:rFonts w:ascii="Times New Roman" w:hAnsi="Times New Roman" w:cs="Times New Roman"/>
          <w:vertAlign w:val="superscript"/>
        </w:rPr>
        <w:t>3, 4, 5</w:t>
      </w:r>
      <w:r w:rsidRPr="00711D51">
        <w:rPr>
          <w:rFonts w:ascii="Times New Roman" w:hAnsi="Times New Roman" w:cs="Times New Roman"/>
        </w:rPr>
        <w:t>Research Student, Department of Biotechnology, Career College, Bhopal</w:t>
      </w:r>
    </w:p>
    <w:p w14:paraId="0DF1133D" w14:textId="6BBC542A" w:rsidR="0080342E" w:rsidRPr="00E4332C" w:rsidRDefault="008351C9" w:rsidP="00E6029A">
      <w:pPr>
        <w:spacing w:after="0"/>
        <w:jc w:val="center"/>
        <w:rPr>
          <w:rFonts w:ascii="Times New Roman" w:hAnsi="Times New Roman" w:cs="Times New Roman"/>
          <w:b/>
          <w:bCs/>
          <w:color w:val="000000" w:themeColor="text1"/>
          <w:sz w:val="24"/>
          <w:szCs w:val="24"/>
        </w:rPr>
      </w:pPr>
      <w:r w:rsidRPr="00E4332C">
        <w:rPr>
          <w:rFonts w:ascii="Times New Roman" w:hAnsi="Times New Roman" w:cs="Times New Roman"/>
          <w:b/>
          <w:bCs/>
          <w:color w:val="000000" w:themeColor="text1"/>
          <w:sz w:val="24"/>
          <w:szCs w:val="24"/>
        </w:rPr>
        <w:t>ABSTRACT</w:t>
      </w:r>
    </w:p>
    <w:p w14:paraId="3B6A4AE7" w14:textId="40032C60" w:rsidR="001F53BD" w:rsidRPr="00995691" w:rsidRDefault="005403E5" w:rsidP="00995691">
      <w:pPr>
        <w:spacing w:after="0" w:line="276" w:lineRule="auto"/>
        <w:ind w:left="130" w:right="130"/>
        <w:jc w:val="both"/>
        <w:rPr>
          <w:rFonts w:ascii="Times New Roman" w:hAnsi="Times New Roman" w:cs="Times New Roman"/>
          <w:b/>
          <w:bCs/>
          <w:color w:val="000000" w:themeColor="text1"/>
          <w:sz w:val="20"/>
        </w:rPr>
      </w:pPr>
      <w:r w:rsidRPr="00995691">
        <w:rPr>
          <w:rFonts w:ascii="Times New Roman" w:hAnsi="Times New Roman" w:cs="Times New Roman"/>
          <w:i/>
          <w:iCs/>
          <w:sz w:val="20"/>
        </w:rPr>
        <w:t>Pleurotus ostreatus</w:t>
      </w:r>
      <w:r w:rsidRPr="00995691">
        <w:rPr>
          <w:rFonts w:ascii="Times New Roman" w:hAnsi="Times New Roman" w:cs="Times New Roman"/>
          <w:sz w:val="20"/>
        </w:rPr>
        <w:t xml:space="preserve"> is known for its culinary and medicinal characteristics, with potential use in biotechnology. This research attempts to optimise mycelia growth and find effective approaches for immobilising them. </w:t>
      </w:r>
      <w:r w:rsidR="001F53BD" w:rsidRPr="00995691">
        <w:rPr>
          <w:rFonts w:ascii="Times New Roman" w:hAnsi="Times New Roman" w:cs="Times New Roman"/>
          <w:sz w:val="20"/>
        </w:rPr>
        <w:t xml:space="preserve">The jars containing the substrate were inoculated with solid and liquid inoculums. Incubation at 21°C for 10 days in dark </w:t>
      </w:r>
      <w:r w:rsidR="00C14029" w:rsidRPr="00995691">
        <w:rPr>
          <w:rFonts w:ascii="Times New Roman" w:hAnsi="Times New Roman" w:cs="Times New Roman"/>
          <w:sz w:val="20"/>
        </w:rPr>
        <w:t>conditions</w:t>
      </w:r>
      <w:r w:rsidR="001F53BD" w:rsidRPr="00995691">
        <w:rPr>
          <w:rFonts w:ascii="Times New Roman" w:hAnsi="Times New Roman" w:cs="Times New Roman"/>
          <w:sz w:val="20"/>
        </w:rPr>
        <w:t xml:space="preserve"> allowed for a comparison of the time required for each inoculum type to attain complete substrate covering. After 10 days of incubation, it was discovered that the jar inoculated with liquid inoculum had 100% mycelial coverage, while the jar inoculated with solid inoculum had only 8</w:t>
      </w:r>
      <w:r w:rsidR="00C300E3" w:rsidRPr="00995691">
        <w:rPr>
          <w:rFonts w:ascii="Times New Roman" w:hAnsi="Times New Roman" w:cs="Times New Roman"/>
          <w:sz w:val="20"/>
        </w:rPr>
        <w:t>5</w:t>
      </w:r>
      <w:r w:rsidR="001F53BD" w:rsidRPr="00995691">
        <w:rPr>
          <w:rFonts w:ascii="Times New Roman" w:hAnsi="Times New Roman" w:cs="Times New Roman"/>
          <w:sz w:val="20"/>
        </w:rPr>
        <w:t xml:space="preserve">% mycelial coverage. </w:t>
      </w:r>
      <w:r w:rsidR="001F53BD" w:rsidRPr="00995691">
        <w:rPr>
          <w:rFonts w:ascii="Times New Roman" w:hAnsi="Times New Roman" w:cs="Times New Roman"/>
          <w:i/>
          <w:iCs/>
          <w:sz w:val="20"/>
        </w:rPr>
        <w:t>P. ostreatus</w:t>
      </w:r>
      <w:r w:rsidR="001F53BD" w:rsidRPr="00995691">
        <w:rPr>
          <w:rFonts w:ascii="Times New Roman" w:hAnsi="Times New Roman" w:cs="Times New Roman"/>
          <w:sz w:val="20"/>
        </w:rPr>
        <w:t xml:space="preserve"> cells were successfully immobilised using sodium alginate and calcium chloride solutions. After drying, the beads generated by dropping sodium alginate and fungal broth into a calcium chloride solution were round, glossy, and off white in colour.</w:t>
      </w:r>
      <w:r w:rsidR="00BC0E0E" w:rsidRPr="00995691">
        <w:rPr>
          <w:rFonts w:ascii="Times New Roman" w:hAnsi="Times New Roman" w:cs="Times New Roman"/>
          <w:sz w:val="20"/>
        </w:rPr>
        <w:t xml:space="preserve"> The research has potential applications in bioremediation, medicines, food technology, and environmental sustainability. This project aims to use </w:t>
      </w:r>
      <w:r w:rsidR="00BC0E0E" w:rsidRPr="00995691">
        <w:rPr>
          <w:rFonts w:ascii="Times New Roman" w:hAnsi="Times New Roman" w:cs="Times New Roman"/>
          <w:i/>
          <w:iCs/>
          <w:sz w:val="20"/>
        </w:rPr>
        <w:t>Pleurotus ostreatus</w:t>
      </w:r>
      <w:r w:rsidR="00CE5DBF" w:rsidRPr="00995691">
        <w:rPr>
          <w:rFonts w:ascii="Times New Roman" w:hAnsi="Times New Roman" w:cs="Times New Roman"/>
          <w:i/>
          <w:iCs/>
          <w:sz w:val="20"/>
        </w:rPr>
        <w:t xml:space="preserve"> </w:t>
      </w:r>
      <w:r w:rsidR="00BC0E0E" w:rsidRPr="00995691">
        <w:rPr>
          <w:rFonts w:ascii="Times New Roman" w:hAnsi="Times New Roman" w:cs="Times New Roman"/>
          <w:sz w:val="20"/>
        </w:rPr>
        <w:t>biotechnological potential to offer new and environmentally friendly solutions to current challenges.</w:t>
      </w:r>
    </w:p>
    <w:p w14:paraId="10D517CA" w14:textId="23C9F3D2" w:rsidR="0080342E" w:rsidRPr="00995691" w:rsidRDefault="00CE5DBF" w:rsidP="00995691">
      <w:pPr>
        <w:spacing w:after="0" w:line="276" w:lineRule="auto"/>
        <w:ind w:left="130" w:right="130"/>
        <w:jc w:val="both"/>
        <w:rPr>
          <w:rFonts w:ascii="Times New Roman" w:hAnsi="Times New Roman" w:cs="Times New Roman"/>
          <w:b/>
          <w:bCs/>
          <w:color w:val="000000" w:themeColor="text1"/>
          <w:sz w:val="20"/>
        </w:rPr>
      </w:pPr>
      <w:r w:rsidRPr="00995691">
        <w:rPr>
          <w:rFonts w:ascii="Times New Roman" w:hAnsi="Times New Roman" w:cs="Times New Roman"/>
          <w:b/>
          <w:bCs/>
          <w:color w:val="000000" w:themeColor="text1"/>
          <w:sz w:val="20"/>
        </w:rPr>
        <w:t>Key words</w:t>
      </w:r>
      <w:r w:rsidR="00600D16" w:rsidRPr="00995691">
        <w:rPr>
          <w:rFonts w:ascii="Times New Roman" w:hAnsi="Times New Roman" w:cs="Times New Roman"/>
          <w:b/>
          <w:bCs/>
          <w:color w:val="000000" w:themeColor="text1"/>
          <w:sz w:val="20"/>
        </w:rPr>
        <w:t xml:space="preserve">: </w:t>
      </w:r>
      <w:r w:rsidR="00600D16" w:rsidRPr="00995691">
        <w:rPr>
          <w:rFonts w:ascii="Times New Roman" w:hAnsi="Times New Roman" w:cs="Times New Roman"/>
          <w:i/>
          <w:iCs/>
          <w:sz w:val="20"/>
        </w:rPr>
        <w:t xml:space="preserve">Pleurotus ostreatus, </w:t>
      </w:r>
      <w:r w:rsidR="00600D16" w:rsidRPr="00995691">
        <w:rPr>
          <w:rFonts w:ascii="Times New Roman" w:hAnsi="Times New Roman" w:cs="Times New Roman"/>
          <w:sz w:val="20"/>
        </w:rPr>
        <w:t>mycelial coverage, immobilis</w:t>
      </w:r>
      <w:r w:rsidR="005376F5" w:rsidRPr="00995691">
        <w:rPr>
          <w:rFonts w:ascii="Times New Roman" w:hAnsi="Times New Roman" w:cs="Times New Roman"/>
          <w:sz w:val="20"/>
        </w:rPr>
        <w:t xml:space="preserve">ation, </w:t>
      </w:r>
      <w:r w:rsidR="005376F5" w:rsidRPr="00995691">
        <w:rPr>
          <w:rFonts w:ascii="Times New Roman" w:eastAsia="Times New Roman" w:hAnsi="Times New Roman" w:cs="Times New Roman"/>
          <w:color w:val="000000" w:themeColor="text1"/>
          <w:kern w:val="0"/>
          <w:sz w:val="20"/>
          <w:lang w:eastAsia="en-IN"/>
          <w14:ligatures w14:val="none"/>
        </w:rPr>
        <w:t>substrate</w:t>
      </w:r>
    </w:p>
    <w:p w14:paraId="668D443E" w14:textId="4C692B9A" w:rsidR="00295847" w:rsidRPr="00995691" w:rsidRDefault="00012222" w:rsidP="00995691">
      <w:pPr>
        <w:spacing w:after="0" w:line="276" w:lineRule="auto"/>
        <w:ind w:left="130"/>
        <w:jc w:val="both"/>
        <w:rPr>
          <w:rFonts w:ascii="Times New Roman" w:hAnsi="Times New Roman" w:cs="Times New Roman"/>
          <w:b/>
          <w:bCs/>
          <w:color w:val="000000" w:themeColor="text1"/>
          <w:sz w:val="24"/>
          <w:szCs w:val="24"/>
        </w:rPr>
      </w:pPr>
      <w:r w:rsidRPr="00995691">
        <w:rPr>
          <w:rFonts w:ascii="Times New Roman" w:hAnsi="Times New Roman" w:cs="Times New Roman"/>
          <w:b/>
          <w:bCs/>
          <w:color w:val="000000" w:themeColor="text1"/>
          <w:sz w:val="24"/>
          <w:szCs w:val="24"/>
        </w:rPr>
        <w:t xml:space="preserve">1. </w:t>
      </w:r>
      <w:r w:rsidR="008351C9" w:rsidRPr="00995691">
        <w:rPr>
          <w:rFonts w:ascii="Times New Roman" w:hAnsi="Times New Roman" w:cs="Times New Roman"/>
          <w:b/>
          <w:bCs/>
          <w:color w:val="000000" w:themeColor="text1"/>
          <w:sz w:val="24"/>
          <w:szCs w:val="24"/>
        </w:rPr>
        <w:t>INTRODUCTION</w:t>
      </w:r>
    </w:p>
    <w:p w14:paraId="5A1E9C4A" w14:textId="77777777" w:rsidR="00A10393" w:rsidRPr="00995691" w:rsidRDefault="00B50291" w:rsidP="00995691">
      <w:pPr>
        <w:spacing w:after="0" w:line="276" w:lineRule="auto"/>
        <w:ind w:left="130"/>
        <w:jc w:val="both"/>
        <w:outlineLvl w:val="0"/>
        <w:rPr>
          <w:rFonts w:ascii="Times New Roman" w:hAnsi="Times New Roman" w:cs="Times New Roman"/>
          <w:sz w:val="20"/>
        </w:rPr>
      </w:pPr>
      <w:r w:rsidRPr="00995691">
        <w:rPr>
          <w:rFonts w:ascii="Times New Roman" w:hAnsi="Times New Roman" w:cs="Times New Roman"/>
          <w:i/>
          <w:iCs/>
          <w:sz w:val="20"/>
        </w:rPr>
        <w:t xml:space="preserve">Pleurotus </w:t>
      </w:r>
      <w:r w:rsidRPr="00995691">
        <w:rPr>
          <w:rFonts w:ascii="Times New Roman" w:hAnsi="Times New Roman" w:cs="Times New Roman"/>
          <w:sz w:val="20"/>
        </w:rPr>
        <w:t xml:space="preserve">species are classified as Agaricales and are members of the </w:t>
      </w:r>
      <w:proofErr w:type="spellStart"/>
      <w:r w:rsidRPr="00995691">
        <w:rPr>
          <w:rFonts w:ascii="Times New Roman" w:hAnsi="Times New Roman" w:cs="Times New Roman"/>
          <w:sz w:val="20"/>
        </w:rPr>
        <w:t>Pleurotaceae</w:t>
      </w:r>
      <w:proofErr w:type="spellEnd"/>
      <w:r w:rsidRPr="00995691">
        <w:rPr>
          <w:rFonts w:ascii="Times New Roman" w:hAnsi="Times New Roman" w:cs="Times New Roman"/>
          <w:sz w:val="20"/>
        </w:rPr>
        <w:t xml:space="preserve"> family (white spore oyster mushroom). They are recognised by their colour and habitat. The majority of them are saprophytic and rarely parasitic. A recent article by Bao et al. provides useful information on the number of Pleurotus species found in Asia (Bao D et al., 2004). Pleurotus species are commonly found growing on damp tree trunks and decomposing organic waste, both of which contain high levels of lignin and phenol-degrading enzymes. Pleurotus species have unstable morphological traits due to fluctuating </w:t>
      </w:r>
      <w:proofErr w:type="spellStart"/>
      <w:r w:rsidRPr="00995691">
        <w:rPr>
          <w:rFonts w:ascii="Times New Roman" w:hAnsi="Times New Roman" w:cs="Times New Roman"/>
          <w:sz w:val="20"/>
        </w:rPr>
        <w:t>agro</w:t>
      </w:r>
      <w:proofErr w:type="spellEnd"/>
      <w:r w:rsidRPr="00995691">
        <w:rPr>
          <w:rFonts w:ascii="Times New Roman" w:hAnsi="Times New Roman" w:cs="Times New Roman"/>
          <w:sz w:val="20"/>
        </w:rPr>
        <w:t xml:space="preserve">-climatic conditions and cultivation substrates (Kong WS, 2004). </w:t>
      </w:r>
      <w:r w:rsidRPr="00995691">
        <w:rPr>
          <w:rFonts w:ascii="Times New Roman" w:hAnsi="Times New Roman" w:cs="Times New Roman"/>
          <w:i/>
          <w:iCs/>
          <w:sz w:val="20"/>
        </w:rPr>
        <w:t>P. ostreatus</w:t>
      </w:r>
      <w:r w:rsidRPr="00995691">
        <w:rPr>
          <w:rFonts w:ascii="Times New Roman" w:hAnsi="Times New Roman" w:cs="Times New Roman"/>
          <w:sz w:val="20"/>
        </w:rPr>
        <w:t xml:space="preserve"> is one of the most extensively farmed edible mushrooms because of its economic (food source), environmental (waste remediation agents), and medicinal value (</w:t>
      </w:r>
      <w:proofErr w:type="spellStart"/>
      <w:r w:rsidRPr="00995691">
        <w:rPr>
          <w:rFonts w:ascii="Times New Roman" w:hAnsi="Times New Roman" w:cs="Times New Roman"/>
          <w:sz w:val="20"/>
        </w:rPr>
        <w:t>biocompounds</w:t>
      </w:r>
      <w:proofErr w:type="spellEnd"/>
      <w:r w:rsidRPr="00995691">
        <w:rPr>
          <w:rFonts w:ascii="Times New Roman" w:hAnsi="Times New Roman" w:cs="Times New Roman"/>
          <w:sz w:val="20"/>
        </w:rPr>
        <w:t xml:space="preserve"> supplying source) (Da Luz et al., 2012).</w:t>
      </w:r>
      <w:r w:rsidR="004015CC" w:rsidRPr="00995691">
        <w:rPr>
          <w:rFonts w:ascii="Times New Roman" w:hAnsi="Times New Roman" w:cs="Times New Roman"/>
          <w:sz w:val="20"/>
        </w:rPr>
        <w:t xml:space="preserve"> Oyster mushrooms are a popular and well-loved food source because they are abundant in protein, fibre, vitamins, and minerals while being low in fat, sodium, calories, and cholesterol (</w:t>
      </w:r>
      <w:proofErr w:type="spellStart"/>
      <w:r w:rsidR="004015CC" w:rsidRPr="00995691">
        <w:rPr>
          <w:rFonts w:ascii="Times New Roman" w:hAnsi="Times New Roman" w:cs="Times New Roman"/>
          <w:sz w:val="20"/>
        </w:rPr>
        <w:t>Caglarirmak</w:t>
      </w:r>
      <w:proofErr w:type="spellEnd"/>
      <w:r w:rsidR="004015CC" w:rsidRPr="00995691">
        <w:rPr>
          <w:rFonts w:ascii="Times New Roman" w:hAnsi="Times New Roman" w:cs="Times New Roman"/>
          <w:sz w:val="20"/>
        </w:rPr>
        <w:t>, 2007)</w:t>
      </w:r>
      <w:r w:rsidR="00A10393" w:rsidRPr="00995691">
        <w:rPr>
          <w:rFonts w:ascii="Times New Roman" w:hAnsi="Times New Roman" w:cs="Times New Roman"/>
          <w:sz w:val="20"/>
        </w:rPr>
        <w:t xml:space="preserve">. </w:t>
      </w:r>
    </w:p>
    <w:p w14:paraId="152FFB81" w14:textId="5F7D0466" w:rsidR="00012222" w:rsidRPr="00995691" w:rsidRDefault="004015CC" w:rsidP="00995691">
      <w:pPr>
        <w:spacing w:after="0" w:line="276" w:lineRule="auto"/>
        <w:ind w:left="130"/>
        <w:jc w:val="both"/>
        <w:outlineLvl w:val="0"/>
        <w:rPr>
          <w:rFonts w:ascii="Times New Roman" w:hAnsi="Times New Roman" w:cs="Times New Roman"/>
          <w:sz w:val="20"/>
        </w:rPr>
      </w:pPr>
      <w:r w:rsidRPr="00995691">
        <w:rPr>
          <w:rFonts w:ascii="Times New Roman" w:hAnsi="Times New Roman" w:cs="Times New Roman"/>
          <w:i/>
          <w:iCs/>
          <w:sz w:val="20"/>
        </w:rPr>
        <w:t>P. ostreatus</w:t>
      </w:r>
      <w:r w:rsidRPr="00995691">
        <w:rPr>
          <w:rFonts w:ascii="Times New Roman" w:hAnsi="Times New Roman" w:cs="Times New Roman"/>
          <w:sz w:val="20"/>
        </w:rPr>
        <w:t xml:space="preserve"> fungal mycelium grows on a variety of substrates, including wheat straw, corn cob, saw dust, and sugarcane bagasse (Karmani et al., 2022). </w:t>
      </w:r>
      <w:r w:rsidR="008351C9" w:rsidRPr="00995691">
        <w:rPr>
          <w:rFonts w:ascii="Times New Roman" w:hAnsi="Times New Roman" w:cs="Times New Roman"/>
          <w:i/>
          <w:iCs/>
          <w:color w:val="000000"/>
          <w:sz w:val="20"/>
        </w:rPr>
        <w:t>Pleurotus</w:t>
      </w:r>
      <w:r w:rsidR="008351C9" w:rsidRPr="00995691">
        <w:rPr>
          <w:rFonts w:ascii="Times New Roman" w:hAnsi="Times New Roman" w:cs="Times New Roman"/>
          <w:color w:val="000000"/>
          <w:sz w:val="20"/>
        </w:rPr>
        <w:t xml:space="preserve"> species can also consume wood waste or unusable wood residues to stimulate economic growth and protect the forest ecology</w:t>
      </w:r>
      <w:r w:rsidRPr="00995691">
        <w:rPr>
          <w:rFonts w:ascii="Times New Roman" w:hAnsi="Times New Roman" w:cs="Times New Roman"/>
          <w:sz w:val="20"/>
        </w:rPr>
        <w:t xml:space="preserve">. Globally, around 998 million tonnes of agricultural waste are produced each year, including paddy, wheat, and cereal straws. </w:t>
      </w:r>
      <w:r w:rsidRPr="00995691">
        <w:rPr>
          <w:rFonts w:ascii="Times New Roman" w:hAnsi="Times New Roman" w:cs="Times New Roman"/>
          <w:i/>
          <w:iCs/>
          <w:sz w:val="20"/>
        </w:rPr>
        <w:t>Pleurotus</w:t>
      </w:r>
      <w:r w:rsidRPr="00995691">
        <w:rPr>
          <w:rFonts w:ascii="Times New Roman" w:hAnsi="Times New Roman" w:cs="Times New Roman"/>
          <w:sz w:val="20"/>
        </w:rPr>
        <w:t xml:space="preserve"> mushrooms use these </w:t>
      </w:r>
      <w:proofErr w:type="spellStart"/>
      <w:r w:rsidRPr="00995691">
        <w:rPr>
          <w:rFonts w:ascii="Times New Roman" w:hAnsi="Times New Roman" w:cs="Times New Roman"/>
          <w:sz w:val="20"/>
        </w:rPr>
        <w:t>agro</w:t>
      </w:r>
      <w:proofErr w:type="spellEnd"/>
      <w:r w:rsidRPr="00995691">
        <w:rPr>
          <w:rFonts w:ascii="Times New Roman" w:hAnsi="Times New Roman" w:cs="Times New Roman"/>
          <w:sz w:val="20"/>
        </w:rPr>
        <w:t xml:space="preserve">-wastes as substrates for their growth, hence cultivating them assists in recycling </w:t>
      </w:r>
      <w:proofErr w:type="spellStart"/>
      <w:r w:rsidRPr="00995691">
        <w:rPr>
          <w:rFonts w:ascii="Times New Roman" w:hAnsi="Times New Roman" w:cs="Times New Roman"/>
          <w:sz w:val="20"/>
        </w:rPr>
        <w:t>agro</w:t>
      </w:r>
      <w:proofErr w:type="spellEnd"/>
      <w:r w:rsidRPr="00995691">
        <w:rPr>
          <w:rFonts w:ascii="Times New Roman" w:hAnsi="Times New Roman" w:cs="Times New Roman"/>
          <w:sz w:val="20"/>
        </w:rPr>
        <w:t xml:space="preserve">-wastes and alleviates the nutritional gap, which is primarily prominent among the people of China, </w:t>
      </w:r>
      <w:r w:rsidRPr="00995691">
        <w:rPr>
          <w:rFonts w:ascii="Times New Roman" w:hAnsi="Times New Roman" w:cs="Times New Roman"/>
          <w:color w:val="000000" w:themeColor="text1"/>
          <w:sz w:val="20"/>
          <w:shd w:val="clear" w:color="auto" w:fill="FFFFFF"/>
        </w:rPr>
        <w:t>India and Africa.</w:t>
      </w:r>
      <w:r w:rsidR="00DF7274" w:rsidRPr="00995691">
        <w:rPr>
          <w:rFonts w:ascii="Times New Roman" w:hAnsi="Times New Roman" w:cs="Times New Roman"/>
          <w:sz w:val="20"/>
        </w:rPr>
        <w:t xml:space="preserve"> In addition, discarded substrates are used for fertiliser, animal feed, and biogas generation (Kakon AJ et al., 2012). During culture, a mushroom seed is utilised to propagate the mushroom mycelia on the desired solid substrate. The incubation room temperature ranges from 25 to 30 °C. Mycelium run periods and primordial initiation often last 24-30 days (Hoa HT et al., 2015; Girmay Z et al., 2016). </w:t>
      </w:r>
    </w:p>
    <w:p w14:paraId="628BF768" w14:textId="491DBEDD" w:rsidR="00B50291" w:rsidRPr="00995691" w:rsidRDefault="00DF7274" w:rsidP="00995691">
      <w:pPr>
        <w:spacing w:after="0" w:line="276" w:lineRule="auto"/>
        <w:ind w:left="130"/>
        <w:jc w:val="both"/>
        <w:outlineLvl w:val="0"/>
        <w:rPr>
          <w:rFonts w:ascii="Times New Roman" w:hAnsi="Times New Roman" w:cs="Times New Roman"/>
          <w:color w:val="000000" w:themeColor="text1"/>
          <w:sz w:val="20"/>
          <w:shd w:val="clear" w:color="auto" w:fill="FFFFFF"/>
        </w:rPr>
      </w:pPr>
      <w:r w:rsidRPr="00995691">
        <w:rPr>
          <w:rFonts w:ascii="Times New Roman" w:hAnsi="Times New Roman" w:cs="Times New Roman"/>
          <w:sz w:val="20"/>
        </w:rPr>
        <w:t xml:space="preserve">The temperature at which mycelium runs and basidiocarps are produced is also determined by the </w:t>
      </w:r>
      <w:r w:rsidRPr="00995691">
        <w:rPr>
          <w:rFonts w:ascii="Times New Roman" w:hAnsi="Times New Roman" w:cs="Times New Roman"/>
          <w:i/>
          <w:iCs/>
          <w:sz w:val="20"/>
        </w:rPr>
        <w:t xml:space="preserve">Pleurotus </w:t>
      </w:r>
      <w:r w:rsidRPr="00995691">
        <w:rPr>
          <w:rFonts w:ascii="Times New Roman" w:hAnsi="Times New Roman" w:cs="Times New Roman"/>
          <w:sz w:val="20"/>
        </w:rPr>
        <w:t>species being grown. Incubation rooms do not require light. Standardised mushroom growing preparation is required for various Pleurotus species.</w:t>
      </w:r>
      <w:r w:rsidR="006A393D" w:rsidRPr="00995691">
        <w:rPr>
          <w:rFonts w:ascii="Times New Roman" w:hAnsi="Times New Roman" w:cs="Times New Roman"/>
          <w:sz w:val="20"/>
        </w:rPr>
        <w:t xml:space="preserve"> The mother culture can be cultured on potato dextrose agar, a solid media, or nutrient broth. The purpose of this study is to visualise the time it takes for solid and liquid mother cultures to fully cover a substrate in order to optimise mycelial growth of </w:t>
      </w:r>
      <w:r w:rsidR="006A393D" w:rsidRPr="00995691">
        <w:rPr>
          <w:rFonts w:ascii="Times New Roman" w:hAnsi="Times New Roman" w:cs="Times New Roman"/>
          <w:i/>
          <w:iCs/>
          <w:sz w:val="20"/>
        </w:rPr>
        <w:t xml:space="preserve">Pleurotus </w:t>
      </w:r>
      <w:r w:rsidR="006A393D" w:rsidRPr="00995691">
        <w:rPr>
          <w:rFonts w:ascii="Times New Roman" w:hAnsi="Times New Roman" w:cs="Times New Roman"/>
          <w:sz w:val="20"/>
        </w:rPr>
        <w:t>ostreatus</w:t>
      </w:r>
      <w:r w:rsidR="008351C9" w:rsidRPr="00995691">
        <w:rPr>
          <w:rFonts w:ascii="Times New Roman" w:hAnsi="Times New Roman" w:cs="Times New Roman"/>
          <w:sz w:val="20"/>
        </w:rPr>
        <w:t xml:space="preserve"> </w:t>
      </w:r>
      <w:r w:rsidR="006A393D" w:rsidRPr="00995691">
        <w:rPr>
          <w:rFonts w:ascii="Times New Roman" w:hAnsi="Times New Roman" w:cs="Times New Roman"/>
          <w:sz w:val="20"/>
        </w:rPr>
        <w:t>for increased biotechnological applications</w:t>
      </w:r>
      <w:r w:rsidR="008351C9" w:rsidRPr="00995691">
        <w:rPr>
          <w:rFonts w:ascii="Times New Roman" w:hAnsi="Times New Roman" w:cs="Times New Roman"/>
          <w:sz w:val="20"/>
        </w:rPr>
        <w:t xml:space="preserve">. </w:t>
      </w:r>
      <w:r w:rsidR="006A393D" w:rsidRPr="00995691">
        <w:rPr>
          <w:rFonts w:ascii="Times New Roman" w:hAnsi="Times New Roman" w:cs="Times New Roman"/>
          <w:sz w:val="20"/>
        </w:rPr>
        <w:t>Fungal entire cells have been employed to digest a variety of environmental contaminants. The activity of non-ligninolytic and ligninolytic enzymes in fungi has been identified as crucial for remediating these harmful chemicals (R. K. Singh et al. 2019). However, live bacteria are susceptible to environmental factors such as nutrients, oxygen, soil moisture, and even toxins (</w:t>
      </w:r>
      <w:proofErr w:type="spellStart"/>
      <w:r w:rsidR="006A393D" w:rsidRPr="00995691">
        <w:rPr>
          <w:rFonts w:ascii="Times New Roman" w:hAnsi="Times New Roman" w:cs="Times New Roman"/>
          <w:sz w:val="20"/>
        </w:rPr>
        <w:t>Karigar</w:t>
      </w:r>
      <w:proofErr w:type="spellEnd"/>
      <w:r w:rsidR="006A393D" w:rsidRPr="00995691">
        <w:rPr>
          <w:rFonts w:ascii="Times New Roman" w:hAnsi="Times New Roman" w:cs="Times New Roman"/>
          <w:sz w:val="20"/>
        </w:rPr>
        <w:t xml:space="preserve"> and Rao, 2011; </w:t>
      </w:r>
      <w:proofErr w:type="spellStart"/>
      <w:r w:rsidR="006A393D" w:rsidRPr="00995691">
        <w:rPr>
          <w:rFonts w:ascii="Times New Roman" w:hAnsi="Times New Roman" w:cs="Times New Roman"/>
          <w:sz w:val="20"/>
        </w:rPr>
        <w:t>Vidali</w:t>
      </w:r>
      <w:proofErr w:type="spellEnd"/>
      <w:r w:rsidR="006A393D" w:rsidRPr="00995691">
        <w:rPr>
          <w:rFonts w:ascii="Times New Roman" w:hAnsi="Times New Roman" w:cs="Times New Roman"/>
          <w:sz w:val="20"/>
        </w:rPr>
        <w:t>, 2001). This leads to substantial operational expenditures in maintaining their biological activity.</w:t>
      </w:r>
      <w:r w:rsidR="00151DFF" w:rsidRPr="00995691">
        <w:rPr>
          <w:rFonts w:ascii="Times New Roman" w:hAnsi="Times New Roman" w:cs="Times New Roman"/>
          <w:sz w:val="20"/>
        </w:rPr>
        <w:t xml:space="preserve"> In contrast, isolated enzymes are less susceptible to the aforementioned conditions that reduce cell viability (Sutherland et al., 2004). </w:t>
      </w:r>
      <w:r w:rsidR="008351C9" w:rsidRPr="00995691">
        <w:rPr>
          <w:rFonts w:ascii="Times New Roman" w:hAnsi="Times New Roman" w:cs="Times New Roman"/>
          <w:sz w:val="20"/>
        </w:rPr>
        <w:t>Several fungal enzymes can break down more resistant contaminants because of their higher redox potential (</w:t>
      </w:r>
      <w:proofErr w:type="spellStart"/>
      <w:r w:rsidR="008351C9" w:rsidRPr="00995691">
        <w:rPr>
          <w:rFonts w:ascii="Times New Roman" w:hAnsi="Times New Roman" w:cs="Times New Roman"/>
          <w:sz w:val="20"/>
        </w:rPr>
        <w:t>Mikolasch</w:t>
      </w:r>
      <w:proofErr w:type="spellEnd"/>
      <w:r w:rsidR="008351C9" w:rsidRPr="00995691">
        <w:rPr>
          <w:rFonts w:ascii="Times New Roman" w:hAnsi="Times New Roman" w:cs="Times New Roman"/>
          <w:sz w:val="20"/>
        </w:rPr>
        <w:t xml:space="preserve"> and Schauer, 2009; </w:t>
      </w:r>
      <w:proofErr w:type="spellStart"/>
      <w:r w:rsidR="008351C9" w:rsidRPr="00995691">
        <w:rPr>
          <w:rFonts w:ascii="Times New Roman" w:hAnsi="Times New Roman" w:cs="Times New Roman"/>
          <w:sz w:val="20"/>
        </w:rPr>
        <w:t>Rebrikov</w:t>
      </w:r>
      <w:proofErr w:type="spellEnd"/>
      <w:r w:rsidR="008351C9" w:rsidRPr="00995691">
        <w:rPr>
          <w:rFonts w:ascii="Times New Roman" w:hAnsi="Times New Roman" w:cs="Times New Roman"/>
          <w:sz w:val="20"/>
        </w:rPr>
        <w:t xml:space="preserve"> et al., 2006)</w:t>
      </w:r>
      <w:r w:rsidR="00151DFF" w:rsidRPr="00995691">
        <w:rPr>
          <w:rFonts w:ascii="Times New Roman" w:hAnsi="Times New Roman" w:cs="Times New Roman"/>
          <w:sz w:val="20"/>
        </w:rPr>
        <w:t xml:space="preserve">. Thus, instead of employing complete fungal cells, directly administering enzymes has increasingly gained popularity as a viable alternative (R. K. Singh et al., 2019). Apart from being used to clean up pollution, fungal enzymes have a significant commercial value due to their ability to breakdown </w:t>
      </w:r>
      <w:r w:rsidR="00151DFF" w:rsidRPr="00995691">
        <w:rPr>
          <w:rFonts w:ascii="Times New Roman" w:hAnsi="Times New Roman" w:cs="Times New Roman"/>
          <w:sz w:val="20"/>
        </w:rPr>
        <w:lastRenderedPageBreak/>
        <w:t xml:space="preserve">chemicals (McKelvey and Murphy, 2017) in a number of industries, </w:t>
      </w:r>
      <w:r w:rsidR="00891353" w:rsidRPr="00995691">
        <w:rPr>
          <w:rFonts w:ascii="Times New Roman" w:hAnsi="Times New Roman" w:cs="Times New Roman"/>
          <w:sz w:val="20"/>
        </w:rPr>
        <w:t>like baking</w:t>
      </w:r>
      <w:r w:rsidR="00151DFF" w:rsidRPr="00995691">
        <w:rPr>
          <w:rFonts w:ascii="Times New Roman" w:hAnsi="Times New Roman" w:cs="Times New Roman"/>
          <w:sz w:val="20"/>
        </w:rPr>
        <w:t xml:space="preserve"> products (Scarton et al., 2021) and detergents (Niyonzima, 2021).</w:t>
      </w:r>
    </w:p>
    <w:p w14:paraId="1C10506A" w14:textId="735C33D2" w:rsidR="00A03EA3" w:rsidRPr="00995691" w:rsidRDefault="008351C9" w:rsidP="00995691">
      <w:pPr>
        <w:spacing w:after="0" w:line="276" w:lineRule="auto"/>
        <w:ind w:left="130"/>
        <w:jc w:val="both"/>
        <w:rPr>
          <w:rFonts w:ascii="Times New Roman" w:hAnsi="Times New Roman" w:cs="Times New Roman"/>
          <w:sz w:val="20"/>
        </w:rPr>
      </w:pPr>
      <w:r w:rsidRPr="00995691">
        <w:rPr>
          <w:rFonts w:ascii="Times New Roman" w:hAnsi="Times New Roman" w:cs="Times New Roman"/>
          <w:sz w:val="20"/>
        </w:rPr>
        <w:t xml:space="preserve">Some </w:t>
      </w:r>
      <w:r w:rsidR="00891353" w:rsidRPr="00995691">
        <w:rPr>
          <w:rFonts w:ascii="Times New Roman" w:hAnsi="Times New Roman" w:cs="Times New Roman"/>
          <w:sz w:val="20"/>
        </w:rPr>
        <w:t>other application</w:t>
      </w:r>
      <w:r w:rsidR="00A64E59" w:rsidRPr="00995691">
        <w:rPr>
          <w:rFonts w:ascii="Times New Roman" w:hAnsi="Times New Roman" w:cs="Times New Roman"/>
          <w:sz w:val="20"/>
        </w:rPr>
        <w:t xml:space="preserve"> for fungal enzymes </w:t>
      </w:r>
      <w:r w:rsidR="00891353" w:rsidRPr="00995691">
        <w:rPr>
          <w:rFonts w:ascii="Times New Roman" w:hAnsi="Times New Roman" w:cs="Times New Roman"/>
          <w:sz w:val="20"/>
        </w:rPr>
        <w:t>is synthesis</w:t>
      </w:r>
      <w:r w:rsidR="00A64E59" w:rsidRPr="00995691">
        <w:rPr>
          <w:rFonts w:ascii="Times New Roman" w:hAnsi="Times New Roman" w:cs="Times New Roman"/>
          <w:sz w:val="20"/>
        </w:rPr>
        <w:t xml:space="preserve"> of economically valuable chemicals (McKelvey and Murphy, 2017). Metallic catalysts are effective, but they may be poisonous and produce additional byproducts (Lu et al., 2019). Enzymes, on the other hand, are non-toxic, biocompatible, and biodegradable, eliminating the possibility of downstream pollution (Jegannathan and Nielsen, 2013; </w:t>
      </w:r>
      <w:proofErr w:type="spellStart"/>
      <w:r w:rsidR="00A64E59" w:rsidRPr="00995691">
        <w:rPr>
          <w:rFonts w:ascii="Times New Roman" w:hAnsi="Times New Roman" w:cs="Times New Roman"/>
          <w:sz w:val="20"/>
        </w:rPr>
        <w:t>Soetaer</w:t>
      </w:r>
      <w:proofErr w:type="spellEnd"/>
      <w:r w:rsidR="00A64E59" w:rsidRPr="00995691">
        <w:rPr>
          <w:rFonts w:ascii="Times New Roman" w:hAnsi="Times New Roman" w:cs="Times New Roman"/>
          <w:sz w:val="20"/>
        </w:rPr>
        <w:t xml:space="preserve"> and Vandamme, 2010). Furthermore, enzymes normally operate under mild physiological settings, which helps safeguard sensitive raw substrates (Lu et al., 2019). Enzymes, as benign and environmentally friendly catalysts, have been proposed as widely applicable synthetic tools. Fungal enzymes, in particular, have a role in the synthesis of various monomers, oligomers, and polymers. These synthesised compounds can be used in a variety of industries, including renewable fuels, sophisticated materials, and many more (Amini et al., 2017; </w:t>
      </w:r>
      <w:proofErr w:type="spellStart"/>
      <w:r w:rsidR="00A64E59" w:rsidRPr="00995691">
        <w:rPr>
          <w:rFonts w:ascii="Times New Roman" w:hAnsi="Times New Roman" w:cs="Times New Roman"/>
          <w:sz w:val="20"/>
        </w:rPr>
        <w:t>Vénica</w:t>
      </w:r>
      <w:proofErr w:type="spellEnd"/>
      <w:r w:rsidR="00A64E59" w:rsidRPr="00995691">
        <w:rPr>
          <w:rFonts w:ascii="Times New Roman" w:hAnsi="Times New Roman" w:cs="Times New Roman"/>
          <w:sz w:val="20"/>
        </w:rPr>
        <w:t xml:space="preserve"> et al., 2020; Walde et al., 2019).</w:t>
      </w:r>
    </w:p>
    <w:p w14:paraId="5C660BF3" w14:textId="6E707A85" w:rsidR="00A10393" w:rsidRPr="00995691" w:rsidRDefault="008351C9" w:rsidP="00995691">
      <w:pPr>
        <w:spacing w:after="0" w:line="23" w:lineRule="atLeast"/>
        <w:ind w:left="130"/>
        <w:jc w:val="both"/>
        <w:rPr>
          <w:rFonts w:ascii="Times New Roman" w:hAnsi="Times New Roman" w:cs="Times New Roman"/>
          <w:sz w:val="20"/>
        </w:rPr>
      </w:pPr>
      <w:r w:rsidRPr="00995691">
        <w:rPr>
          <w:rFonts w:ascii="Times New Roman" w:hAnsi="Times New Roman" w:cs="Times New Roman"/>
          <w:sz w:val="20"/>
        </w:rPr>
        <w:t>Fungal enzymes provide benefits, but they also have limitations.</w:t>
      </w:r>
      <w:r w:rsidR="00496FA6" w:rsidRPr="00995691">
        <w:rPr>
          <w:rFonts w:ascii="Times New Roman" w:hAnsi="Times New Roman" w:cs="Times New Roman"/>
          <w:sz w:val="20"/>
        </w:rPr>
        <w:t xml:space="preserve"> For example, if the conditions are harsh (e.g., high acidity and/or temperature), liberated enzymes might denature, reducing their activity and affinity for substrates (Franssen et al., 2013). To address these limitations, immobilisation technologies have been utilised to enhance enzyme catalytic characteristics and stability. Immobilisation optimises interactions between enzymes and substrates while minimising non-specific interactions (</w:t>
      </w:r>
      <w:proofErr w:type="spellStart"/>
      <w:r w:rsidR="00496FA6" w:rsidRPr="00995691">
        <w:rPr>
          <w:rFonts w:ascii="Times New Roman" w:hAnsi="Times New Roman" w:cs="Times New Roman"/>
          <w:sz w:val="20"/>
        </w:rPr>
        <w:t>Homaei</w:t>
      </w:r>
      <w:proofErr w:type="spellEnd"/>
      <w:r w:rsidR="00496FA6" w:rsidRPr="00995691">
        <w:rPr>
          <w:rFonts w:ascii="Times New Roman" w:hAnsi="Times New Roman" w:cs="Times New Roman"/>
          <w:sz w:val="20"/>
        </w:rPr>
        <w:t xml:space="preserve"> et al., 2013). Immobilised enzymes have the advantages of long-term operating stability, ease of recovery, and reusability in industrial applications, which improve performance while lowering total process costs (Datta et al., 2013; Hassan et al., 2019).</w:t>
      </w:r>
    </w:p>
    <w:p w14:paraId="4571ACCB" w14:textId="5CC2CA81" w:rsidR="00BC37AA" w:rsidRPr="00995691" w:rsidRDefault="00891353" w:rsidP="00995691">
      <w:pPr>
        <w:spacing w:after="0" w:line="23" w:lineRule="atLeast"/>
        <w:ind w:left="130"/>
        <w:jc w:val="both"/>
        <w:rPr>
          <w:rFonts w:ascii="Times New Roman" w:hAnsi="Times New Roman" w:cs="Times New Roman"/>
          <w:b/>
          <w:bCs/>
          <w:color w:val="000000" w:themeColor="text1"/>
          <w:sz w:val="24"/>
          <w:szCs w:val="24"/>
          <w:shd w:val="clear" w:color="auto" w:fill="FFFFFF"/>
        </w:rPr>
      </w:pPr>
      <w:r w:rsidRPr="00995691">
        <w:rPr>
          <w:rFonts w:ascii="Times New Roman" w:hAnsi="Times New Roman" w:cs="Times New Roman"/>
          <w:b/>
          <w:bCs/>
          <w:color w:val="000000" w:themeColor="text1"/>
          <w:sz w:val="24"/>
          <w:szCs w:val="24"/>
          <w:shd w:val="clear" w:color="auto" w:fill="FFFFFF"/>
        </w:rPr>
        <w:t>2.</w:t>
      </w:r>
      <w:r w:rsidR="00012222" w:rsidRPr="00995691">
        <w:rPr>
          <w:rFonts w:ascii="Times New Roman" w:hAnsi="Times New Roman" w:cs="Times New Roman"/>
          <w:b/>
          <w:bCs/>
          <w:color w:val="000000" w:themeColor="text1"/>
          <w:sz w:val="24"/>
          <w:szCs w:val="24"/>
          <w:shd w:val="clear" w:color="auto" w:fill="FFFFFF"/>
        </w:rPr>
        <w:t xml:space="preserve"> </w:t>
      </w:r>
      <w:r w:rsidR="00BC37AA" w:rsidRPr="00995691">
        <w:rPr>
          <w:rFonts w:ascii="Times New Roman" w:hAnsi="Times New Roman" w:cs="Times New Roman"/>
          <w:b/>
          <w:bCs/>
          <w:color w:val="000000" w:themeColor="text1"/>
          <w:sz w:val="24"/>
          <w:szCs w:val="24"/>
          <w:shd w:val="clear" w:color="auto" w:fill="FFFFFF"/>
        </w:rPr>
        <w:t>MATERIALS AND METHODS</w:t>
      </w:r>
    </w:p>
    <w:p w14:paraId="6F27963E" w14:textId="77777777" w:rsidR="00B31F87" w:rsidRDefault="0089135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2.1</w:t>
      </w:r>
      <w:r w:rsidR="00012222" w:rsidRPr="00995691">
        <w:rPr>
          <w:rFonts w:ascii="Times New Roman" w:eastAsia="Times New Roman" w:hAnsi="Times New Roman" w:cs="Times New Roman"/>
          <w:b/>
          <w:bCs/>
          <w:kern w:val="0"/>
          <w:sz w:val="20"/>
          <w:lang w:eastAsia="en-IN"/>
          <w14:ligatures w14:val="none"/>
        </w:rPr>
        <w:t>.</w:t>
      </w:r>
      <w:r w:rsidR="00A6324B"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Multiplication of desired strain:</w:t>
      </w:r>
      <w:r w:rsidR="00DC2663" w:rsidRPr="00995691">
        <w:rPr>
          <w:rFonts w:ascii="Times New Roman" w:eastAsia="Times New Roman" w:hAnsi="Times New Roman" w:cs="Times New Roman"/>
          <w:kern w:val="0"/>
          <w:sz w:val="20"/>
          <w:lang w:eastAsia="en-IN"/>
          <w14:ligatures w14:val="none"/>
        </w:rPr>
        <w:t xml:space="preserve"> </w:t>
      </w:r>
    </w:p>
    <w:p w14:paraId="540E2757" w14:textId="0FEC167E" w:rsidR="00A1039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 xml:space="preserve">The pure strain of </w:t>
      </w:r>
      <w:r w:rsidRPr="00995691">
        <w:rPr>
          <w:rFonts w:ascii="Times New Roman" w:eastAsia="Times New Roman" w:hAnsi="Times New Roman" w:cs="Times New Roman"/>
          <w:i/>
          <w:iCs/>
          <w:kern w:val="0"/>
          <w:sz w:val="20"/>
          <w:lang w:eastAsia="en-IN"/>
          <w14:ligatures w14:val="none"/>
        </w:rPr>
        <w:t>P. ostreatus</w:t>
      </w:r>
      <w:r w:rsidRPr="00995691">
        <w:rPr>
          <w:rFonts w:ascii="Times New Roman" w:eastAsia="Times New Roman" w:hAnsi="Times New Roman" w:cs="Times New Roman"/>
          <w:kern w:val="0"/>
          <w:sz w:val="20"/>
          <w:lang w:eastAsia="en-IN"/>
          <w14:ligatures w14:val="none"/>
        </w:rPr>
        <w:t xml:space="preserve"> was catered from the ICAR-Directorate of Mushroom Research (DMR), Solan (HP). This strain was multiplied on potato dextrose agar slants to get an ample amount of culture. The slants were incubated for 7 days at 21 °C in dark conditions. After full mycelium coverage, these slants can be refrigerated at 4 °C for preservation and further use.</w:t>
      </w:r>
    </w:p>
    <w:p w14:paraId="2B5DF5E7" w14:textId="77777777" w:rsidR="00B31F87" w:rsidRDefault="0089135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2.2</w:t>
      </w:r>
      <w:r w:rsidR="00012222" w:rsidRPr="00995691">
        <w:rPr>
          <w:rFonts w:ascii="Times New Roman" w:eastAsia="Times New Roman" w:hAnsi="Times New Roman" w:cs="Times New Roman"/>
          <w:b/>
          <w:bCs/>
          <w:kern w:val="0"/>
          <w:sz w:val="20"/>
          <w:lang w:eastAsia="en-IN"/>
          <w14:ligatures w14:val="none"/>
        </w:rPr>
        <w:t>.</w:t>
      </w:r>
      <w:r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Preparation of inoculum for substrate inoculation:</w:t>
      </w:r>
      <w:r w:rsidR="00DC2663" w:rsidRPr="00995691">
        <w:rPr>
          <w:rFonts w:ascii="Times New Roman" w:eastAsia="Times New Roman" w:hAnsi="Times New Roman" w:cs="Times New Roman"/>
          <w:kern w:val="0"/>
          <w:sz w:val="20"/>
          <w:lang w:eastAsia="en-IN"/>
          <w14:ligatures w14:val="none"/>
        </w:rPr>
        <w:t xml:space="preserve"> </w:t>
      </w:r>
    </w:p>
    <w:p w14:paraId="409B475F" w14:textId="5CBBCABF" w:rsidR="00A1039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 xml:space="preserve">To inoculate substrate, the desired fungal strain was grown on solid media as well as liquid broth. For solid inoculum preparation, a prior multiplied fungal strain was inoculated in potato dextrose agar media in petri plates. These plates were incubated for 15 days at 21 °C in dark conditions. For liquid inoculum preparation, a prior multiplied culture of </w:t>
      </w:r>
      <w:r w:rsidRPr="00995691">
        <w:rPr>
          <w:rFonts w:ascii="Times New Roman" w:eastAsia="Times New Roman" w:hAnsi="Times New Roman" w:cs="Times New Roman"/>
          <w:i/>
          <w:iCs/>
          <w:kern w:val="0"/>
          <w:sz w:val="20"/>
          <w:lang w:eastAsia="en-IN"/>
          <w14:ligatures w14:val="none"/>
        </w:rPr>
        <w:t>P. ostreatus</w:t>
      </w:r>
      <w:r w:rsidRPr="00995691">
        <w:rPr>
          <w:rFonts w:ascii="Times New Roman" w:eastAsia="Times New Roman" w:hAnsi="Times New Roman" w:cs="Times New Roman"/>
          <w:kern w:val="0"/>
          <w:sz w:val="20"/>
          <w:lang w:eastAsia="en-IN"/>
          <w14:ligatures w14:val="none"/>
        </w:rPr>
        <w:t xml:space="preserve"> was inoculated in nutrient broth and kept for incubation for 15 days at 21 °C in dark conditions on a rotary shaker. After 15 days, both of these inoculums can be refrigerated at 4 °C for preservation and further use.</w:t>
      </w:r>
    </w:p>
    <w:p w14:paraId="3990C07D" w14:textId="77777777" w:rsidR="00B31F87" w:rsidRDefault="0089135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2.3</w:t>
      </w:r>
      <w:r w:rsidR="00012222" w:rsidRPr="00995691">
        <w:rPr>
          <w:rFonts w:ascii="Times New Roman" w:eastAsia="Times New Roman" w:hAnsi="Times New Roman" w:cs="Times New Roman"/>
          <w:b/>
          <w:bCs/>
          <w:kern w:val="0"/>
          <w:sz w:val="20"/>
          <w:lang w:eastAsia="en-IN"/>
          <w14:ligatures w14:val="none"/>
        </w:rPr>
        <w:t>.</w:t>
      </w:r>
      <w:r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Substrate Preparation:</w:t>
      </w:r>
      <w:r w:rsidR="00DC2663" w:rsidRPr="00995691">
        <w:rPr>
          <w:rFonts w:ascii="Times New Roman" w:eastAsia="Times New Roman" w:hAnsi="Times New Roman" w:cs="Times New Roman"/>
          <w:kern w:val="0"/>
          <w:sz w:val="20"/>
          <w:lang w:eastAsia="en-IN"/>
          <w14:ligatures w14:val="none"/>
        </w:rPr>
        <w:t xml:space="preserve"> </w:t>
      </w:r>
    </w:p>
    <w:p w14:paraId="2072266A" w14:textId="4EAF63B4" w:rsidR="00A1039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Wheat is used as a substrate for the growth of the mycelium of</w:t>
      </w:r>
      <w:r w:rsidRPr="00995691">
        <w:rPr>
          <w:rFonts w:ascii="Times New Roman" w:eastAsia="Times New Roman" w:hAnsi="Times New Roman" w:cs="Times New Roman"/>
          <w:i/>
          <w:iCs/>
          <w:kern w:val="0"/>
          <w:sz w:val="20"/>
          <w:lang w:eastAsia="en-IN"/>
          <w14:ligatures w14:val="none"/>
        </w:rPr>
        <w:t xml:space="preserve"> P. ostreatus</w:t>
      </w:r>
      <w:r w:rsidRPr="00995691">
        <w:rPr>
          <w:rFonts w:ascii="Times New Roman" w:eastAsia="Times New Roman" w:hAnsi="Times New Roman" w:cs="Times New Roman"/>
          <w:kern w:val="0"/>
          <w:sz w:val="20"/>
          <w:lang w:eastAsia="en-IN"/>
          <w14:ligatures w14:val="none"/>
        </w:rPr>
        <w:t>. The wheat grains were cleaned and washed four times. This was followed by boiling in water for about 20 minutes until the grains were soft but intact and the starch was not released. The grains were weighed, and to them, 4% (w/w) of calcium carbonate and magnesium sulphate were added. 100 grammes of grains were transferred into jars and autoclaved at 121 °C and 15 psi pressure. These jars were left to cool in laminar air flow for 24 hours.</w:t>
      </w:r>
    </w:p>
    <w:p w14:paraId="77141E69" w14:textId="77777777" w:rsidR="00B31F87" w:rsidRDefault="0089135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2.4</w:t>
      </w:r>
      <w:r w:rsidR="00012222" w:rsidRPr="00995691">
        <w:rPr>
          <w:rFonts w:ascii="Times New Roman" w:eastAsia="Times New Roman" w:hAnsi="Times New Roman" w:cs="Times New Roman"/>
          <w:b/>
          <w:bCs/>
          <w:kern w:val="0"/>
          <w:sz w:val="20"/>
          <w:lang w:eastAsia="en-IN"/>
          <w14:ligatures w14:val="none"/>
        </w:rPr>
        <w:t>.</w:t>
      </w:r>
      <w:r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Substrate inoculation:</w:t>
      </w:r>
      <w:r w:rsidR="00DC2663" w:rsidRPr="00995691">
        <w:rPr>
          <w:rFonts w:ascii="Times New Roman" w:eastAsia="Times New Roman" w:hAnsi="Times New Roman" w:cs="Times New Roman"/>
          <w:kern w:val="0"/>
          <w:sz w:val="20"/>
          <w:lang w:eastAsia="en-IN"/>
          <w14:ligatures w14:val="none"/>
        </w:rPr>
        <w:t xml:space="preserve"> </w:t>
      </w:r>
    </w:p>
    <w:p w14:paraId="570F3F51" w14:textId="01355BEC" w:rsidR="00DC266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The jars were inoculated with solid and liquid inoculums separately and kept for incubation at 21 °C in dark conditions to check whether the time taken by the liquid inoculum to cover the full substrate is less or the time taken by the solid inoculum to cover the full substrate is less.</w:t>
      </w:r>
    </w:p>
    <w:p w14:paraId="7019D36F" w14:textId="77777777" w:rsidR="00B31F87" w:rsidRDefault="00891353" w:rsidP="00995691">
      <w:pPr>
        <w:spacing w:after="0" w:line="23" w:lineRule="atLeast"/>
        <w:ind w:left="130"/>
        <w:jc w:val="both"/>
        <w:rPr>
          <w:rFonts w:ascii="Times New Roman" w:eastAsia="Times New Roman" w:hAnsi="Times New Roman" w:cs="Times New Roman"/>
          <w:b/>
          <w:bCs/>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2.5</w:t>
      </w:r>
      <w:r w:rsidR="00012222" w:rsidRPr="00995691">
        <w:rPr>
          <w:rFonts w:ascii="Times New Roman" w:eastAsia="Times New Roman" w:hAnsi="Times New Roman" w:cs="Times New Roman"/>
          <w:b/>
          <w:bCs/>
          <w:kern w:val="0"/>
          <w:sz w:val="20"/>
          <w:lang w:eastAsia="en-IN"/>
          <w14:ligatures w14:val="none"/>
        </w:rPr>
        <w:t>.</w:t>
      </w:r>
      <w:r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 xml:space="preserve">Immobilisation of fungal cells: </w:t>
      </w:r>
    </w:p>
    <w:p w14:paraId="7EFCE86E" w14:textId="59DF8C65" w:rsidR="00DC266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0.8</w:t>
      </w:r>
      <w:r w:rsidR="004B5CDE" w:rsidRPr="00995691">
        <w:rPr>
          <w:rFonts w:ascii="Times New Roman" w:eastAsia="Times New Roman" w:hAnsi="Times New Roman" w:cs="Times New Roman"/>
          <w:kern w:val="0"/>
          <w:sz w:val="20"/>
          <w:lang w:eastAsia="en-IN"/>
          <w14:ligatures w14:val="none"/>
        </w:rPr>
        <w:t xml:space="preserve"> </w:t>
      </w:r>
      <w:r w:rsidRPr="00995691">
        <w:rPr>
          <w:rFonts w:ascii="Times New Roman" w:eastAsia="Times New Roman" w:hAnsi="Times New Roman" w:cs="Times New Roman"/>
          <w:kern w:val="0"/>
          <w:sz w:val="20"/>
          <w:lang w:eastAsia="en-IN"/>
          <w14:ligatures w14:val="none"/>
        </w:rPr>
        <w:t>g</w:t>
      </w:r>
      <w:r w:rsidR="004B5CDE" w:rsidRPr="00995691">
        <w:rPr>
          <w:rFonts w:ascii="Times New Roman" w:eastAsia="Times New Roman" w:hAnsi="Times New Roman" w:cs="Times New Roman"/>
          <w:kern w:val="0"/>
          <w:sz w:val="20"/>
          <w:lang w:eastAsia="en-IN"/>
          <w14:ligatures w14:val="none"/>
        </w:rPr>
        <w:t>m</w:t>
      </w:r>
      <w:r w:rsidRPr="00995691">
        <w:rPr>
          <w:rFonts w:ascii="Times New Roman" w:eastAsia="Times New Roman" w:hAnsi="Times New Roman" w:cs="Times New Roman"/>
          <w:kern w:val="0"/>
          <w:sz w:val="20"/>
          <w:lang w:eastAsia="en-IN"/>
          <w14:ligatures w14:val="none"/>
        </w:rPr>
        <w:t xml:space="preserve"> sodium alginate solution was made in 10 ml of distilled water.</w:t>
      </w:r>
      <w:r w:rsidR="004B5CDE" w:rsidRPr="00995691">
        <w:rPr>
          <w:rFonts w:ascii="Times New Roman" w:eastAsia="Times New Roman" w:hAnsi="Times New Roman" w:cs="Times New Roman"/>
          <w:kern w:val="0"/>
          <w:sz w:val="20"/>
          <w:lang w:eastAsia="en-IN"/>
          <w14:ligatures w14:val="none"/>
        </w:rPr>
        <w:t xml:space="preserve"> </w:t>
      </w:r>
      <w:r w:rsidRPr="00995691">
        <w:rPr>
          <w:rFonts w:ascii="Times New Roman" w:eastAsia="Times New Roman" w:hAnsi="Times New Roman" w:cs="Times New Roman"/>
          <w:kern w:val="0"/>
          <w:sz w:val="20"/>
          <w:lang w:eastAsia="en-IN"/>
          <w14:ligatures w14:val="none"/>
        </w:rPr>
        <w:t>1.8</w:t>
      </w:r>
      <w:r w:rsidR="004B5CDE" w:rsidRPr="00995691">
        <w:rPr>
          <w:rFonts w:ascii="Times New Roman" w:eastAsia="Times New Roman" w:hAnsi="Times New Roman" w:cs="Times New Roman"/>
          <w:kern w:val="0"/>
          <w:sz w:val="20"/>
          <w:lang w:eastAsia="en-IN"/>
          <w14:ligatures w14:val="none"/>
        </w:rPr>
        <w:t xml:space="preserve"> gm</w:t>
      </w:r>
      <w:r w:rsidRPr="00995691">
        <w:rPr>
          <w:rFonts w:ascii="Times New Roman" w:eastAsia="Times New Roman" w:hAnsi="Times New Roman" w:cs="Times New Roman"/>
          <w:kern w:val="0"/>
          <w:sz w:val="20"/>
          <w:lang w:eastAsia="en-IN"/>
          <w14:ligatures w14:val="none"/>
        </w:rPr>
        <w:t xml:space="preserve"> calcium chloride solution was prepared in 20 ml of distilled water. Then 20 ml of broth culture was mixed with a sodium alginate solution. This solution was taken into a sterile syringe, and the calcium chloride solution was transferred to a clean petri plate. Then, sodium alginate with fungal broth was transferred drop by drop into a calcium chloride solution taken from a petri plate. The beads were left undisturbed in the calcium chloride solution for 30 minutes. The beads were filtered and left to dry for 24 hours.</w:t>
      </w:r>
    </w:p>
    <w:p w14:paraId="5878C09A" w14:textId="498A5914" w:rsidR="00BD36EF" w:rsidRPr="00995691" w:rsidRDefault="00891353" w:rsidP="00995691">
      <w:pPr>
        <w:spacing w:after="0" w:line="23" w:lineRule="atLeast"/>
        <w:ind w:left="130"/>
        <w:jc w:val="both"/>
        <w:rPr>
          <w:rFonts w:ascii="Times New Roman" w:hAnsi="Times New Roman" w:cs="Times New Roman"/>
          <w:b/>
          <w:bCs/>
          <w:color w:val="000000" w:themeColor="text1"/>
          <w:sz w:val="24"/>
          <w:szCs w:val="24"/>
          <w:shd w:val="clear" w:color="auto" w:fill="FFFFFF"/>
        </w:rPr>
      </w:pPr>
      <w:r w:rsidRPr="00995691">
        <w:rPr>
          <w:rFonts w:ascii="Times New Roman" w:hAnsi="Times New Roman" w:cs="Times New Roman"/>
          <w:b/>
          <w:bCs/>
          <w:color w:val="000000" w:themeColor="text1"/>
          <w:sz w:val="24"/>
          <w:szCs w:val="24"/>
          <w:shd w:val="clear" w:color="auto" w:fill="FFFFFF"/>
        </w:rPr>
        <w:t>3.</w:t>
      </w:r>
      <w:r w:rsidR="00BD36EF" w:rsidRPr="00995691">
        <w:rPr>
          <w:rFonts w:ascii="Times New Roman" w:hAnsi="Times New Roman" w:cs="Times New Roman"/>
          <w:b/>
          <w:bCs/>
          <w:color w:val="000000" w:themeColor="text1"/>
          <w:sz w:val="24"/>
          <w:szCs w:val="24"/>
          <w:shd w:val="clear" w:color="auto" w:fill="FFFFFF"/>
        </w:rPr>
        <w:t>RES</w:t>
      </w:r>
      <w:r w:rsidR="0015497F" w:rsidRPr="00995691">
        <w:rPr>
          <w:rFonts w:ascii="Times New Roman" w:hAnsi="Times New Roman" w:cs="Times New Roman"/>
          <w:b/>
          <w:bCs/>
          <w:color w:val="000000" w:themeColor="text1"/>
          <w:sz w:val="24"/>
          <w:szCs w:val="24"/>
          <w:shd w:val="clear" w:color="auto" w:fill="FFFFFF"/>
        </w:rPr>
        <w:t>ULT</w:t>
      </w:r>
    </w:p>
    <w:p w14:paraId="70AF3B1F" w14:textId="6B782A0B" w:rsidR="009403EB" w:rsidRPr="00995691" w:rsidRDefault="00960B31" w:rsidP="00995691">
      <w:pPr>
        <w:spacing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 xml:space="preserve">The jars containing the optimized substrate underwent inoculation with both solid and liquid inoculums. Incubation at 21°C </w:t>
      </w:r>
      <w:r w:rsidR="00256D17" w:rsidRPr="00995691">
        <w:rPr>
          <w:rFonts w:ascii="Times New Roman" w:hAnsi="Times New Roman" w:cs="Times New Roman"/>
          <w:color w:val="0D0D0D"/>
          <w:sz w:val="20"/>
          <w:shd w:val="clear" w:color="auto" w:fill="FFFFFF"/>
        </w:rPr>
        <w:t xml:space="preserve">for 10 days </w:t>
      </w:r>
      <w:r w:rsidRPr="00995691">
        <w:rPr>
          <w:rFonts w:ascii="Times New Roman" w:hAnsi="Times New Roman" w:cs="Times New Roman"/>
          <w:color w:val="0D0D0D"/>
          <w:sz w:val="20"/>
          <w:shd w:val="clear" w:color="auto" w:fill="FFFFFF"/>
        </w:rPr>
        <w:t xml:space="preserve">in dark conditions </w:t>
      </w:r>
      <w:r w:rsidR="00FE5336" w:rsidRPr="00995691">
        <w:rPr>
          <w:rFonts w:ascii="Times New Roman" w:hAnsi="Times New Roman" w:cs="Times New Roman"/>
          <w:color w:val="0D0D0D"/>
          <w:sz w:val="20"/>
          <w:shd w:val="clear" w:color="auto" w:fill="FFFFFF"/>
        </w:rPr>
        <w:t xml:space="preserve">was </w:t>
      </w:r>
      <w:r w:rsidRPr="00995691">
        <w:rPr>
          <w:rFonts w:ascii="Times New Roman" w:hAnsi="Times New Roman" w:cs="Times New Roman"/>
          <w:color w:val="0D0D0D"/>
          <w:sz w:val="20"/>
          <w:shd w:val="clear" w:color="auto" w:fill="FFFFFF"/>
        </w:rPr>
        <w:t>allowed for the comparison of the time required for each inoculum type to achieve full substrate coverage.</w:t>
      </w:r>
      <w:r w:rsidR="00FE5336" w:rsidRPr="00995691">
        <w:rPr>
          <w:rFonts w:ascii="Times New Roman" w:hAnsi="Times New Roman" w:cs="Times New Roman"/>
          <w:color w:val="0D0D0D"/>
          <w:sz w:val="20"/>
          <w:shd w:val="clear" w:color="auto" w:fill="FFFFFF"/>
        </w:rPr>
        <w:t xml:space="preserve"> </w:t>
      </w:r>
      <w:r w:rsidR="00931BC6" w:rsidRPr="00995691">
        <w:rPr>
          <w:rFonts w:ascii="Times New Roman" w:hAnsi="Times New Roman" w:cs="Times New Roman"/>
          <w:color w:val="000000" w:themeColor="text1"/>
          <w:sz w:val="20"/>
          <w:shd w:val="clear" w:color="auto" w:fill="FFFFFF"/>
        </w:rPr>
        <w:t xml:space="preserve">After 10 days of incubation of jars it was </w:t>
      </w:r>
      <w:r w:rsidR="00027994" w:rsidRPr="00995691">
        <w:rPr>
          <w:rFonts w:ascii="Times New Roman" w:hAnsi="Times New Roman" w:cs="Times New Roman"/>
          <w:color w:val="000000" w:themeColor="text1"/>
          <w:sz w:val="20"/>
          <w:shd w:val="clear" w:color="auto" w:fill="FFFFFF"/>
        </w:rPr>
        <w:t xml:space="preserve">observed that the jar which was inoculated with liquid </w:t>
      </w:r>
      <w:r w:rsidR="008B48DD" w:rsidRPr="00995691">
        <w:rPr>
          <w:rFonts w:ascii="Times New Roman" w:hAnsi="Times New Roman" w:cs="Times New Roman"/>
          <w:color w:val="000000" w:themeColor="text1"/>
          <w:sz w:val="20"/>
          <w:shd w:val="clear" w:color="auto" w:fill="FFFFFF"/>
        </w:rPr>
        <w:t>inoculum had 100% mycelial coverage whereas the jar which was inocu</w:t>
      </w:r>
      <w:r w:rsidR="0028298F" w:rsidRPr="00995691">
        <w:rPr>
          <w:rFonts w:ascii="Times New Roman" w:hAnsi="Times New Roman" w:cs="Times New Roman"/>
          <w:color w:val="000000" w:themeColor="text1"/>
          <w:sz w:val="20"/>
          <w:shd w:val="clear" w:color="auto" w:fill="FFFFFF"/>
        </w:rPr>
        <w:t>lated with solid inocu</w:t>
      </w:r>
      <w:r w:rsidR="0043189E" w:rsidRPr="00995691">
        <w:rPr>
          <w:rFonts w:ascii="Times New Roman" w:hAnsi="Times New Roman" w:cs="Times New Roman"/>
          <w:color w:val="000000" w:themeColor="text1"/>
          <w:sz w:val="20"/>
          <w:shd w:val="clear" w:color="auto" w:fill="FFFFFF"/>
        </w:rPr>
        <w:t>l</w:t>
      </w:r>
      <w:r w:rsidR="0028298F" w:rsidRPr="00995691">
        <w:rPr>
          <w:rFonts w:ascii="Times New Roman" w:hAnsi="Times New Roman" w:cs="Times New Roman"/>
          <w:color w:val="000000" w:themeColor="text1"/>
          <w:sz w:val="20"/>
          <w:shd w:val="clear" w:color="auto" w:fill="FFFFFF"/>
        </w:rPr>
        <w:t>um had only 80% mycelial coverage.</w:t>
      </w:r>
      <w:r w:rsidR="00EC4F19" w:rsidRPr="00995691">
        <w:rPr>
          <w:rFonts w:ascii="Times New Roman" w:hAnsi="Times New Roman" w:cs="Times New Roman"/>
          <w:color w:val="000000" w:themeColor="text1"/>
          <w:sz w:val="20"/>
          <w:shd w:val="clear" w:color="auto" w:fill="FFFFFF"/>
        </w:rPr>
        <w:t xml:space="preserve"> </w:t>
      </w:r>
      <w:r w:rsidR="00015733" w:rsidRPr="00995691">
        <w:rPr>
          <w:rFonts w:ascii="Times New Roman" w:hAnsi="Times New Roman" w:cs="Times New Roman"/>
          <w:color w:val="0D0D0D"/>
          <w:sz w:val="20"/>
          <w:shd w:val="clear" w:color="auto" w:fill="FFFFFF"/>
        </w:rPr>
        <w:t xml:space="preserve">The immobilization of </w:t>
      </w:r>
      <w:r w:rsidR="00015733" w:rsidRPr="00995691">
        <w:rPr>
          <w:rFonts w:ascii="Times New Roman" w:hAnsi="Times New Roman" w:cs="Times New Roman"/>
          <w:i/>
          <w:iCs/>
          <w:color w:val="0D0D0D"/>
          <w:sz w:val="20"/>
          <w:shd w:val="clear" w:color="auto" w:fill="FFFFFF"/>
        </w:rPr>
        <w:t>P. ostreatus</w:t>
      </w:r>
      <w:r w:rsidR="00015733" w:rsidRPr="00995691">
        <w:rPr>
          <w:rFonts w:ascii="Times New Roman" w:hAnsi="Times New Roman" w:cs="Times New Roman"/>
          <w:color w:val="0D0D0D"/>
          <w:sz w:val="20"/>
          <w:shd w:val="clear" w:color="auto" w:fill="FFFFFF"/>
        </w:rPr>
        <w:t xml:space="preserve"> cells was successfully </w:t>
      </w:r>
      <w:r w:rsidR="00217F69" w:rsidRPr="00995691">
        <w:rPr>
          <w:rFonts w:ascii="Times New Roman" w:hAnsi="Times New Roman" w:cs="Times New Roman"/>
          <w:color w:val="0D0D0D"/>
          <w:sz w:val="20"/>
          <w:shd w:val="clear" w:color="auto" w:fill="FFFFFF"/>
        </w:rPr>
        <w:t>performed</w:t>
      </w:r>
      <w:r w:rsidR="00015733" w:rsidRPr="00995691">
        <w:rPr>
          <w:rFonts w:ascii="Times New Roman" w:hAnsi="Times New Roman" w:cs="Times New Roman"/>
          <w:color w:val="0D0D0D"/>
          <w:sz w:val="20"/>
          <w:shd w:val="clear" w:color="auto" w:fill="FFFFFF"/>
        </w:rPr>
        <w:t xml:space="preserve"> using a sodium alginate solution and calcium chloride solution. The resulting beads, formed by dropping the sodium alginate with fungal broth into the calcium chloride solution</w:t>
      </w:r>
      <w:r w:rsidR="005B61AE" w:rsidRPr="00995691">
        <w:rPr>
          <w:rFonts w:ascii="Times New Roman" w:hAnsi="Times New Roman" w:cs="Times New Roman"/>
          <w:color w:val="0D0D0D"/>
          <w:sz w:val="20"/>
          <w:shd w:val="clear" w:color="auto" w:fill="FFFFFF"/>
        </w:rPr>
        <w:t xml:space="preserve"> were spherical, shiny and off white in colour after drying.</w:t>
      </w:r>
    </w:p>
    <w:p w14:paraId="74BEDFD2" w14:textId="77777777" w:rsidR="009B5C2C" w:rsidRDefault="009B5C2C" w:rsidP="00995691">
      <w:pPr>
        <w:ind w:left="130"/>
        <w:jc w:val="center"/>
        <w:rPr>
          <w:rFonts w:ascii="Times New Roman" w:hAnsi="Times New Roman" w:cs="Times New Roman"/>
          <w:b/>
          <w:bCs/>
          <w:color w:val="0D0D0D"/>
          <w:sz w:val="20"/>
          <w:shd w:val="clear" w:color="auto" w:fill="FFFFFF"/>
        </w:rPr>
      </w:pPr>
    </w:p>
    <w:p w14:paraId="0A329B8A" w14:textId="77777777" w:rsidR="009B5C2C" w:rsidRDefault="009B5C2C" w:rsidP="00995691">
      <w:pPr>
        <w:ind w:left="130"/>
        <w:jc w:val="center"/>
        <w:rPr>
          <w:rFonts w:ascii="Times New Roman" w:hAnsi="Times New Roman" w:cs="Times New Roman"/>
          <w:b/>
          <w:bCs/>
          <w:color w:val="0D0D0D"/>
          <w:sz w:val="20"/>
          <w:shd w:val="clear" w:color="auto" w:fill="FFFFFF"/>
        </w:rPr>
      </w:pPr>
    </w:p>
    <w:p w14:paraId="6FF469E6" w14:textId="77777777" w:rsidR="009B5C2C" w:rsidRDefault="009B5C2C" w:rsidP="00995691">
      <w:pPr>
        <w:ind w:left="130"/>
        <w:jc w:val="center"/>
        <w:rPr>
          <w:rFonts w:ascii="Times New Roman" w:hAnsi="Times New Roman" w:cs="Times New Roman"/>
          <w:b/>
          <w:bCs/>
          <w:color w:val="0D0D0D"/>
          <w:sz w:val="20"/>
          <w:shd w:val="clear" w:color="auto" w:fill="FFFFFF"/>
        </w:rPr>
      </w:pPr>
    </w:p>
    <w:p w14:paraId="03F6329F" w14:textId="77777777" w:rsidR="009B5C2C" w:rsidRDefault="009B5C2C" w:rsidP="00995691">
      <w:pPr>
        <w:ind w:left="130"/>
        <w:jc w:val="center"/>
        <w:rPr>
          <w:rFonts w:ascii="Times New Roman" w:hAnsi="Times New Roman" w:cs="Times New Roman"/>
          <w:b/>
          <w:bCs/>
          <w:color w:val="0D0D0D"/>
          <w:sz w:val="20"/>
          <w:shd w:val="clear" w:color="auto" w:fill="FFFFFF"/>
        </w:rPr>
      </w:pPr>
    </w:p>
    <w:p w14:paraId="05CE133F" w14:textId="4A323A5F" w:rsidR="00EB1360" w:rsidRPr="00995691" w:rsidRDefault="00EB1360" w:rsidP="00995691">
      <w:pPr>
        <w:ind w:left="130"/>
        <w:jc w:val="center"/>
        <w:rPr>
          <w:rFonts w:ascii="Times New Roman" w:hAnsi="Times New Roman" w:cs="Times New Roman"/>
          <w:b/>
          <w:bCs/>
          <w:color w:val="0D0D0D"/>
          <w:sz w:val="20"/>
          <w:shd w:val="clear" w:color="auto" w:fill="FFFFFF"/>
        </w:rPr>
      </w:pPr>
      <w:r w:rsidRPr="00995691">
        <w:rPr>
          <w:rFonts w:ascii="Times New Roman" w:hAnsi="Times New Roman" w:cs="Times New Roman"/>
          <w:b/>
          <w:bCs/>
          <w:color w:val="0D0D0D"/>
          <w:sz w:val="20"/>
          <w:shd w:val="clear" w:color="auto" w:fill="FFFFFF"/>
        </w:rPr>
        <w:lastRenderedPageBreak/>
        <w:t>Table 1: Table showing Percentage of mycelium coverage inoculated with solid and liquid inoculum</w:t>
      </w:r>
    </w:p>
    <w:tbl>
      <w:tblPr>
        <w:tblStyle w:val="TableGrid"/>
        <w:tblpPr w:leftFromText="180" w:rightFromText="180" w:vertAnchor="text" w:horzAnchor="margin" w:tblpXSpec="center" w:tblpY="51"/>
        <w:tblW w:w="0" w:type="auto"/>
        <w:tblLook w:val="04A0" w:firstRow="1" w:lastRow="0" w:firstColumn="1" w:lastColumn="0" w:noHBand="0" w:noVBand="1"/>
      </w:tblPr>
      <w:tblGrid>
        <w:gridCol w:w="2004"/>
        <w:gridCol w:w="2004"/>
        <w:gridCol w:w="2005"/>
      </w:tblGrid>
      <w:tr w:rsidR="009403EB" w:rsidRPr="00995691" w14:paraId="56CFE9F1" w14:textId="77777777" w:rsidTr="009403EB">
        <w:trPr>
          <w:trHeight w:val="811"/>
        </w:trPr>
        <w:tc>
          <w:tcPr>
            <w:tcW w:w="2004" w:type="dxa"/>
          </w:tcPr>
          <w:p w14:paraId="255835F9" w14:textId="77777777" w:rsidR="009403EB" w:rsidRPr="00995691" w:rsidRDefault="009403EB" w:rsidP="00995691">
            <w:pPr>
              <w:ind w:left="130"/>
              <w:jc w:val="center"/>
              <w:rPr>
                <w:rFonts w:ascii="Times New Roman" w:hAnsi="Times New Roman" w:cs="Times New Roman"/>
                <w:b/>
                <w:bCs/>
                <w:color w:val="0D0D0D"/>
                <w:sz w:val="20"/>
                <w:shd w:val="clear" w:color="auto" w:fill="FFFFFF"/>
              </w:rPr>
            </w:pPr>
            <w:r w:rsidRPr="00995691">
              <w:rPr>
                <w:rFonts w:ascii="Times New Roman" w:hAnsi="Times New Roman" w:cs="Times New Roman"/>
                <w:b/>
                <w:bCs/>
                <w:color w:val="0D0D0D"/>
                <w:sz w:val="20"/>
                <w:shd w:val="clear" w:color="auto" w:fill="FFFFFF"/>
              </w:rPr>
              <w:t>S.NO.</w:t>
            </w:r>
          </w:p>
        </w:tc>
        <w:tc>
          <w:tcPr>
            <w:tcW w:w="2004" w:type="dxa"/>
          </w:tcPr>
          <w:p w14:paraId="441B5677" w14:textId="77777777" w:rsidR="009403EB" w:rsidRPr="00995691" w:rsidRDefault="009403EB" w:rsidP="00995691">
            <w:pPr>
              <w:ind w:left="130"/>
              <w:jc w:val="center"/>
              <w:rPr>
                <w:rFonts w:ascii="Times New Roman" w:hAnsi="Times New Roman" w:cs="Times New Roman"/>
                <w:b/>
                <w:bCs/>
                <w:color w:val="0D0D0D"/>
                <w:sz w:val="20"/>
                <w:shd w:val="clear" w:color="auto" w:fill="FFFFFF"/>
              </w:rPr>
            </w:pPr>
            <w:r w:rsidRPr="00995691">
              <w:rPr>
                <w:rFonts w:ascii="Times New Roman" w:hAnsi="Times New Roman" w:cs="Times New Roman"/>
                <w:b/>
                <w:bCs/>
                <w:color w:val="0D0D0D"/>
                <w:sz w:val="20"/>
                <w:shd w:val="clear" w:color="auto" w:fill="FFFFFF"/>
              </w:rPr>
              <w:t>TYPE OF INOCULUM USED</w:t>
            </w:r>
          </w:p>
        </w:tc>
        <w:tc>
          <w:tcPr>
            <w:tcW w:w="2005" w:type="dxa"/>
          </w:tcPr>
          <w:p w14:paraId="67D0F83B" w14:textId="77777777" w:rsidR="009403EB" w:rsidRPr="00995691" w:rsidRDefault="009403EB" w:rsidP="00995691">
            <w:pPr>
              <w:ind w:left="130"/>
              <w:jc w:val="center"/>
              <w:rPr>
                <w:rFonts w:ascii="Times New Roman" w:hAnsi="Times New Roman" w:cs="Times New Roman"/>
                <w:b/>
                <w:bCs/>
                <w:color w:val="0D0D0D"/>
                <w:sz w:val="20"/>
                <w:shd w:val="clear" w:color="auto" w:fill="FFFFFF"/>
              </w:rPr>
            </w:pPr>
            <w:r w:rsidRPr="00995691">
              <w:rPr>
                <w:rFonts w:ascii="Times New Roman" w:hAnsi="Times New Roman" w:cs="Times New Roman"/>
                <w:b/>
                <w:bCs/>
                <w:color w:val="0D0D0D"/>
                <w:sz w:val="20"/>
                <w:shd w:val="clear" w:color="auto" w:fill="FFFFFF"/>
              </w:rPr>
              <w:t>MYCELIUM COVERAGE (%)</w:t>
            </w:r>
          </w:p>
        </w:tc>
      </w:tr>
      <w:tr w:rsidR="009403EB" w:rsidRPr="00995691" w14:paraId="3FA1A331" w14:textId="77777777" w:rsidTr="009403EB">
        <w:trPr>
          <w:trHeight w:val="405"/>
        </w:trPr>
        <w:tc>
          <w:tcPr>
            <w:tcW w:w="2004" w:type="dxa"/>
          </w:tcPr>
          <w:p w14:paraId="014E9BB8" w14:textId="77777777"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1</w:t>
            </w:r>
          </w:p>
        </w:tc>
        <w:tc>
          <w:tcPr>
            <w:tcW w:w="2004" w:type="dxa"/>
          </w:tcPr>
          <w:p w14:paraId="3FB89B2A" w14:textId="77777777"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Solid</w:t>
            </w:r>
          </w:p>
        </w:tc>
        <w:tc>
          <w:tcPr>
            <w:tcW w:w="2005" w:type="dxa"/>
          </w:tcPr>
          <w:p w14:paraId="28257260" w14:textId="790D67D1"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85%</w:t>
            </w:r>
          </w:p>
        </w:tc>
      </w:tr>
      <w:tr w:rsidR="009403EB" w:rsidRPr="00995691" w14:paraId="403980C2" w14:textId="77777777" w:rsidTr="009403EB">
        <w:trPr>
          <w:trHeight w:val="405"/>
        </w:trPr>
        <w:tc>
          <w:tcPr>
            <w:tcW w:w="2004" w:type="dxa"/>
          </w:tcPr>
          <w:p w14:paraId="36FE723B" w14:textId="77777777"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2</w:t>
            </w:r>
          </w:p>
        </w:tc>
        <w:tc>
          <w:tcPr>
            <w:tcW w:w="2004" w:type="dxa"/>
          </w:tcPr>
          <w:p w14:paraId="5A711CB2" w14:textId="77777777"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Liquid</w:t>
            </w:r>
          </w:p>
        </w:tc>
        <w:tc>
          <w:tcPr>
            <w:tcW w:w="2005" w:type="dxa"/>
          </w:tcPr>
          <w:p w14:paraId="4066BBA5" w14:textId="1254B8DC" w:rsidR="009403EB" w:rsidRPr="00995691" w:rsidRDefault="009403EB" w:rsidP="00995691">
            <w:pPr>
              <w:spacing w:line="360" w:lineRule="auto"/>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100%</w:t>
            </w:r>
          </w:p>
        </w:tc>
      </w:tr>
    </w:tbl>
    <w:p w14:paraId="6A0203CE" w14:textId="77777777" w:rsidR="009403EB" w:rsidRPr="00995691" w:rsidRDefault="009403EB" w:rsidP="00995691">
      <w:pPr>
        <w:ind w:left="130"/>
        <w:jc w:val="center"/>
        <w:rPr>
          <w:rFonts w:ascii="Times New Roman" w:hAnsi="Times New Roman" w:cs="Times New Roman"/>
          <w:color w:val="0D0D0D"/>
          <w:sz w:val="20"/>
          <w:shd w:val="clear" w:color="auto" w:fill="FFFFFF"/>
        </w:rPr>
      </w:pPr>
    </w:p>
    <w:p w14:paraId="70B5DCE2" w14:textId="77777777" w:rsidR="009403EB" w:rsidRPr="00995691" w:rsidRDefault="009403EB" w:rsidP="00995691">
      <w:pPr>
        <w:ind w:left="130"/>
        <w:jc w:val="center"/>
        <w:rPr>
          <w:rFonts w:ascii="Times New Roman" w:hAnsi="Times New Roman" w:cs="Times New Roman"/>
          <w:color w:val="0D0D0D"/>
          <w:sz w:val="20"/>
          <w:shd w:val="clear" w:color="auto" w:fill="FFFFFF"/>
        </w:rPr>
      </w:pPr>
    </w:p>
    <w:p w14:paraId="5212F481" w14:textId="77777777" w:rsidR="009403EB" w:rsidRPr="00995691" w:rsidRDefault="009403EB" w:rsidP="00995691">
      <w:pPr>
        <w:ind w:left="130"/>
        <w:jc w:val="center"/>
        <w:rPr>
          <w:rFonts w:ascii="Times New Roman" w:hAnsi="Times New Roman" w:cs="Times New Roman"/>
          <w:color w:val="0D0D0D"/>
          <w:sz w:val="20"/>
          <w:shd w:val="clear" w:color="auto" w:fill="FFFFFF"/>
        </w:rPr>
      </w:pPr>
    </w:p>
    <w:p w14:paraId="3941A316" w14:textId="77777777" w:rsidR="009403EB" w:rsidRPr="00995691" w:rsidRDefault="009403EB" w:rsidP="00995691">
      <w:pPr>
        <w:ind w:left="130"/>
        <w:jc w:val="center"/>
        <w:rPr>
          <w:rFonts w:ascii="Times New Roman" w:hAnsi="Times New Roman" w:cs="Times New Roman"/>
          <w:color w:val="0D0D0D"/>
          <w:sz w:val="20"/>
          <w:shd w:val="clear" w:color="auto" w:fill="FFFFFF"/>
        </w:rPr>
      </w:pPr>
    </w:p>
    <w:p w14:paraId="14E70F55" w14:textId="77777777" w:rsidR="009B5C2C" w:rsidRDefault="009B5C2C" w:rsidP="00995691">
      <w:pPr>
        <w:ind w:left="130"/>
        <w:jc w:val="center"/>
        <w:rPr>
          <w:rFonts w:ascii="Times New Roman" w:hAnsi="Times New Roman" w:cs="Times New Roman"/>
          <w:noProof/>
          <w:color w:val="0D0D0D"/>
          <w:sz w:val="20"/>
          <w:shd w:val="clear" w:color="auto" w:fill="FFFFFF"/>
        </w:rPr>
      </w:pPr>
    </w:p>
    <w:p w14:paraId="5CCB0723" w14:textId="65F8CD40" w:rsidR="00EB1360" w:rsidRPr="00995691" w:rsidRDefault="00EB1360" w:rsidP="00995691">
      <w:pPr>
        <w:ind w:left="130"/>
        <w:jc w:val="center"/>
        <w:rPr>
          <w:rFonts w:ascii="Times New Roman" w:hAnsi="Times New Roman" w:cs="Times New Roman"/>
          <w:b/>
          <w:bCs/>
          <w:noProof/>
          <w:color w:val="0D0D0D"/>
          <w:sz w:val="20"/>
          <w:shd w:val="clear" w:color="auto" w:fill="FFFFFF"/>
        </w:rPr>
      </w:pPr>
      <w:r w:rsidRPr="00995691">
        <w:rPr>
          <w:rFonts w:ascii="Times New Roman" w:hAnsi="Times New Roman" w:cs="Times New Roman"/>
          <w:b/>
          <w:bCs/>
          <w:noProof/>
          <w:color w:val="0D0D0D"/>
          <w:sz w:val="20"/>
          <w:shd w:val="clear" w:color="auto" w:fill="FFFFFF"/>
        </w:rPr>
        <w:t>Graph 1: Graph showing percentage of mycelium coverage vs type of inoculum used</w:t>
      </w:r>
    </w:p>
    <w:p w14:paraId="12B8E057" w14:textId="40A06A55" w:rsidR="006726E4" w:rsidRDefault="006726E4" w:rsidP="002D5B43">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noProof/>
          <w:color w:val="0D0D0D"/>
          <w:sz w:val="20"/>
          <w:shd w:val="clear" w:color="auto" w:fill="FFFFFF"/>
        </w:rPr>
        <w:drawing>
          <wp:inline distT="0" distB="0" distL="0" distR="0" wp14:anchorId="67573FD7" wp14:editId="1C2C6B71">
            <wp:extent cx="3428406" cy="2789827"/>
            <wp:effectExtent l="0" t="0" r="635" b="0"/>
            <wp:docPr id="2086970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70451" name=""/>
                    <pic:cNvPicPr/>
                  </pic:nvPicPr>
                  <pic:blipFill rotWithShape="1">
                    <a:blip r:embed="rId5"/>
                    <a:srcRect t="4423" r="27941" b="17400"/>
                    <a:stretch/>
                  </pic:blipFill>
                  <pic:spPr bwMode="auto">
                    <a:xfrm>
                      <a:off x="0" y="0"/>
                      <a:ext cx="3436364" cy="2796303"/>
                    </a:xfrm>
                    <a:prstGeom prst="rect">
                      <a:avLst/>
                    </a:prstGeom>
                    <a:ln>
                      <a:noFill/>
                    </a:ln>
                    <a:extLst>
                      <a:ext uri="{53640926-AAD7-44D8-BBD7-CCE9431645EC}">
                        <a14:shadowObscured xmlns:a14="http://schemas.microsoft.com/office/drawing/2010/main"/>
                      </a:ext>
                    </a:extLst>
                  </pic:spPr>
                </pic:pic>
              </a:graphicData>
            </a:graphic>
          </wp:inline>
        </w:drawing>
      </w:r>
    </w:p>
    <w:p w14:paraId="0B3A3DFA" w14:textId="546847FB" w:rsidR="009829BF" w:rsidRDefault="009829BF" w:rsidP="00995691">
      <w:pPr>
        <w:ind w:left="130"/>
        <w:jc w:val="center"/>
        <w:rPr>
          <w:rFonts w:ascii="Times New Roman" w:hAnsi="Times New Roman" w:cs="Times New Roman"/>
          <w:color w:val="0D0D0D"/>
          <w:sz w:val="20"/>
          <w:shd w:val="clear" w:color="auto" w:fill="FFFFFF"/>
        </w:rPr>
      </w:pPr>
      <w:r>
        <w:rPr>
          <w:rFonts w:ascii="Times New Roman" w:hAnsi="Times New Roman" w:cs="Times New Roman"/>
          <w:noProof/>
          <w:color w:val="0D0D0D"/>
          <w:sz w:val="20"/>
          <w:shd w:val="clear" w:color="auto" w:fill="FFFFFF"/>
        </w:rPr>
        <w:drawing>
          <wp:inline distT="0" distB="0" distL="0" distR="0" wp14:anchorId="3F9E4FCF" wp14:editId="2F4FD367">
            <wp:extent cx="2664957" cy="2657263"/>
            <wp:effectExtent l="0" t="0" r="2540" b="0"/>
            <wp:docPr id="237205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05351" name="Picture 237205351"/>
                    <pic:cNvPicPr/>
                  </pic:nvPicPr>
                  <pic:blipFill rotWithShape="1">
                    <a:blip r:embed="rId6" cstate="print">
                      <a:extLst>
                        <a:ext uri="{28A0092B-C50C-407E-A947-70E740481C1C}">
                          <a14:useLocalDpi xmlns:a14="http://schemas.microsoft.com/office/drawing/2010/main" val="0"/>
                        </a:ext>
                      </a:extLst>
                    </a:blip>
                    <a:srcRect l="-286" t="14693" r="286" b="23384"/>
                    <a:stretch/>
                  </pic:blipFill>
                  <pic:spPr bwMode="auto">
                    <a:xfrm>
                      <a:off x="0" y="0"/>
                      <a:ext cx="2692210" cy="2684437"/>
                    </a:xfrm>
                    <a:prstGeom prst="rect">
                      <a:avLst/>
                    </a:prstGeom>
                    <a:ln>
                      <a:noFill/>
                    </a:ln>
                    <a:extLst>
                      <a:ext uri="{53640926-AAD7-44D8-BBD7-CCE9431645EC}">
                        <a14:shadowObscured xmlns:a14="http://schemas.microsoft.com/office/drawing/2010/main"/>
                      </a:ext>
                    </a:extLst>
                  </pic:spPr>
                </pic:pic>
              </a:graphicData>
            </a:graphic>
          </wp:inline>
        </w:drawing>
      </w:r>
    </w:p>
    <w:p w14:paraId="7E54DAFB" w14:textId="33E19A23" w:rsidR="005A7E53" w:rsidRPr="0018638C" w:rsidRDefault="00812FD4" w:rsidP="0018638C">
      <w:pPr>
        <w:ind w:left="130"/>
        <w:jc w:val="center"/>
        <w:rPr>
          <w:rFonts w:ascii="Times New Roman" w:hAnsi="Times New Roman" w:cs="Times New Roman"/>
          <w:b/>
          <w:bCs/>
          <w:color w:val="0D0D0D"/>
          <w:sz w:val="20"/>
          <w:shd w:val="clear" w:color="auto" w:fill="FFFFFF"/>
        </w:rPr>
      </w:pPr>
      <w:r w:rsidRPr="0018638C">
        <w:rPr>
          <w:rFonts w:ascii="Times New Roman" w:hAnsi="Times New Roman" w:cs="Times New Roman"/>
          <w:b/>
          <w:bCs/>
          <w:color w:val="0D0D0D"/>
          <w:sz w:val="20"/>
          <w:shd w:val="clear" w:color="auto" w:fill="FFFFFF"/>
        </w:rPr>
        <w:t xml:space="preserve">Figure 1: </w:t>
      </w:r>
      <w:r w:rsidR="004278EB" w:rsidRPr="0018638C">
        <w:rPr>
          <w:rFonts w:ascii="Times New Roman" w:hAnsi="Times New Roman" w:cs="Times New Roman"/>
          <w:b/>
          <w:bCs/>
          <w:color w:val="0D0D0D"/>
          <w:sz w:val="20"/>
          <w:shd w:val="clear" w:color="auto" w:fill="FFFFFF"/>
        </w:rPr>
        <w:t>Jar 1 sh</w:t>
      </w:r>
      <w:r w:rsidR="006B0692" w:rsidRPr="0018638C">
        <w:rPr>
          <w:rFonts w:ascii="Times New Roman" w:hAnsi="Times New Roman" w:cs="Times New Roman"/>
          <w:b/>
          <w:bCs/>
          <w:color w:val="0D0D0D"/>
          <w:sz w:val="20"/>
          <w:shd w:val="clear" w:color="auto" w:fill="FFFFFF"/>
        </w:rPr>
        <w:t xml:space="preserve">owing mycelial coverage inoculated with solid </w:t>
      </w:r>
      <w:r w:rsidR="0046706E" w:rsidRPr="0018638C">
        <w:rPr>
          <w:rFonts w:ascii="Times New Roman" w:hAnsi="Times New Roman" w:cs="Times New Roman"/>
          <w:b/>
          <w:bCs/>
          <w:color w:val="0D0D0D"/>
          <w:sz w:val="20"/>
          <w:shd w:val="clear" w:color="auto" w:fill="FFFFFF"/>
        </w:rPr>
        <w:t xml:space="preserve">inoculum and </w:t>
      </w:r>
      <w:r w:rsidR="0018638C" w:rsidRPr="0018638C">
        <w:rPr>
          <w:rFonts w:ascii="Times New Roman" w:hAnsi="Times New Roman" w:cs="Times New Roman"/>
          <w:b/>
          <w:bCs/>
          <w:color w:val="0D0D0D"/>
          <w:sz w:val="20"/>
          <w:shd w:val="clear" w:color="auto" w:fill="FFFFFF"/>
        </w:rPr>
        <w:t>jar 2 showing mycelial coverage inoculated with liquid inoculum</w:t>
      </w:r>
    </w:p>
    <w:p w14:paraId="6C9A95A4" w14:textId="77777777" w:rsidR="009829BF" w:rsidRDefault="009829BF" w:rsidP="009829BF">
      <w:pPr>
        <w:spacing w:after="0" w:line="23" w:lineRule="atLeast"/>
        <w:ind w:left="130"/>
        <w:rPr>
          <w:rFonts w:ascii="Times New Roman" w:hAnsi="Times New Roman" w:cs="Times New Roman"/>
          <w:b/>
          <w:bCs/>
          <w:color w:val="0D0D0D"/>
          <w:sz w:val="24"/>
          <w:szCs w:val="24"/>
          <w:shd w:val="clear" w:color="auto" w:fill="FFFFFF"/>
        </w:rPr>
      </w:pPr>
    </w:p>
    <w:p w14:paraId="26D5F68E" w14:textId="496BF6AA" w:rsidR="00FC58FC" w:rsidRPr="00995691" w:rsidRDefault="009829BF" w:rsidP="009829BF">
      <w:pPr>
        <w:spacing w:after="0" w:line="23" w:lineRule="atLeast"/>
        <w:ind w:left="130"/>
        <w:rPr>
          <w:rFonts w:ascii="Times New Roman" w:hAnsi="Times New Roman" w:cs="Times New Roman"/>
          <w:b/>
          <w:bCs/>
          <w:color w:val="0D0D0D"/>
          <w:sz w:val="24"/>
          <w:szCs w:val="24"/>
          <w:shd w:val="clear" w:color="auto" w:fill="FFFFFF"/>
        </w:rPr>
      </w:pPr>
      <w:r w:rsidRPr="00995691">
        <w:rPr>
          <w:rFonts w:ascii="Times New Roman" w:hAnsi="Times New Roman" w:cs="Times New Roman"/>
          <w:b/>
          <w:bCs/>
          <w:color w:val="0D0D0D"/>
          <w:sz w:val="24"/>
          <w:szCs w:val="24"/>
          <w:shd w:val="clear" w:color="auto" w:fill="FFFFFF"/>
        </w:rPr>
        <w:t>4. DISCUSSION</w:t>
      </w:r>
    </w:p>
    <w:p w14:paraId="3A0423FC" w14:textId="0B9C9FE8" w:rsidR="0051137F" w:rsidRPr="00995691" w:rsidRDefault="0051137F"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The jars containing the optimized wheat substrate were subjected to inoculation with both solid and liquid inoculums. Following a 10-day incubation period at 21°C in dark conditions, the mycelial coverage of each jar was assessed for a comparative analysis. After the 10-day incubation period, it was observed that the jar inoculated with the liquid inoculum exhibited complete mycelial coverage, reaching 100%. In contrast, the jar inoculated with the solid inoculum showed slightly less mycelial coverage, with only 8</w:t>
      </w:r>
      <w:r w:rsidR="00B63007">
        <w:rPr>
          <w:rFonts w:ascii="Times New Roman" w:hAnsi="Times New Roman" w:cs="Times New Roman"/>
          <w:color w:val="0D0D0D"/>
          <w:sz w:val="20"/>
          <w:shd w:val="clear" w:color="auto" w:fill="FFFFFF"/>
        </w:rPr>
        <w:t>5</w:t>
      </w:r>
      <w:r w:rsidRPr="00995691">
        <w:rPr>
          <w:rFonts w:ascii="Times New Roman" w:hAnsi="Times New Roman" w:cs="Times New Roman"/>
          <w:color w:val="0D0D0D"/>
          <w:sz w:val="20"/>
          <w:shd w:val="clear" w:color="auto" w:fill="FFFFFF"/>
        </w:rPr>
        <w:t>% of the substrate being colonized by the fungus.</w:t>
      </w:r>
    </w:p>
    <w:p w14:paraId="276627E8" w14:textId="77777777" w:rsidR="0051137F" w:rsidRPr="00995691" w:rsidRDefault="0051137F"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 xml:space="preserve">This discrepancy in mycelial coverage suggests that the liquid inoculum was more effective in colonizing and spreading across the substrate within the given timeframe. The faster and more extensive coverage of the substrate by the liquid </w:t>
      </w:r>
      <w:r w:rsidRPr="00995691">
        <w:rPr>
          <w:rFonts w:ascii="Times New Roman" w:hAnsi="Times New Roman" w:cs="Times New Roman"/>
          <w:color w:val="0D0D0D"/>
          <w:sz w:val="20"/>
          <w:shd w:val="clear" w:color="auto" w:fill="FFFFFF"/>
        </w:rPr>
        <w:lastRenderedPageBreak/>
        <w:t xml:space="preserve">inoculum indicates its potential superiority for certain biotechnological applications or scale-up processes. Further investigations may be conducted to understand the underlying factors influencing the observed differences in mycelial growth between the two inoculum types, providing valuable insights for optimizing and refining future cultivation strategies. </w:t>
      </w:r>
      <w:r w:rsidR="00CF5810" w:rsidRPr="00995691">
        <w:rPr>
          <w:rFonts w:ascii="Times New Roman" w:hAnsi="Times New Roman" w:cs="Times New Roman"/>
          <w:color w:val="212121"/>
          <w:sz w:val="20"/>
          <w:shd w:val="clear" w:color="auto" w:fill="FFFFFF"/>
        </w:rPr>
        <w:t xml:space="preserve">Liquid inoculants allow easy handling and low transportation costs as they can be designed to contain more propagules than solid products. The liquid inoculant is better suited for fertigation and irrigation than solid inoculants </w:t>
      </w:r>
      <w:r w:rsidR="005E173C" w:rsidRPr="00995691">
        <w:rPr>
          <w:rFonts w:ascii="Times New Roman" w:hAnsi="Times New Roman" w:cs="Times New Roman"/>
          <w:color w:val="212121"/>
          <w:sz w:val="20"/>
          <w:shd w:val="clear" w:color="auto" w:fill="FFFFFF"/>
        </w:rPr>
        <w:t>(</w:t>
      </w:r>
      <w:r w:rsidR="00CF5810" w:rsidRPr="00995691">
        <w:rPr>
          <w:rFonts w:ascii="Times New Roman" w:hAnsi="Times New Roman" w:cs="Times New Roman"/>
          <w:color w:val="000000" w:themeColor="text1"/>
          <w:sz w:val="20"/>
        </w:rPr>
        <w:t>Franssen et. al., 2011</w:t>
      </w:r>
      <w:r w:rsidR="00CF5810" w:rsidRPr="00995691">
        <w:rPr>
          <w:rFonts w:ascii="Times New Roman" w:hAnsi="Times New Roman" w:cs="Times New Roman"/>
          <w:color w:val="212121"/>
          <w:sz w:val="20"/>
          <w:shd w:val="clear" w:color="auto" w:fill="FFFFFF"/>
        </w:rPr>
        <w:t>,</w:t>
      </w:r>
      <w:r w:rsidR="00CF5810" w:rsidRPr="00995691">
        <w:rPr>
          <w:rStyle w:val="element-citation"/>
          <w:rFonts w:ascii="Times New Roman" w:hAnsi="Times New Roman" w:cs="Times New Roman"/>
          <w:color w:val="212121"/>
          <w:sz w:val="20"/>
        </w:rPr>
        <w:t xml:space="preserve"> Miguel D.A.R.J. et. al., 2007</w:t>
      </w:r>
      <w:r w:rsidR="005E173C" w:rsidRPr="00995691">
        <w:rPr>
          <w:rFonts w:ascii="Times New Roman" w:hAnsi="Times New Roman" w:cs="Times New Roman"/>
          <w:color w:val="212121"/>
          <w:sz w:val="20"/>
          <w:shd w:val="clear" w:color="auto" w:fill="FFFFFF"/>
        </w:rPr>
        <w:t>)</w:t>
      </w:r>
      <w:r w:rsidR="00CF5810" w:rsidRPr="00995691">
        <w:rPr>
          <w:rFonts w:ascii="Times New Roman" w:hAnsi="Times New Roman" w:cs="Times New Roman"/>
          <w:color w:val="212121"/>
          <w:sz w:val="20"/>
          <w:shd w:val="clear" w:color="auto" w:fill="FFFFFF"/>
        </w:rPr>
        <w:t>.</w:t>
      </w:r>
      <w:r w:rsidR="005E173C" w:rsidRPr="00995691">
        <w:rPr>
          <w:rFonts w:ascii="Times New Roman" w:hAnsi="Times New Roman" w:cs="Times New Roman"/>
          <w:color w:val="0D0D0D"/>
          <w:sz w:val="20"/>
          <w:shd w:val="clear" w:color="auto" w:fill="FFFFFF"/>
        </w:rPr>
        <w:t xml:space="preserve"> </w:t>
      </w:r>
    </w:p>
    <w:p w14:paraId="285B51F0" w14:textId="526320BB" w:rsidR="00A10393" w:rsidRPr="00995691" w:rsidRDefault="005E173C" w:rsidP="00995691">
      <w:pPr>
        <w:spacing w:after="0" w:line="23" w:lineRule="atLeast"/>
        <w:ind w:left="130"/>
        <w:jc w:val="both"/>
        <w:rPr>
          <w:rFonts w:ascii="Times New Roman" w:hAnsi="Times New Roman" w:cs="Times New Roman"/>
          <w:color w:val="212121"/>
          <w:sz w:val="20"/>
          <w:shd w:val="clear" w:color="auto" w:fill="FFFFFF"/>
        </w:rPr>
      </w:pPr>
      <w:r w:rsidRPr="00995691">
        <w:rPr>
          <w:rFonts w:ascii="Times New Roman" w:hAnsi="Times New Roman" w:cs="Times New Roman"/>
          <w:color w:val="0D0D0D"/>
          <w:sz w:val="20"/>
          <w:shd w:val="clear" w:color="auto" w:fill="FFFFFF"/>
        </w:rPr>
        <w:t>Immobilization o</w:t>
      </w:r>
      <w:r w:rsidR="00DB1774" w:rsidRPr="00995691">
        <w:rPr>
          <w:rFonts w:ascii="Times New Roman" w:hAnsi="Times New Roman" w:cs="Times New Roman"/>
          <w:color w:val="0D0D0D"/>
          <w:sz w:val="20"/>
          <w:shd w:val="clear" w:color="auto" w:fill="FFFFFF"/>
        </w:rPr>
        <w:t>f</w:t>
      </w:r>
      <w:r w:rsidRPr="00995691">
        <w:rPr>
          <w:rFonts w:ascii="Times New Roman" w:hAnsi="Times New Roman" w:cs="Times New Roman"/>
          <w:color w:val="0D0D0D"/>
          <w:sz w:val="20"/>
          <w:shd w:val="clear" w:color="auto" w:fill="FFFFFF"/>
        </w:rPr>
        <w:t xml:space="preserve"> fungal cells was also performed in this study. </w:t>
      </w:r>
      <w:r w:rsidR="00960B31" w:rsidRPr="00995691">
        <w:rPr>
          <w:rFonts w:ascii="Times New Roman" w:hAnsi="Times New Roman" w:cs="Times New Roman"/>
          <w:color w:val="0D0D0D"/>
          <w:sz w:val="20"/>
          <w:shd w:val="clear" w:color="auto" w:fill="FFFFFF"/>
        </w:rPr>
        <w:t xml:space="preserve">After filtration and a 24-hour drying period, the immobilized cells exhibited stability and efficacy, showcasing their potential for enhanced biotechnological applications. This optimized immobilization process ensures the sustained functionality of </w:t>
      </w:r>
      <w:r w:rsidR="00960B31" w:rsidRPr="00995691">
        <w:rPr>
          <w:rFonts w:ascii="Times New Roman" w:hAnsi="Times New Roman" w:cs="Times New Roman"/>
          <w:i/>
          <w:iCs/>
          <w:color w:val="0D0D0D"/>
          <w:sz w:val="20"/>
          <w:shd w:val="clear" w:color="auto" w:fill="FFFFFF"/>
        </w:rPr>
        <w:t>P. ostreatus</w:t>
      </w:r>
      <w:r w:rsidR="00960B31" w:rsidRPr="00995691">
        <w:rPr>
          <w:rFonts w:ascii="Times New Roman" w:hAnsi="Times New Roman" w:cs="Times New Roman"/>
          <w:color w:val="0D0D0D"/>
          <w:sz w:val="20"/>
          <w:shd w:val="clear" w:color="auto" w:fill="FFFFFF"/>
        </w:rPr>
        <w:t xml:space="preserve"> cells, opening avenues for innovative and efficient biotechnological </w:t>
      </w:r>
      <w:r w:rsidR="00EB1360" w:rsidRPr="00995691">
        <w:rPr>
          <w:rFonts w:ascii="Times New Roman" w:hAnsi="Times New Roman" w:cs="Times New Roman"/>
          <w:color w:val="0D0D0D"/>
          <w:sz w:val="20"/>
          <w:shd w:val="clear" w:color="auto" w:fill="FFFFFF"/>
        </w:rPr>
        <w:t>endeavours</w:t>
      </w:r>
      <w:r w:rsidR="00960B31" w:rsidRPr="00995691">
        <w:rPr>
          <w:rFonts w:ascii="Times New Roman" w:hAnsi="Times New Roman" w:cs="Times New Roman"/>
          <w:color w:val="0D0D0D"/>
          <w:sz w:val="20"/>
          <w:shd w:val="clear" w:color="auto" w:fill="FFFFFF"/>
        </w:rPr>
        <w:t>. This optimization step is crucial for determining the most efficient method for subsequent biotechnological applications, providing insights into the kinetics of mycelial colonization on the chosen substrate.</w:t>
      </w:r>
      <w:r w:rsidR="00B55101" w:rsidRPr="00995691">
        <w:rPr>
          <w:rFonts w:ascii="Times New Roman" w:hAnsi="Times New Roman" w:cs="Times New Roman"/>
          <w:color w:val="212121"/>
          <w:sz w:val="20"/>
          <w:shd w:val="clear" w:color="auto" w:fill="FFFFFF"/>
        </w:rPr>
        <w:t xml:space="preserve"> </w:t>
      </w:r>
    </w:p>
    <w:p w14:paraId="7E1EEB8B" w14:textId="18D5BAD4" w:rsidR="008B4944" w:rsidRPr="00995691" w:rsidRDefault="00891353" w:rsidP="00995691">
      <w:pPr>
        <w:spacing w:after="0" w:line="23" w:lineRule="atLeast"/>
        <w:ind w:left="130"/>
        <w:jc w:val="both"/>
        <w:rPr>
          <w:rFonts w:ascii="Times New Roman" w:hAnsi="Times New Roman" w:cs="Times New Roman"/>
          <w:color w:val="0D0D0D"/>
          <w:sz w:val="24"/>
          <w:szCs w:val="24"/>
          <w:shd w:val="clear" w:color="auto" w:fill="FFFFFF"/>
        </w:rPr>
      </w:pPr>
      <w:r w:rsidRPr="00995691">
        <w:rPr>
          <w:rFonts w:ascii="Times New Roman" w:hAnsi="Times New Roman" w:cs="Times New Roman"/>
          <w:b/>
          <w:bCs/>
          <w:color w:val="0D0D0D"/>
          <w:sz w:val="24"/>
          <w:szCs w:val="24"/>
          <w:shd w:val="clear" w:color="auto" w:fill="FFFFFF"/>
        </w:rPr>
        <w:t>5.</w:t>
      </w:r>
      <w:r w:rsidR="00012222" w:rsidRPr="00995691">
        <w:rPr>
          <w:rFonts w:ascii="Times New Roman" w:hAnsi="Times New Roman" w:cs="Times New Roman"/>
          <w:b/>
          <w:bCs/>
          <w:color w:val="0D0D0D"/>
          <w:sz w:val="24"/>
          <w:szCs w:val="24"/>
          <w:shd w:val="clear" w:color="auto" w:fill="FFFFFF"/>
        </w:rPr>
        <w:t xml:space="preserve"> </w:t>
      </w:r>
      <w:r w:rsidR="0099335E" w:rsidRPr="00995691">
        <w:rPr>
          <w:rFonts w:ascii="Times New Roman" w:hAnsi="Times New Roman" w:cs="Times New Roman"/>
          <w:b/>
          <w:bCs/>
          <w:color w:val="0D0D0D"/>
          <w:sz w:val="24"/>
          <w:szCs w:val="24"/>
          <w:shd w:val="clear" w:color="auto" w:fill="FFFFFF"/>
        </w:rPr>
        <w:t>CONCLUSION</w:t>
      </w:r>
    </w:p>
    <w:p w14:paraId="29EBB492" w14:textId="77777777" w:rsidR="008B4944" w:rsidRPr="00995691" w:rsidRDefault="008B4944"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i/>
          <w:iCs/>
          <w:color w:val="0D0D0D"/>
          <w:sz w:val="20"/>
          <w:shd w:val="clear" w:color="auto" w:fill="FFFFFF"/>
        </w:rPr>
        <w:t>P. ostreatus</w:t>
      </w:r>
      <w:r w:rsidRPr="00995691">
        <w:rPr>
          <w:rFonts w:ascii="Times New Roman" w:hAnsi="Times New Roman" w:cs="Times New Roman"/>
          <w:color w:val="0D0D0D"/>
          <w:sz w:val="20"/>
          <w:shd w:val="clear" w:color="auto" w:fill="FFFFFF"/>
        </w:rPr>
        <w:t xml:space="preserve">, being among the most widely cultivated edible mushrooms, holds immense potential for addressing food security, waste remediation, and medicinal applications. Its cultivation on diverse substrates, including </w:t>
      </w:r>
      <w:proofErr w:type="spellStart"/>
      <w:r w:rsidRPr="00995691">
        <w:rPr>
          <w:rFonts w:ascii="Times New Roman" w:hAnsi="Times New Roman" w:cs="Times New Roman"/>
          <w:color w:val="0D0D0D"/>
          <w:sz w:val="20"/>
          <w:shd w:val="clear" w:color="auto" w:fill="FFFFFF"/>
        </w:rPr>
        <w:t>agro</w:t>
      </w:r>
      <w:proofErr w:type="spellEnd"/>
      <w:r w:rsidRPr="00995691">
        <w:rPr>
          <w:rFonts w:ascii="Times New Roman" w:hAnsi="Times New Roman" w:cs="Times New Roman"/>
          <w:color w:val="0D0D0D"/>
          <w:sz w:val="20"/>
          <w:shd w:val="clear" w:color="auto" w:fill="FFFFFF"/>
        </w:rPr>
        <w:t>-wastes, not only contributes to recycling agricultural by-products but also aids in mitigating nutritional gaps, particularly in regions such as China, India, and Africa.</w:t>
      </w:r>
    </w:p>
    <w:p w14:paraId="06DEA4AD" w14:textId="77777777" w:rsidR="00A10393" w:rsidRPr="00995691" w:rsidRDefault="008B4944"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 xml:space="preserve">The study </w:t>
      </w:r>
      <w:r w:rsidR="00AA7D94" w:rsidRPr="00995691">
        <w:rPr>
          <w:rFonts w:ascii="Times New Roman" w:hAnsi="Times New Roman" w:cs="Times New Roman"/>
          <w:color w:val="0D0D0D"/>
          <w:sz w:val="20"/>
          <w:shd w:val="clear" w:color="auto" w:fill="FFFFFF"/>
        </w:rPr>
        <w:t>focuses on</w:t>
      </w:r>
      <w:r w:rsidRPr="00995691">
        <w:rPr>
          <w:rFonts w:ascii="Times New Roman" w:hAnsi="Times New Roman" w:cs="Times New Roman"/>
          <w:color w:val="0D0D0D"/>
          <w:sz w:val="20"/>
          <w:shd w:val="clear" w:color="auto" w:fill="FFFFFF"/>
        </w:rPr>
        <w:t xml:space="preserve"> Pleurotus cultivation, outlining the standardized procedures for incubation, mycelium run period, and primordial initiation. The choice of mother culture medium, whether solid Potato Dextrose Agar or liquid Nutrient Broth, becomes crucial for optimizing mycelial growth. The investigation focuses on visualizing the time taken by solid and liquid mother cultures to achieve full substrate coverage, offering insights for enhanced biotechnological applications.</w:t>
      </w:r>
    </w:p>
    <w:p w14:paraId="10A01C3F" w14:textId="3EE8DFCE" w:rsidR="008B4944" w:rsidRPr="00995691" w:rsidRDefault="008B4944"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Transitioning into the realm of fungal enzymes, the study highlights their pivotal role in environmental remediation and commercial applications. The discussion underscores the advantages of using isolated enzymes over whole fungal cells, addressing the challenges related to live microbial sensitivity to environmental conditions. Fungal enzymes, known for their diverse applications, demonstrate potential in synthesizing valuable compounds across various industries.</w:t>
      </w:r>
      <w:r w:rsidR="00EB1360" w:rsidRPr="00995691">
        <w:rPr>
          <w:rFonts w:ascii="Times New Roman" w:hAnsi="Times New Roman" w:cs="Times New Roman"/>
          <w:color w:val="0D0D0D"/>
          <w:sz w:val="20"/>
          <w:shd w:val="clear" w:color="auto" w:fill="FFFFFF"/>
        </w:rPr>
        <w:t xml:space="preserve"> </w:t>
      </w:r>
      <w:r w:rsidRPr="00995691">
        <w:rPr>
          <w:rFonts w:ascii="Times New Roman" w:hAnsi="Times New Roman" w:cs="Times New Roman"/>
          <w:color w:val="0D0D0D"/>
          <w:sz w:val="20"/>
          <w:shd w:val="clear" w:color="auto" w:fill="FFFFFF"/>
        </w:rPr>
        <w:t>Despite the advantages of fungal enzymes, their limitations, such as susceptibility to harsh conditions, are acknowledged. To overcome these challenges, the study explores immobilization technologies, emphasizing the improved stability and catalytic properties of immobilized enzymes. This opens avenues for long-term operational stability, ease of recovery, and reusability in industrial applications.</w:t>
      </w:r>
    </w:p>
    <w:p w14:paraId="641CDC0F" w14:textId="77777777" w:rsidR="00A10393" w:rsidRPr="00995691" w:rsidRDefault="008B4944"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 xml:space="preserve">The experimental results reinforce the importance of choosing the right inoculum type for mycelial growth optimization. The observed higher mycelial coverage in jars inoculated with liquid culture suggests its potential superiority for certain biotechnological applications. Additionally, the successful immobilization of </w:t>
      </w:r>
      <w:r w:rsidRPr="00995691">
        <w:rPr>
          <w:rFonts w:ascii="Times New Roman" w:hAnsi="Times New Roman" w:cs="Times New Roman"/>
          <w:i/>
          <w:iCs/>
          <w:color w:val="0D0D0D"/>
          <w:sz w:val="20"/>
          <w:shd w:val="clear" w:color="auto" w:fill="FFFFFF"/>
        </w:rPr>
        <w:t xml:space="preserve">P. ostreatus </w:t>
      </w:r>
      <w:r w:rsidRPr="00995691">
        <w:rPr>
          <w:rFonts w:ascii="Times New Roman" w:hAnsi="Times New Roman" w:cs="Times New Roman"/>
          <w:color w:val="0D0D0D"/>
          <w:sz w:val="20"/>
          <w:shd w:val="clear" w:color="auto" w:fill="FFFFFF"/>
        </w:rPr>
        <w:t xml:space="preserve">cells using sodium alginate and calcium chloride presents a promising avenue for enhanced biotechnological </w:t>
      </w:r>
      <w:r w:rsidR="00EB1360" w:rsidRPr="00995691">
        <w:rPr>
          <w:rFonts w:ascii="Times New Roman" w:hAnsi="Times New Roman" w:cs="Times New Roman"/>
          <w:color w:val="0D0D0D"/>
          <w:sz w:val="20"/>
          <w:shd w:val="clear" w:color="auto" w:fill="FFFFFF"/>
        </w:rPr>
        <w:t>endeavours</w:t>
      </w:r>
      <w:r w:rsidRPr="00995691">
        <w:rPr>
          <w:rFonts w:ascii="Times New Roman" w:hAnsi="Times New Roman" w:cs="Times New Roman"/>
          <w:color w:val="0D0D0D"/>
          <w:sz w:val="20"/>
          <w:shd w:val="clear" w:color="auto" w:fill="FFFFFF"/>
        </w:rPr>
        <w:t>.</w:t>
      </w:r>
      <w:r w:rsidR="00EB1360" w:rsidRPr="00995691">
        <w:rPr>
          <w:rFonts w:ascii="Times New Roman" w:hAnsi="Times New Roman" w:cs="Times New Roman"/>
          <w:color w:val="0D0D0D"/>
          <w:sz w:val="20"/>
          <w:shd w:val="clear" w:color="auto" w:fill="FFFFFF"/>
        </w:rPr>
        <w:t xml:space="preserve"> </w:t>
      </w:r>
      <w:r w:rsidRPr="00995691">
        <w:rPr>
          <w:rFonts w:ascii="Times New Roman" w:hAnsi="Times New Roman" w:cs="Times New Roman"/>
          <w:color w:val="0D0D0D"/>
          <w:sz w:val="20"/>
          <w:shd w:val="clear" w:color="auto" w:fill="FFFFFF"/>
        </w:rPr>
        <w:t>In essence, this study contributes multifaceted insights into Pleurotus cultivation, enzyme applications, and immobilization technologies. The findings provide a foundation for further research and innovations, fostering sustainable and efficient biotechnological practices with Pleurotus ostreatus at the forefront.</w:t>
      </w:r>
    </w:p>
    <w:p w14:paraId="6463F056" w14:textId="4C57EC9B" w:rsidR="00891353" w:rsidRPr="00995691" w:rsidRDefault="00891353"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b/>
          <w:bCs/>
          <w:color w:val="000000" w:themeColor="text1"/>
          <w:sz w:val="24"/>
          <w:szCs w:val="24"/>
          <w:shd w:val="clear" w:color="auto" w:fill="FFFFFF"/>
        </w:rPr>
        <w:t>6.</w:t>
      </w:r>
      <w:r w:rsidR="00012222" w:rsidRPr="00995691">
        <w:rPr>
          <w:rFonts w:ascii="Times New Roman" w:hAnsi="Times New Roman" w:cs="Times New Roman"/>
          <w:b/>
          <w:bCs/>
          <w:color w:val="000000" w:themeColor="text1"/>
          <w:sz w:val="24"/>
          <w:szCs w:val="24"/>
          <w:shd w:val="clear" w:color="auto" w:fill="FFFFFF"/>
        </w:rPr>
        <w:t xml:space="preserve"> </w:t>
      </w:r>
      <w:r w:rsidR="005E3138" w:rsidRPr="00995691">
        <w:rPr>
          <w:rFonts w:ascii="Times New Roman" w:hAnsi="Times New Roman" w:cs="Times New Roman"/>
          <w:b/>
          <w:bCs/>
          <w:color w:val="000000" w:themeColor="text1"/>
          <w:sz w:val="24"/>
          <w:szCs w:val="24"/>
          <w:shd w:val="clear" w:color="auto" w:fill="FFFFFF"/>
        </w:rPr>
        <w:t>REFERENCE</w:t>
      </w:r>
    </w:p>
    <w:p w14:paraId="0115597B" w14:textId="77777777" w:rsidR="00EB1360" w:rsidRPr="00995691" w:rsidRDefault="00EB1360" w:rsidP="00995691">
      <w:pPr>
        <w:pStyle w:val="ListParagraph"/>
        <w:numPr>
          <w:ilvl w:val="0"/>
          <w:numId w:val="1"/>
        </w:numPr>
        <w:spacing w:after="0"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Amini, Z., Ilham, Z., Ong, H.C., Mazaheri, H., Chen, W.H., 2017. State of the art and prospective of lipase-</w:t>
      </w:r>
      <w:proofErr w:type="spellStart"/>
      <w:r w:rsidRPr="00995691">
        <w:rPr>
          <w:rFonts w:ascii="Times New Roman" w:hAnsi="Times New Roman" w:cs="Times New Roman"/>
          <w:color w:val="000000" w:themeColor="text1"/>
          <w:sz w:val="20"/>
        </w:rPr>
        <w:t>catalyzed</w:t>
      </w:r>
      <w:proofErr w:type="spellEnd"/>
      <w:r w:rsidRPr="00995691">
        <w:rPr>
          <w:rFonts w:ascii="Times New Roman" w:hAnsi="Times New Roman" w:cs="Times New Roman"/>
          <w:color w:val="000000" w:themeColor="text1"/>
          <w:sz w:val="20"/>
        </w:rPr>
        <w:t xml:space="preserve"> transesterification reaction for biodiesel production. Energy Convers. Manag. 141, 339–353. </w:t>
      </w:r>
      <w:hyperlink r:id="rId7" w:history="1">
        <w:r w:rsidRPr="00995691">
          <w:rPr>
            <w:rStyle w:val="Hyperlink"/>
            <w:rFonts w:ascii="Times New Roman" w:hAnsi="Times New Roman" w:cs="Times New Roman"/>
            <w:color w:val="000000" w:themeColor="text1"/>
            <w:sz w:val="20"/>
          </w:rPr>
          <w:t>https://doi.org/10.1016/J.ENCONMAN.2016.09.049</w:t>
        </w:r>
      </w:hyperlink>
    </w:p>
    <w:p w14:paraId="2B1666C0" w14:textId="77777777" w:rsidR="00EB1360" w:rsidRPr="00995691" w:rsidRDefault="00EB1360" w:rsidP="00995691">
      <w:pPr>
        <w:pStyle w:val="ListParagraph"/>
        <w:numPr>
          <w:ilvl w:val="0"/>
          <w:numId w:val="1"/>
        </w:numPr>
        <w:spacing w:line="23" w:lineRule="atLeast"/>
        <w:ind w:left="130"/>
        <w:jc w:val="both"/>
        <w:rPr>
          <w:rStyle w:val="mixed-citation"/>
          <w:rFonts w:ascii="Times New Roman" w:hAnsi="Times New Roman" w:cs="Times New Roman"/>
          <w:color w:val="000000" w:themeColor="text1"/>
          <w:sz w:val="20"/>
        </w:rPr>
      </w:pPr>
      <w:r w:rsidRPr="00995691">
        <w:rPr>
          <w:rStyle w:val="mixed-citation"/>
          <w:rFonts w:ascii="Times New Roman" w:hAnsi="Times New Roman" w:cs="Times New Roman"/>
          <w:color w:val="000000" w:themeColor="text1"/>
          <w:sz w:val="20"/>
        </w:rPr>
        <w:t xml:space="preserve">Bao D, Kinugasa S, </w:t>
      </w:r>
      <w:proofErr w:type="spellStart"/>
      <w:r w:rsidRPr="00995691">
        <w:rPr>
          <w:rStyle w:val="mixed-citation"/>
          <w:rFonts w:ascii="Times New Roman" w:hAnsi="Times New Roman" w:cs="Times New Roman"/>
          <w:color w:val="000000" w:themeColor="text1"/>
          <w:sz w:val="20"/>
        </w:rPr>
        <w:t>Kitamoto</w:t>
      </w:r>
      <w:proofErr w:type="spellEnd"/>
      <w:r w:rsidRPr="00995691">
        <w:rPr>
          <w:rStyle w:val="mixed-citation"/>
          <w:rFonts w:ascii="Times New Roman" w:hAnsi="Times New Roman" w:cs="Times New Roman"/>
          <w:color w:val="000000" w:themeColor="text1"/>
          <w:sz w:val="20"/>
        </w:rPr>
        <w:t xml:space="preserve"> Y. </w:t>
      </w:r>
      <w:r w:rsidRPr="00995691">
        <w:rPr>
          <w:rStyle w:val="ref-title"/>
          <w:rFonts w:ascii="Times New Roman" w:hAnsi="Times New Roman" w:cs="Times New Roman"/>
          <w:color w:val="000000" w:themeColor="text1"/>
          <w:sz w:val="20"/>
        </w:rPr>
        <w:t>The biological species of oyster mushrooms (</w:t>
      </w:r>
      <w:r w:rsidRPr="00995691">
        <w:rPr>
          <w:rStyle w:val="Emphasis"/>
          <w:rFonts w:ascii="Times New Roman" w:hAnsi="Times New Roman" w:cs="Times New Roman"/>
          <w:color w:val="000000" w:themeColor="text1"/>
          <w:sz w:val="20"/>
        </w:rPr>
        <w:t>Pleurotus</w:t>
      </w:r>
      <w:r w:rsidRPr="00995691">
        <w:rPr>
          <w:rStyle w:val="ref-title"/>
          <w:rFonts w:ascii="Times New Roman" w:hAnsi="Times New Roman" w:cs="Times New Roman"/>
          <w:color w:val="000000" w:themeColor="text1"/>
          <w:sz w:val="20"/>
        </w:rPr>
        <w:t> spp.) from Asia based on mating compatibility tests</w:t>
      </w:r>
      <w:r w:rsidRPr="00995691">
        <w:rPr>
          <w:rStyle w:val="mixed-citation"/>
          <w:rFonts w:ascii="Times New Roman" w:hAnsi="Times New Roman" w:cs="Times New Roman"/>
          <w:color w:val="000000" w:themeColor="text1"/>
          <w:sz w:val="20"/>
        </w:rPr>
        <w:t>. </w:t>
      </w:r>
      <w:r w:rsidRPr="00995691">
        <w:rPr>
          <w:rStyle w:val="ref-journal"/>
          <w:rFonts w:ascii="Times New Roman" w:hAnsi="Times New Roman" w:cs="Times New Roman"/>
          <w:i/>
          <w:iCs/>
          <w:color w:val="000000" w:themeColor="text1"/>
          <w:sz w:val="20"/>
        </w:rPr>
        <w:t>J Wood Sci</w:t>
      </w:r>
      <w:r w:rsidRPr="00995691">
        <w:rPr>
          <w:rStyle w:val="mixed-citation"/>
          <w:rFonts w:ascii="Times New Roman" w:hAnsi="Times New Roman" w:cs="Times New Roman"/>
          <w:color w:val="000000" w:themeColor="text1"/>
          <w:sz w:val="20"/>
        </w:rPr>
        <w:t>. 2004;</w:t>
      </w:r>
      <w:r w:rsidRPr="00995691">
        <w:rPr>
          <w:rStyle w:val="ref-vol"/>
          <w:rFonts w:ascii="Times New Roman" w:hAnsi="Times New Roman" w:cs="Times New Roman"/>
          <w:color w:val="000000" w:themeColor="text1"/>
          <w:sz w:val="20"/>
        </w:rPr>
        <w:t>50</w:t>
      </w:r>
      <w:r w:rsidRPr="00995691">
        <w:rPr>
          <w:rStyle w:val="mixed-citation"/>
          <w:rFonts w:ascii="Times New Roman" w:hAnsi="Times New Roman" w:cs="Times New Roman"/>
          <w:color w:val="000000" w:themeColor="text1"/>
          <w:sz w:val="20"/>
        </w:rPr>
        <w:t>(</w:t>
      </w:r>
      <w:r w:rsidRPr="00995691">
        <w:rPr>
          <w:rStyle w:val="ref-iss"/>
          <w:rFonts w:ascii="Times New Roman" w:hAnsi="Times New Roman" w:cs="Times New Roman"/>
          <w:color w:val="000000" w:themeColor="text1"/>
          <w:sz w:val="20"/>
        </w:rPr>
        <w:t>2</w:t>
      </w:r>
      <w:r w:rsidRPr="00995691">
        <w:rPr>
          <w:rStyle w:val="mixed-citation"/>
          <w:rFonts w:ascii="Times New Roman" w:hAnsi="Times New Roman" w:cs="Times New Roman"/>
          <w:color w:val="000000" w:themeColor="text1"/>
          <w:sz w:val="20"/>
        </w:rPr>
        <w:t>):162–168. </w:t>
      </w:r>
    </w:p>
    <w:p w14:paraId="1570ADE5" w14:textId="77777777" w:rsidR="00EB1360" w:rsidRPr="00995691" w:rsidRDefault="00EB1360" w:rsidP="00995691">
      <w:pPr>
        <w:pStyle w:val="ListParagraph"/>
        <w:numPr>
          <w:ilvl w:val="0"/>
          <w:numId w:val="1"/>
        </w:numPr>
        <w:shd w:val="clear" w:color="auto" w:fill="FFFFFF"/>
        <w:spacing w:after="0" w:line="23" w:lineRule="atLeast"/>
        <w:ind w:left="130"/>
        <w:jc w:val="both"/>
        <w:rPr>
          <w:rFonts w:ascii="Times New Roman" w:eastAsia="Times New Roman" w:hAnsi="Times New Roman" w:cs="Times New Roman"/>
          <w:color w:val="000000" w:themeColor="text1"/>
          <w:spacing w:val="-1"/>
          <w:kern w:val="0"/>
          <w:sz w:val="20"/>
          <w:lang w:eastAsia="en-IN"/>
          <w14:ligatures w14:val="none"/>
        </w:rPr>
      </w:pPr>
      <w:proofErr w:type="spellStart"/>
      <w:r w:rsidRPr="00995691">
        <w:rPr>
          <w:rFonts w:ascii="Times New Roman" w:eastAsia="Times New Roman" w:hAnsi="Times New Roman" w:cs="Times New Roman"/>
          <w:color w:val="000000" w:themeColor="text1"/>
          <w:kern w:val="0"/>
          <w:sz w:val="20"/>
          <w:lang w:eastAsia="en-IN"/>
          <w14:ligatures w14:val="none"/>
        </w:rPr>
        <w:t>Caglarirmak</w:t>
      </w:r>
      <w:proofErr w:type="spellEnd"/>
      <w:r w:rsidRPr="00995691">
        <w:rPr>
          <w:rFonts w:ascii="Times New Roman" w:eastAsia="Times New Roman" w:hAnsi="Times New Roman" w:cs="Times New Roman"/>
          <w:color w:val="000000" w:themeColor="text1"/>
          <w:kern w:val="0"/>
          <w:sz w:val="20"/>
          <w:lang w:eastAsia="en-IN"/>
          <w14:ligatures w14:val="none"/>
        </w:rPr>
        <w:t xml:space="preserve"> </w:t>
      </w:r>
      <w:r w:rsidRPr="00995691">
        <w:rPr>
          <w:rFonts w:ascii="Times New Roman" w:eastAsia="Times New Roman" w:hAnsi="Times New Roman" w:cs="Times New Roman"/>
          <w:color w:val="000000" w:themeColor="text1"/>
          <w:spacing w:val="-1"/>
          <w:kern w:val="0"/>
          <w:sz w:val="20"/>
          <w:lang w:eastAsia="en-IN"/>
          <w14:ligatures w14:val="none"/>
        </w:rPr>
        <w:t>N.</w:t>
      </w:r>
      <w:r w:rsidRPr="00995691">
        <w:rPr>
          <w:rFonts w:ascii="Times New Roman" w:eastAsia="Times New Roman" w:hAnsi="Times New Roman" w:cs="Times New Roman"/>
          <w:color w:val="000000" w:themeColor="text1"/>
          <w:kern w:val="0"/>
          <w:sz w:val="20"/>
          <w:lang w:eastAsia="en-IN"/>
          <w14:ligatures w14:val="none"/>
        </w:rPr>
        <w:t>, 2007. The nutrients of exotic mushrooms (Lentinula edodes and Pleurotus species) and an estimated approach to the volatile compounds. Food Chem., 105: 1188-1194.</w:t>
      </w:r>
    </w:p>
    <w:p w14:paraId="1ECBD684" w14:textId="77777777" w:rsidR="00EB1360" w:rsidRPr="00995691" w:rsidRDefault="00EB1360" w:rsidP="00995691">
      <w:pPr>
        <w:pStyle w:val="ListParagraph"/>
        <w:numPr>
          <w:ilvl w:val="0"/>
          <w:numId w:val="1"/>
        </w:numPr>
        <w:shd w:val="clear" w:color="auto" w:fill="FFFFFF"/>
        <w:spacing w:after="0" w:line="23" w:lineRule="atLeast"/>
        <w:ind w:left="130"/>
        <w:jc w:val="both"/>
        <w:rPr>
          <w:rFonts w:ascii="Times New Roman" w:eastAsia="Times New Roman" w:hAnsi="Times New Roman" w:cs="Times New Roman"/>
          <w:color w:val="000000" w:themeColor="text1"/>
          <w:spacing w:val="-1"/>
          <w:kern w:val="0"/>
          <w:sz w:val="20"/>
          <w:lang w:eastAsia="en-IN"/>
          <w14:ligatures w14:val="none"/>
        </w:rPr>
      </w:pPr>
      <w:r w:rsidRPr="00995691">
        <w:rPr>
          <w:rFonts w:ascii="Times New Roman" w:eastAsia="Times New Roman" w:hAnsi="Times New Roman" w:cs="Times New Roman"/>
          <w:color w:val="000000" w:themeColor="text1"/>
          <w:kern w:val="0"/>
          <w:sz w:val="20"/>
          <w:lang w:eastAsia="en-IN"/>
          <w14:ligatures w14:val="none"/>
        </w:rPr>
        <w:t xml:space="preserve">Da Luz J.M.R., Paes, S.A., Nunes, M.D., Torres, D.P., da Silva, M.C.S., 2012. Lignocellulolytic enzyme production of Pleurotus ostreatus growth in </w:t>
      </w:r>
      <w:proofErr w:type="spellStart"/>
      <w:r w:rsidRPr="00995691">
        <w:rPr>
          <w:rFonts w:ascii="Times New Roman" w:eastAsia="Times New Roman" w:hAnsi="Times New Roman" w:cs="Times New Roman"/>
          <w:color w:val="000000" w:themeColor="text1"/>
          <w:kern w:val="0"/>
          <w:sz w:val="20"/>
          <w:lang w:eastAsia="en-IN"/>
          <w14:ligatures w14:val="none"/>
        </w:rPr>
        <w:t>agroindustrial</w:t>
      </w:r>
      <w:proofErr w:type="spellEnd"/>
      <w:r w:rsidRPr="00995691">
        <w:rPr>
          <w:rFonts w:ascii="Times New Roman" w:eastAsia="Times New Roman" w:hAnsi="Times New Roman" w:cs="Times New Roman"/>
          <w:color w:val="000000" w:themeColor="text1"/>
          <w:kern w:val="0"/>
          <w:sz w:val="20"/>
          <w:lang w:eastAsia="en-IN"/>
          <w14:ligatures w14:val="none"/>
        </w:rPr>
        <w:t xml:space="preserve"> wastes. Braz. J. </w:t>
      </w:r>
      <w:proofErr w:type="spellStart"/>
      <w:r w:rsidRPr="00995691">
        <w:rPr>
          <w:rFonts w:ascii="Times New Roman" w:eastAsia="Times New Roman" w:hAnsi="Times New Roman" w:cs="Times New Roman"/>
          <w:color w:val="000000" w:themeColor="text1"/>
          <w:kern w:val="0"/>
          <w:sz w:val="20"/>
          <w:lang w:eastAsia="en-IN"/>
          <w14:ligatures w14:val="none"/>
        </w:rPr>
        <w:t>Microbiol</w:t>
      </w:r>
      <w:proofErr w:type="spellEnd"/>
      <w:r w:rsidRPr="00995691">
        <w:rPr>
          <w:rFonts w:ascii="Times New Roman" w:eastAsia="Times New Roman" w:hAnsi="Times New Roman" w:cs="Times New Roman"/>
          <w:color w:val="000000" w:themeColor="text1"/>
          <w:kern w:val="0"/>
          <w:sz w:val="20"/>
          <w:lang w:eastAsia="en-IN"/>
          <w14:ligatures w14:val="none"/>
        </w:rPr>
        <w:t xml:space="preserve">., 43, 1508-1515.  </w:t>
      </w:r>
    </w:p>
    <w:p w14:paraId="0CF13726" w14:textId="77777777" w:rsidR="00EB1360" w:rsidRPr="00995691" w:rsidRDefault="00EB1360" w:rsidP="00995691">
      <w:pPr>
        <w:pStyle w:val="ListParagraph"/>
        <w:numPr>
          <w:ilvl w:val="0"/>
          <w:numId w:val="1"/>
        </w:numPr>
        <w:spacing w:line="23" w:lineRule="atLeast"/>
        <w:ind w:left="130"/>
        <w:jc w:val="both"/>
        <w:rPr>
          <w:rStyle w:val="Hyperlink"/>
          <w:rFonts w:ascii="Times New Roman" w:hAnsi="Times New Roman" w:cs="Times New Roman"/>
          <w:color w:val="000000" w:themeColor="text1"/>
          <w:sz w:val="20"/>
          <w:u w:val="none"/>
        </w:rPr>
      </w:pPr>
      <w:r w:rsidRPr="00995691">
        <w:rPr>
          <w:rFonts w:ascii="Times New Roman" w:hAnsi="Times New Roman" w:cs="Times New Roman"/>
          <w:color w:val="000000" w:themeColor="text1"/>
          <w:sz w:val="20"/>
        </w:rPr>
        <w:t xml:space="preserve">Datta, S., Christena, L.R., Rajaram, Y.R.S., 2013. Enzyme immobilization: an overview on techniques and support materials. 3 Biotech 3, 1–9. </w:t>
      </w:r>
      <w:hyperlink r:id="rId8" w:history="1">
        <w:r w:rsidRPr="00995691">
          <w:rPr>
            <w:rStyle w:val="Hyperlink"/>
            <w:rFonts w:ascii="Times New Roman" w:hAnsi="Times New Roman" w:cs="Times New Roman"/>
            <w:color w:val="000000" w:themeColor="text1"/>
            <w:sz w:val="20"/>
          </w:rPr>
          <w:t>https://doi.org/10.1007/s13205-012-0071-7</w:t>
        </w:r>
      </w:hyperlink>
    </w:p>
    <w:p w14:paraId="0F18DB0E" w14:textId="2304C60B" w:rsidR="00EB1360" w:rsidRPr="00995691" w:rsidRDefault="00EB1360" w:rsidP="00995691">
      <w:pPr>
        <w:pStyle w:val="ListParagraph"/>
        <w:numPr>
          <w:ilvl w:val="0"/>
          <w:numId w:val="1"/>
        </w:numPr>
        <w:shd w:val="clear" w:color="auto" w:fill="FFFFFF"/>
        <w:spacing w:before="200" w:after="200" w:line="23" w:lineRule="atLeast"/>
        <w:ind w:left="130"/>
        <w:rPr>
          <w:rFonts w:ascii="Times New Roman" w:hAnsi="Times New Roman" w:cs="Times New Roman"/>
          <w:color w:val="212121"/>
          <w:sz w:val="20"/>
        </w:rPr>
      </w:pPr>
      <w:r w:rsidRPr="00995691">
        <w:rPr>
          <w:rStyle w:val="element-citation"/>
          <w:rFonts w:ascii="Times New Roman" w:hAnsi="Times New Roman" w:cs="Times New Roman"/>
          <w:color w:val="212121"/>
          <w:sz w:val="20"/>
        </w:rPr>
        <w:t xml:space="preserve">Fernández F., </w:t>
      </w:r>
      <w:proofErr w:type="spellStart"/>
      <w:r w:rsidRPr="00995691">
        <w:rPr>
          <w:rStyle w:val="element-citation"/>
          <w:rFonts w:ascii="Times New Roman" w:hAnsi="Times New Roman" w:cs="Times New Roman"/>
          <w:color w:val="212121"/>
          <w:sz w:val="20"/>
        </w:rPr>
        <w:t>Dell’Amico</w:t>
      </w:r>
      <w:proofErr w:type="spellEnd"/>
      <w:r w:rsidRPr="00995691">
        <w:rPr>
          <w:rStyle w:val="element-citation"/>
          <w:rFonts w:ascii="Times New Roman" w:hAnsi="Times New Roman" w:cs="Times New Roman"/>
          <w:color w:val="212121"/>
          <w:sz w:val="20"/>
        </w:rPr>
        <w:t xml:space="preserve"> J., </w:t>
      </w:r>
      <w:proofErr w:type="spellStart"/>
      <w:r w:rsidRPr="00995691">
        <w:rPr>
          <w:rStyle w:val="element-citation"/>
          <w:rFonts w:ascii="Times New Roman" w:hAnsi="Times New Roman" w:cs="Times New Roman"/>
          <w:color w:val="212121"/>
          <w:sz w:val="20"/>
        </w:rPr>
        <w:t>Angoa</w:t>
      </w:r>
      <w:proofErr w:type="spellEnd"/>
      <w:r w:rsidRPr="00995691">
        <w:rPr>
          <w:rStyle w:val="element-citation"/>
          <w:rFonts w:ascii="Times New Roman" w:hAnsi="Times New Roman" w:cs="Times New Roman"/>
          <w:color w:val="212121"/>
          <w:sz w:val="20"/>
        </w:rPr>
        <w:t xml:space="preserve"> M., de la Providencia I. Use of a liquid inoculum of the arbuscular mycorrhizal fungi Glomus hoi </w:t>
      </w:r>
      <w:proofErr w:type="gramStart"/>
      <w:r w:rsidRPr="00995691">
        <w:rPr>
          <w:rStyle w:val="element-citation"/>
          <w:rFonts w:ascii="Times New Roman" w:hAnsi="Times New Roman" w:cs="Times New Roman"/>
          <w:color w:val="212121"/>
          <w:sz w:val="20"/>
        </w:rPr>
        <w:t>in rice</w:t>
      </w:r>
      <w:proofErr w:type="gramEnd"/>
      <w:r w:rsidRPr="00995691">
        <w:rPr>
          <w:rStyle w:val="element-citation"/>
          <w:rFonts w:ascii="Times New Roman" w:hAnsi="Times New Roman" w:cs="Times New Roman"/>
          <w:color w:val="212121"/>
          <w:sz w:val="20"/>
        </w:rPr>
        <w:t xml:space="preserve"> plants cultivated in a saline </w:t>
      </w:r>
      <w:proofErr w:type="spellStart"/>
      <w:r w:rsidRPr="00995691">
        <w:rPr>
          <w:rStyle w:val="element-citation"/>
          <w:rFonts w:ascii="Times New Roman" w:hAnsi="Times New Roman" w:cs="Times New Roman"/>
          <w:color w:val="212121"/>
          <w:sz w:val="20"/>
        </w:rPr>
        <w:t>Gleysol</w:t>
      </w:r>
      <w:proofErr w:type="spellEnd"/>
      <w:r w:rsidRPr="00995691">
        <w:rPr>
          <w:rStyle w:val="element-citation"/>
          <w:rFonts w:ascii="Times New Roman" w:hAnsi="Times New Roman" w:cs="Times New Roman"/>
          <w:color w:val="212121"/>
          <w:sz w:val="20"/>
        </w:rPr>
        <w:t>: A new alternative to inoculate. </w:t>
      </w:r>
      <w:r w:rsidRPr="00995691">
        <w:rPr>
          <w:rStyle w:val="ref-journal"/>
          <w:rFonts w:ascii="Times New Roman" w:hAnsi="Times New Roman" w:cs="Times New Roman"/>
          <w:i/>
          <w:iCs/>
          <w:color w:val="212121"/>
          <w:sz w:val="20"/>
        </w:rPr>
        <w:t>J. Plant Breed. Crop Sci. </w:t>
      </w:r>
      <w:proofErr w:type="gramStart"/>
      <w:r w:rsidRPr="00995691">
        <w:rPr>
          <w:rStyle w:val="element-citation"/>
          <w:rFonts w:ascii="Times New Roman" w:hAnsi="Times New Roman" w:cs="Times New Roman"/>
          <w:color w:val="212121"/>
          <w:sz w:val="20"/>
        </w:rPr>
        <w:t>2011;</w:t>
      </w:r>
      <w:r w:rsidRPr="00995691">
        <w:rPr>
          <w:rStyle w:val="ref-vol"/>
          <w:rFonts w:ascii="Times New Roman" w:hAnsi="Times New Roman" w:cs="Times New Roman"/>
          <w:color w:val="212121"/>
          <w:sz w:val="20"/>
        </w:rPr>
        <w:t>3</w:t>
      </w:r>
      <w:r w:rsidRPr="00995691">
        <w:rPr>
          <w:rStyle w:val="element-citation"/>
          <w:rFonts w:ascii="Times New Roman" w:hAnsi="Times New Roman" w:cs="Times New Roman"/>
          <w:color w:val="212121"/>
          <w:sz w:val="20"/>
        </w:rPr>
        <w:t>:24</w:t>
      </w:r>
      <w:proofErr w:type="gramEnd"/>
      <w:r w:rsidRPr="00995691">
        <w:rPr>
          <w:rStyle w:val="element-citation"/>
          <w:rFonts w:ascii="Times New Roman" w:hAnsi="Times New Roman" w:cs="Times New Roman"/>
          <w:color w:val="212121"/>
          <w:sz w:val="20"/>
        </w:rPr>
        <w:t>–33. </w:t>
      </w:r>
      <w:r w:rsidRPr="00995691">
        <w:rPr>
          <w:rStyle w:val="nowrap"/>
          <w:rFonts w:ascii="Times New Roman" w:hAnsi="Times New Roman" w:cs="Times New Roman"/>
          <w:color w:val="212121"/>
          <w:sz w:val="20"/>
        </w:rPr>
        <w:t>[</w:t>
      </w:r>
      <w:hyperlink r:id="rId9" w:tgtFrame="_blank" w:history="1">
        <w:r w:rsidRPr="00995691">
          <w:rPr>
            <w:rStyle w:val="Hyperlink"/>
            <w:rFonts w:ascii="Times New Roman" w:hAnsi="Times New Roman" w:cs="Times New Roman"/>
            <w:color w:val="376FAA"/>
            <w:sz w:val="20"/>
          </w:rPr>
          <w:t>Google Scholar</w:t>
        </w:r>
      </w:hyperlink>
      <w:r w:rsidRPr="00995691">
        <w:rPr>
          <w:rStyle w:val="nowrap"/>
          <w:rFonts w:ascii="Times New Roman" w:hAnsi="Times New Roman" w:cs="Times New Roman"/>
          <w:color w:val="212121"/>
          <w:sz w:val="20"/>
        </w:rPr>
        <w:t>]</w:t>
      </w:r>
    </w:p>
    <w:p w14:paraId="1CDD5694"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Franssen, M.C.R., </w:t>
      </w:r>
      <w:proofErr w:type="spellStart"/>
      <w:r w:rsidRPr="00995691">
        <w:rPr>
          <w:rFonts w:ascii="Times New Roman" w:hAnsi="Times New Roman" w:cs="Times New Roman"/>
          <w:color w:val="000000" w:themeColor="text1"/>
          <w:sz w:val="20"/>
        </w:rPr>
        <w:t>Steunenberg</w:t>
      </w:r>
      <w:proofErr w:type="spellEnd"/>
      <w:r w:rsidRPr="00995691">
        <w:rPr>
          <w:rFonts w:ascii="Times New Roman" w:hAnsi="Times New Roman" w:cs="Times New Roman"/>
          <w:color w:val="000000" w:themeColor="text1"/>
          <w:sz w:val="20"/>
        </w:rPr>
        <w:t xml:space="preserve">, P., Scott, E.L., </w:t>
      </w:r>
      <w:proofErr w:type="spellStart"/>
      <w:r w:rsidRPr="00995691">
        <w:rPr>
          <w:rFonts w:ascii="Times New Roman" w:hAnsi="Times New Roman" w:cs="Times New Roman"/>
          <w:color w:val="000000" w:themeColor="text1"/>
          <w:sz w:val="20"/>
        </w:rPr>
        <w:t>Zuilhof</w:t>
      </w:r>
      <w:proofErr w:type="spellEnd"/>
      <w:r w:rsidRPr="00995691">
        <w:rPr>
          <w:rFonts w:ascii="Times New Roman" w:hAnsi="Times New Roman" w:cs="Times New Roman"/>
          <w:color w:val="000000" w:themeColor="text1"/>
          <w:sz w:val="20"/>
        </w:rPr>
        <w:t xml:space="preserve">, H., Sanders, J.P.M., 2013. Immobilised enzymes in </w:t>
      </w:r>
      <w:proofErr w:type="spellStart"/>
      <w:r w:rsidRPr="00995691">
        <w:rPr>
          <w:rFonts w:ascii="Times New Roman" w:hAnsi="Times New Roman" w:cs="Times New Roman"/>
          <w:color w:val="000000" w:themeColor="text1"/>
          <w:sz w:val="20"/>
        </w:rPr>
        <w:t>biorenewables</w:t>
      </w:r>
      <w:proofErr w:type="spellEnd"/>
      <w:r w:rsidRPr="00995691">
        <w:rPr>
          <w:rFonts w:ascii="Times New Roman" w:hAnsi="Times New Roman" w:cs="Times New Roman"/>
          <w:color w:val="000000" w:themeColor="text1"/>
          <w:sz w:val="20"/>
        </w:rPr>
        <w:t xml:space="preserve"> production. Chem. Soc. Rev. 42, 6491–6533. </w:t>
      </w:r>
      <w:hyperlink r:id="rId10" w:history="1">
        <w:r w:rsidRPr="00995691">
          <w:rPr>
            <w:rStyle w:val="Hyperlink"/>
            <w:rFonts w:ascii="Times New Roman" w:hAnsi="Times New Roman" w:cs="Times New Roman"/>
            <w:color w:val="000000" w:themeColor="text1"/>
            <w:sz w:val="20"/>
          </w:rPr>
          <w:t>https://doi.org/10.1039/c3cs00004d</w:t>
        </w:r>
      </w:hyperlink>
    </w:p>
    <w:p w14:paraId="724F3C93" w14:textId="77777777" w:rsidR="00EB1360" w:rsidRPr="00995691" w:rsidRDefault="00EB1360" w:rsidP="00995691">
      <w:pPr>
        <w:pStyle w:val="ListParagraph"/>
        <w:numPr>
          <w:ilvl w:val="0"/>
          <w:numId w:val="1"/>
        </w:numPr>
        <w:spacing w:line="23" w:lineRule="atLeast"/>
        <w:ind w:left="130"/>
        <w:jc w:val="both"/>
        <w:rPr>
          <w:rStyle w:val="mixed-citation"/>
          <w:rFonts w:ascii="Times New Roman" w:hAnsi="Times New Roman" w:cs="Times New Roman"/>
          <w:color w:val="000000" w:themeColor="text1"/>
          <w:sz w:val="20"/>
        </w:rPr>
      </w:pPr>
      <w:r w:rsidRPr="00995691">
        <w:rPr>
          <w:rStyle w:val="mixed-citation"/>
          <w:rFonts w:ascii="Times New Roman" w:hAnsi="Times New Roman" w:cs="Times New Roman"/>
          <w:color w:val="000000" w:themeColor="text1"/>
          <w:sz w:val="20"/>
        </w:rPr>
        <w:t xml:space="preserve">Girmay Z, </w:t>
      </w:r>
      <w:proofErr w:type="spellStart"/>
      <w:r w:rsidRPr="00995691">
        <w:rPr>
          <w:rStyle w:val="mixed-citation"/>
          <w:rFonts w:ascii="Times New Roman" w:hAnsi="Times New Roman" w:cs="Times New Roman"/>
          <w:color w:val="000000" w:themeColor="text1"/>
          <w:sz w:val="20"/>
        </w:rPr>
        <w:t>Gorems</w:t>
      </w:r>
      <w:proofErr w:type="spellEnd"/>
      <w:r w:rsidRPr="00995691">
        <w:rPr>
          <w:rStyle w:val="mixed-citation"/>
          <w:rFonts w:ascii="Times New Roman" w:hAnsi="Times New Roman" w:cs="Times New Roman"/>
          <w:color w:val="000000" w:themeColor="text1"/>
          <w:sz w:val="20"/>
        </w:rPr>
        <w:t xml:space="preserve"> W, Birhanu G, et al. </w:t>
      </w:r>
      <w:r w:rsidRPr="00995691">
        <w:rPr>
          <w:rStyle w:val="ref-title"/>
          <w:rFonts w:ascii="Times New Roman" w:hAnsi="Times New Roman" w:cs="Times New Roman"/>
          <w:color w:val="000000" w:themeColor="text1"/>
          <w:sz w:val="20"/>
        </w:rPr>
        <w:t>Growth and yield performance of </w:t>
      </w:r>
      <w:r w:rsidRPr="00995691">
        <w:rPr>
          <w:rStyle w:val="Emphasis"/>
          <w:rFonts w:ascii="Times New Roman" w:hAnsi="Times New Roman" w:cs="Times New Roman"/>
          <w:color w:val="000000" w:themeColor="text1"/>
          <w:sz w:val="20"/>
        </w:rPr>
        <w:t>Pleurotus ostreatus</w:t>
      </w:r>
      <w:r w:rsidRPr="00995691">
        <w:rPr>
          <w:rStyle w:val="ref-title"/>
          <w:rFonts w:ascii="Times New Roman" w:hAnsi="Times New Roman" w:cs="Times New Roman"/>
          <w:color w:val="000000" w:themeColor="text1"/>
          <w:sz w:val="20"/>
        </w:rPr>
        <w:t> (Jacq. Fr.) Kumm (oyster mushroom) on different substrates</w:t>
      </w:r>
      <w:r w:rsidRPr="00995691">
        <w:rPr>
          <w:rStyle w:val="mixed-citation"/>
          <w:rFonts w:ascii="Times New Roman" w:hAnsi="Times New Roman" w:cs="Times New Roman"/>
          <w:color w:val="000000" w:themeColor="text1"/>
          <w:sz w:val="20"/>
        </w:rPr>
        <w:t>. </w:t>
      </w:r>
      <w:r w:rsidRPr="00995691">
        <w:rPr>
          <w:rStyle w:val="ref-journal"/>
          <w:rFonts w:ascii="Times New Roman" w:hAnsi="Times New Roman" w:cs="Times New Roman"/>
          <w:i/>
          <w:iCs/>
          <w:color w:val="000000" w:themeColor="text1"/>
          <w:sz w:val="20"/>
        </w:rPr>
        <w:t>AMB Express</w:t>
      </w:r>
      <w:r w:rsidRPr="00995691">
        <w:rPr>
          <w:rStyle w:val="mixed-citation"/>
          <w:rFonts w:ascii="Times New Roman" w:hAnsi="Times New Roman" w:cs="Times New Roman"/>
          <w:color w:val="000000" w:themeColor="text1"/>
          <w:sz w:val="20"/>
        </w:rPr>
        <w:t>. 2016;</w:t>
      </w:r>
      <w:r w:rsidRPr="00995691">
        <w:rPr>
          <w:rStyle w:val="ref-vol"/>
          <w:rFonts w:ascii="Times New Roman" w:hAnsi="Times New Roman" w:cs="Times New Roman"/>
          <w:color w:val="000000" w:themeColor="text1"/>
          <w:sz w:val="20"/>
        </w:rPr>
        <w:t>6</w:t>
      </w:r>
      <w:r w:rsidRPr="00995691">
        <w:rPr>
          <w:rStyle w:val="mixed-citation"/>
          <w:rFonts w:ascii="Times New Roman" w:hAnsi="Times New Roman" w:cs="Times New Roman"/>
          <w:color w:val="000000" w:themeColor="text1"/>
          <w:sz w:val="20"/>
        </w:rPr>
        <w:t>(</w:t>
      </w:r>
      <w:r w:rsidRPr="00995691">
        <w:rPr>
          <w:rStyle w:val="ref-iss"/>
          <w:rFonts w:ascii="Times New Roman" w:hAnsi="Times New Roman" w:cs="Times New Roman"/>
          <w:color w:val="000000" w:themeColor="text1"/>
          <w:sz w:val="20"/>
        </w:rPr>
        <w:t>1</w:t>
      </w:r>
      <w:r w:rsidRPr="00995691">
        <w:rPr>
          <w:rStyle w:val="mixed-citation"/>
          <w:rFonts w:ascii="Times New Roman" w:hAnsi="Times New Roman" w:cs="Times New Roman"/>
          <w:color w:val="000000" w:themeColor="text1"/>
          <w:sz w:val="20"/>
        </w:rPr>
        <w:t>):87.</w:t>
      </w:r>
    </w:p>
    <w:p w14:paraId="64D3BC90"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Hassan, M.E., Yang, Q., Xiao, Z., Liu, L., Wang, N., Cui, X., Yang, L., 2019. Impact of immobilization technology in industrial and pharmaceutical applications. 3 Biotech. https://doi.org/10.1007/s13205-019-1969-0</w:t>
      </w:r>
    </w:p>
    <w:p w14:paraId="29F5CACA" w14:textId="77777777" w:rsidR="00EB1360" w:rsidRPr="00995691" w:rsidRDefault="00EB1360" w:rsidP="00995691">
      <w:pPr>
        <w:pStyle w:val="ListParagraph"/>
        <w:numPr>
          <w:ilvl w:val="0"/>
          <w:numId w:val="1"/>
        </w:numPr>
        <w:spacing w:line="23" w:lineRule="atLeast"/>
        <w:ind w:left="130"/>
        <w:jc w:val="both"/>
        <w:rPr>
          <w:rStyle w:val="mixed-citation"/>
          <w:rFonts w:ascii="Times New Roman" w:hAnsi="Times New Roman" w:cs="Times New Roman"/>
          <w:color w:val="000000" w:themeColor="text1"/>
          <w:sz w:val="20"/>
        </w:rPr>
      </w:pPr>
      <w:r w:rsidRPr="00995691">
        <w:rPr>
          <w:rStyle w:val="mixed-citation"/>
          <w:rFonts w:ascii="Times New Roman" w:hAnsi="Times New Roman" w:cs="Times New Roman"/>
          <w:color w:val="000000" w:themeColor="text1"/>
          <w:sz w:val="20"/>
        </w:rPr>
        <w:t>Hoa HT, Wang CL. </w:t>
      </w:r>
      <w:r w:rsidRPr="00995691">
        <w:rPr>
          <w:rStyle w:val="ref-title"/>
          <w:rFonts w:ascii="Times New Roman" w:hAnsi="Times New Roman" w:cs="Times New Roman"/>
          <w:color w:val="000000" w:themeColor="text1"/>
          <w:sz w:val="20"/>
        </w:rPr>
        <w:t>The effects of temperature and nutritional conditions on mycelium growth of two oyster mushrooms (</w:t>
      </w:r>
      <w:r w:rsidRPr="00995691">
        <w:rPr>
          <w:rStyle w:val="Emphasis"/>
          <w:rFonts w:ascii="Times New Roman" w:hAnsi="Times New Roman" w:cs="Times New Roman"/>
          <w:color w:val="000000" w:themeColor="text1"/>
          <w:sz w:val="20"/>
        </w:rPr>
        <w:t>Pleurotus ostreatus</w:t>
      </w:r>
      <w:r w:rsidRPr="00995691">
        <w:rPr>
          <w:rStyle w:val="ref-title"/>
          <w:rFonts w:ascii="Times New Roman" w:hAnsi="Times New Roman" w:cs="Times New Roman"/>
          <w:color w:val="000000" w:themeColor="text1"/>
          <w:sz w:val="20"/>
        </w:rPr>
        <w:t> and </w:t>
      </w:r>
      <w:r w:rsidRPr="00995691">
        <w:rPr>
          <w:rStyle w:val="Emphasis"/>
          <w:rFonts w:ascii="Times New Roman" w:hAnsi="Times New Roman" w:cs="Times New Roman"/>
          <w:color w:val="000000" w:themeColor="text1"/>
          <w:sz w:val="20"/>
        </w:rPr>
        <w:t xml:space="preserve">Pleurotus </w:t>
      </w:r>
      <w:proofErr w:type="spellStart"/>
      <w:r w:rsidRPr="00995691">
        <w:rPr>
          <w:rStyle w:val="Emphasis"/>
          <w:rFonts w:ascii="Times New Roman" w:hAnsi="Times New Roman" w:cs="Times New Roman"/>
          <w:color w:val="000000" w:themeColor="text1"/>
          <w:sz w:val="20"/>
        </w:rPr>
        <w:t>cystidiosus</w:t>
      </w:r>
      <w:proofErr w:type="spellEnd"/>
      <w:r w:rsidRPr="00995691">
        <w:rPr>
          <w:rStyle w:val="ref-title"/>
          <w:rFonts w:ascii="Times New Roman" w:hAnsi="Times New Roman" w:cs="Times New Roman"/>
          <w:color w:val="000000" w:themeColor="text1"/>
          <w:sz w:val="20"/>
        </w:rPr>
        <w:t>)</w:t>
      </w:r>
      <w:r w:rsidRPr="00995691">
        <w:rPr>
          <w:rStyle w:val="mixed-citation"/>
          <w:rFonts w:ascii="Times New Roman" w:hAnsi="Times New Roman" w:cs="Times New Roman"/>
          <w:color w:val="000000" w:themeColor="text1"/>
          <w:sz w:val="20"/>
        </w:rPr>
        <w:t>. </w:t>
      </w:r>
      <w:proofErr w:type="spellStart"/>
      <w:r w:rsidRPr="00995691">
        <w:rPr>
          <w:rStyle w:val="ref-journal"/>
          <w:rFonts w:ascii="Times New Roman" w:hAnsi="Times New Roman" w:cs="Times New Roman"/>
          <w:i/>
          <w:iCs/>
          <w:color w:val="000000" w:themeColor="text1"/>
          <w:sz w:val="20"/>
        </w:rPr>
        <w:t>Mycobiology</w:t>
      </w:r>
      <w:proofErr w:type="spellEnd"/>
      <w:r w:rsidRPr="00995691">
        <w:rPr>
          <w:rStyle w:val="mixed-citation"/>
          <w:rFonts w:ascii="Times New Roman" w:hAnsi="Times New Roman" w:cs="Times New Roman"/>
          <w:color w:val="000000" w:themeColor="text1"/>
          <w:sz w:val="20"/>
        </w:rPr>
        <w:t>. 2015;</w:t>
      </w:r>
      <w:r w:rsidRPr="00995691">
        <w:rPr>
          <w:rStyle w:val="ref-vol"/>
          <w:rFonts w:ascii="Times New Roman" w:hAnsi="Times New Roman" w:cs="Times New Roman"/>
          <w:color w:val="000000" w:themeColor="text1"/>
          <w:sz w:val="20"/>
        </w:rPr>
        <w:t>43</w:t>
      </w:r>
      <w:r w:rsidRPr="00995691">
        <w:rPr>
          <w:rStyle w:val="mixed-citation"/>
          <w:rFonts w:ascii="Times New Roman" w:hAnsi="Times New Roman" w:cs="Times New Roman"/>
          <w:color w:val="000000" w:themeColor="text1"/>
          <w:sz w:val="20"/>
        </w:rPr>
        <w:t>(</w:t>
      </w:r>
      <w:r w:rsidRPr="00995691">
        <w:rPr>
          <w:rStyle w:val="ref-iss"/>
          <w:rFonts w:ascii="Times New Roman" w:hAnsi="Times New Roman" w:cs="Times New Roman"/>
          <w:color w:val="000000" w:themeColor="text1"/>
          <w:sz w:val="20"/>
        </w:rPr>
        <w:t>1</w:t>
      </w:r>
      <w:r w:rsidRPr="00995691">
        <w:rPr>
          <w:rStyle w:val="mixed-citation"/>
          <w:rFonts w:ascii="Times New Roman" w:hAnsi="Times New Roman" w:cs="Times New Roman"/>
          <w:color w:val="000000" w:themeColor="text1"/>
          <w:sz w:val="20"/>
        </w:rPr>
        <w:t>):14–23. </w:t>
      </w:r>
    </w:p>
    <w:p w14:paraId="55715F21"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Homaei</w:t>
      </w:r>
      <w:proofErr w:type="spellEnd"/>
      <w:r w:rsidRPr="00995691">
        <w:rPr>
          <w:rFonts w:ascii="Times New Roman" w:hAnsi="Times New Roman" w:cs="Times New Roman"/>
          <w:color w:val="000000" w:themeColor="text1"/>
          <w:sz w:val="20"/>
        </w:rPr>
        <w:t xml:space="preserve">, A.A., </w:t>
      </w:r>
      <w:proofErr w:type="spellStart"/>
      <w:r w:rsidRPr="00995691">
        <w:rPr>
          <w:rFonts w:ascii="Times New Roman" w:hAnsi="Times New Roman" w:cs="Times New Roman"/>
          <w:color w:val="000000" w:themeColor="text1"/>
          <w:sz w:val="20"/>
        </w:rPr>
        <w:t>Sariri</w:t>
      </w:r>
      <w:proofErr w:type="spellEnd"/>
      <w:r w:rsidRPr="00995691">
        <w:rPr>
          <w:rFonts w:ascii="Times New Roman" w:hAnsi="Times New Roman" w:cs="Times New Roman"/>
          <w:color w:val="000000" w:themeColor="text1"/>
          <w:sz w:val="20"/>
        </w:rPr>
        <w:t xml:space="preserve">, R., Vianello, F., </w:t>
      </w:r>
      <w:proofErr w:type="spellStart"/>
      <w:r w:rsidRPr="00995691">
        <w:rPr>
          <w:rFonts w:ascii="Times New Roman" w:hAnsi="Times New Roman" w:cs="Times New Roman"/>
          <w:color w:val="000000" w:themeColor="text1"/>
          <w:sz w:val="20"/>
        </w:rPr>
        <w:t>Stevanato</w:t>
      </w:r>
      <w:proofErr w:type="spellEnd"/>
      <w:r w:rsidRPr="00995691">
        <w:rPr>
          <w:rFonts w:ascii="Times New Roman" w:hAnsi="Times New Roman" w:cs="Times New Roman"/>
          <w:color w:val="000000" w:themeColor="text1"/>
          <w:sz w:val="20"/>
        </w:rPr>
        <w:t xml:space="preserve">, R., 2013. Enzyme immobilization: an update. J. Chem. Biol. 6, 185–205. </w:t>
      </w:r>
      <w:hyperlink r:id="rId11" w:history="1">
        <w:r w:rsidRPr="00995691">
          <w:rPr>
            <w:rStyle w:val="Hyperlink"/>
            <w:rFonts w:ascii="Times New Roman" w:hAnsi="Times New Roman" w:cs="Times New Roman"/>
            <w:color w:val="000000" w:themeColor="text1"/>
            <w:sz w:val="20"/>
          </w:rPr>
          <w:t>https://doi.org/10.1007/s12154-013-0102-9</w:t>
        </w:r>
      </w:hyperlink>
    </w:p>
    <w:p w14:paraId="795B5438"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shd w:val="clear" w:color="auto" w:fill="FFFFFF"/>
        </w:rPr>
      </w:pPr>
      <w:r w:rsidRPr="00995691">
        <w:rPr>
          <w:rFonts w:ascii="Times New Roman" w:hAnsi="Times New Roman" w:cs="Times New Roman"/>
          <w:color w:val="000000" w:themeColor="text1"/>
          <w:sz w:val="20"/>
          <w:shd w:val="clear" w:color="auto" w:fill="FFFFFF"/>
        </w:rPr>
        <w:t xml:space="preserve">Kakon AJ, Md Choudhury BK, </w:t>
      </w:r>
      <w:proofErr w:type="spellStart"/>
      <w:r w:rsidRPr="00995691">
        <w:rPr>
          <w:rFonts w:ascii="Times New Roman" w:hAnsi="Times New Roman" w:cs="Times New Roman"/>
          <w:color w:val="000000" w:themeColor="text1"/>
          <w:sz w:val="20"/>
          <w:shd w:val="clear" w:color="auto" w:fill="FFFFFF"/>
        </w:rPr>
        <w:t>Shusmita</w:t>
      </w:r>
      <w:proofErr w:type="spellEnd"/>
      <w:r w:rsidRPr="00995691">
        <w:rPr>
          <w:rFonts w:ascii="Times New Roman" w:hAnsi="Times New Roman" w:cs="Times New Roman"/>
          <w:color w:val="000000" w:themeColor="text1"/>
          <w:sz w:val="20"/>
          <w:shd w:val="clear" w:color="auto" w:fill="FFFFFF"/>
        </w:rPr>
        <w:t xml:space="preserve"> S. </w:t>
      </w:r>
      <w:r w:rsidRPr="00995691">
        <w:rPr>
          <w:rStyle w:val="ref-title"/>
          <w:rFonts w:ascii="Times New Roman" w:hAnsi="Times New Roman" w:cs="Times New Roman"/>
          <w:color w:val="000000" w:themeColor="text1"/>
          <w:sz w:val="20"/>
          <w:shd w:val="clear" w:color="auto" w:fill="FFFFFF"/>
        </w:rPr>
        <w:t>Mushroom is an ideal food supplement</w:t>
      </w:r>
      <w:r w:rsidRPr="00995691">
        <w:rPr>
          <w:rFonts w:ascii="Times New Roman" w:hAnsi="Times New Roman" w:cs="Times New Roman"/>
          <w:color w:val="000000" w:themeColor="text1"/>
          <w:sz w:val="20"/>
          <w:shd w:val="clear" w:color="auto" w:fill="FFFFFF"/>
        </w:rPr>
        <w:t>. </w:t>
      </w:r>
      <w:r w:rsidRPr="00995691">
        <w:rPr>
          <w:rStyle w:val="ref-journal"/>
          <w:rFonts w:ascii="Times New Roman" w:hAnsi="Times New Roman" w:cs="Times New Roman"/>
          <w:i/>
          <w:iCs/>
          <w:color w:val="000000" w:themeColor="text1"/>
          <w:sz w:val="20"/>
          <w:shd w:val="clear" w:color="auto" w:fill="FFFFFF"/>
        </w:rPr>
        <w:t>J Dhaka Natl Med Coll Hosp</w:t>
      </w:r>
      <w:r w:rsidRPr="00995691">
        <w:rPr>
          <w:rFonts w:ascii="Times New Roman" w:hAnsi="Times New Roman" w:cs="Times New Roman"/>
          <w:color w:val="000000" w:themeColor="text1"/>
          <w:sz w:val="20"/>
          <w:shd w:val="clear" w:color="auto" w:fill="FFFFFF"/>
        </w:rPr>
        <w:t>. 2012;</w:t>
      </w:r>
      <w:r w:rsidRPr="00995691">
        <w:rPr>
          <w:rStyle w:val="ref-vol"/>
          <w:rFonts w:ascii="Times New Roman" w:hAnsi="Times New Roman" w:cs="Times New Roman"/>
          <w:color w:val="000000" w:themeColor="text1"/>
          <w:sz w:val="20"/>
          <w:shd w:val="clear" w:color="auto" w:fill="FFFFFF"/>
        </w:rPr>
        <w:t>18</w:t>
      </w:r>
      <w:r w:rsidRPr="00995691">
        <w:rPr>
          <w:rFonts w:ascii="Times New Roman" w:hAnsi="Times New Roman" w:cs="Times New Roman"/>
          <w:color w:val="000000" w:themeColor="text1"/>
          <w:sz w:val="20"/>
          <w:shd w:val="clear" w:color="auto" w:fill="FFFFFF"/>
        </w:rPr>
        <w:t>(</w:t>
      </w:r>
      <w:r w:rsidRPr="00995691">
        <w:rPr>
          <w:rStyle w:val="ref-iss"/>
          <w:rFonts w:ascii="Times New Roman" w:hAnsi="Times New Roman" w:cs="Times New Roman"/>
          <w:color w:val="000000" w:themeColor="text1"/>
          <w:sz w:val="20"/>
          <w:shd w:val="clear" w:color="auto" w:fill="FFFFFF"/>
        </w:rPr>
        <w:t>1</w:t>
      </w:r>
      <w:r w:rsidRPr="00995691">
        <w:rPr>
          <w:rFonts w:ascii="Times New Roman" w:hAnsi="Times New Roman" w:cs="Times New Roman"/>
          <w:color w:val="000000" w:themeColor="text1"/>
          <w:sz w:val="20"/>
          <w:shd w:val="clear" w:color="auto" w:fill="FFFFFF"/>
        </w:rPr>
        <w:t>):58–62.</w:t>
      </w:r>
    </w:p>
    <w:p w14:paraId="3FBAE360"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lastRenderedPageBreak/>
        <w:t>Karigar</w:t>
      </w:r>
      <w:proofErr w:type="spellEnd"/>
      <w:r w:rsidRPr="00995691">
        <w:rPr>
          <w:rFonts w:ascii="Times New Roman" w:hAnsi="Times New Roman" w:cs="Times New Roman"/>
          <w:color w:val="000000" w:themeColor="text1"/>
          <w:sz w:val="20"/>
        </w:rPr>
        <w:t xml:space="preserve">, C.S., Rao, S.S., 2011. Role of microbial enzymes in the bioremediation of pollutants: A review. Enzyme Res. 2011. </w:t>
      </w:r>
      <w:hyperlink r:id="rId12" w:history="1">
        <w:r w:rsidRPr="00995691">
          <w:rPr>
            <w:rStyle w:val="Hyperlink"/>
            <w:rFonts w:ascii="Times New Roman" w:hAnsi="Times New Roman" w:cs="Times New Roman"/>
            <w:color w:val="000000" w:themeColor="text1"/>
            <w:sz w:val="20"/>
          </w:rPr>
          <w:t>https://doi.org/10.4061/2011/805187</w:t>
        </w:r>
      </w:hyperlink>
    </w:p>
    <w:p w14:paraId="7FB1BD9A"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shd w:val="clear" w:color="auto" w:fill="FFFFFF"/>
        </w:rPr>
      </w:pPr>
      <w:r w:rsidRPr="00995691">
        <w:rPr>
          <w:rFonts w:ascii="Times New Roman" w:hAnsi="Times New Roman" w:cs="Times New Roman"/>
          <w:color w:val="000000" w:themeColor="text1"/>
          <w:sz w:val="20"/>
          <w:shd w:val="clear" w:color="auto" w:fill="FFFFFF"/>
        </w:rPr>
        <w:t>Karmani, Muskan &amp; Subramaniam, Geetha &amp; Ambigai, Lalita &amp; Cheng, W &amp; Ling Shing, Wong. (2022). Effects of Different Substrates on the Growth and Nutritional Composition of Pleurotus ostreatus: A Review Lignocellulosic Substrates Nutrition Yield. Journal of Experimental Biology and Agricultural Sciences. 10(3). 481-486. 10.18006/2022.10(3).481.486.</w:t>
      </w:r>
    </w:p>
    <w:p w14:paraId="60C3B414"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shd w:val="clear" w:color="auto" w:fill="FFFFFF"/>
        </w:rPr>
      </w:pPr>
      <w:r w:rsidRPr="00995691">
        <w:rPr>
          <w:rFonts w:ascii="Times New Roman" w:hAnsi="Times New Roman" w:cs="Times New Roman"/>
          <w:color w:val="000000" w:themeColor="text1"/>
          <w:sz w:val="20"/>
          <w:shd w:val="clear" w:color="auto" w:fill="FFFFFF"/>
        </w:rPr>
        <w:t>Kong WS. Description of commercially important </w:t>
      </w:r>
      <w:r w:rsidRPr="00995691">
        <w:rPr>
          <w:rStyle w:val="Emphasis"/>
          <w:rFonts w:ascii="Times New Roman" w:hAnsi="Times New Roman" w:cs="Times New Roman"/>
          <w:color w:val="000000" w:themeColor="text1"/>
          <w:sz w:val="20"/>
          <w:shd w:val="clear" w:color="auto" w:fill="FFFFFF"/>
        </w:rPr>
        <w:t>Pleurotus</w:t>
      </w:r>
      <w:r w:rsidRPr="00995691">
        <w:rPr>
          <w:rFonts w:ascii="Times New Roman" w:hAnsi="Times New Roman" w:cs="Times New Roman"/>
          <w:color w:val="000000" w:themeColor="text1"/>
          <w:sz w:val="20"/>
          <w:shd w:val="clear" w:color="auto" w:fill="FFFFFF"/>
        </w:rPr>
        <w:t xml:space="preserve"> species </w:t>
      </w:r>
      <w:proofErr w:type="gramStart"/>
      <w:r w:rsidRPr="00995691">
        <w:rPr>
          <w:rFonts w:ascii="Times New Roman" w:hAnsi="Times New Roman" w:cs="Times New Roman"/>
          <w:color w:val="000000" w:themeColor="text1"/>
          <w:sz w:val="20"/>
          <w:shd w:val="clear" w:color="auto" w:fill="FFFFFF"/>
        </w:rPr>
        <w:t>In</w:t>
      </w:r>
      <w:proofErr w:type="gramEnd"/>
      <w:r w:rsidRPr="00995691">
        <w:rPr>
          <w:rFonts w:ascii="Times New Roman" w:hAnsi="Times New Roman" w:cs="Times New Roman"/>
          <w:color w:val="000000" w:themeColor="text1"/>
          <w:sz w:val="20"/>
          <w:shd w:val="clear" w:color="auto" w:fill="FFFFFF"/>
        </w:rPr>
        <w:t>: Choi KW, editor. </w:t>
      </w:r>
      <w:r w:rsidRPr="00995691">
        <w:rPr>
          <w:rStyle w:val="ref-journal"/>
          <w:rFonts w:ascii="Times New Roman" w:hAnsi="Times New Roman" w:cs="Times New Roman"/>
          <w:i/>
          <w:iCs/>
          <w:color w:val="000000" w:themeColor="text1"/>
          <w:sz w:val="20"/>
          <w:shd w:val="clear" w:color="auto" w:fill="FFFFFF"/>
        </w:rPr>
        <w:t xml:space="preserve">Mushroom </w:t>
      </w:r>
      <w:proofErr w:type="gramStart"/>
      <w:r w:rsidRPr="00995691">
        <w:rPr>
          <w:rStyle w:val="ref-journal"/>
          <w:rFonts w:ascii="Times New Roman" w:hAnsi="Times New Roman" w:cs="Times New Roman"/>
          <w:i/>
          <w:iCs/>
          <w:color w:val="000000" w:themeColor="text1"/>
          <w:sz w:val="20"/>
          <w:shd w:val="clear" w:color="auto" w:fill="FFFFFF"/>
        </w:rPr>
        <w:t>growers</w:t>
      </w:r>
      <w:proofErr w:type="gramEnd"/>
      <w:r w:rsidRPr="00995691">
        <w:rPr>
          <w:rStyle w:val="ref-journal"/>
          <w:rFonts w:ascii="Times New Roman" w:hAnsi="Times New Roman" w:cs="Times New Roman"/>
          <w:i/>
          <w:iCs/>
          <w:color w:val="000000" w:themeColor="text1"/>
          <w:sz w:val="20"/>
          <w:shd w:val="clear" w:color="auto" w:fill="FFFFFF"/>
        </w:rPr>
        <w:t xml:space="preserve"> handbook</w:t>
      </w:r>
      <w:r w:rsidRPr="00995691">
        <w:rPr>
          <w:rFonts w:ascii="Times New Roman" w:hAnsi="Times New Roman" w:cs="Times New Roman"/>
          <w:color w:val="000000" w:themeColor="text1"/>
          <w:sz w:val="20"/>
          <w:shd w:val="clear" w:color="auto" w:fill="FFFFFF"/>
        </w:rPr>
        <w:t>. Seoul (South Korea): Oyster Mushroom Cultivation, Mush World; 2004. p. 54–61.</w:t>
      </w:r>
    </w:p>
    <w:p w14:paraId="4EE05C46"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Lu, Y., </w:t>
      </w:r>
      <w:proofErr w:type="spellStart"/>
      <w:r w:rsidRPr="00995691">
        <w:rPr>
          <w:rFonts w:ascii="Times New Roman" w:hAnsi="Times New Roman" w:cs="Times New Roman"/>
          <w:color w:val="000000" w:themeColor="text1"/>
          <w:sz w:val="20"/>
        </w:rPr>
        <w:t>Lv</w:t>
      </w:r>
      <w:proofErr w:type="spellEnd"/>
      <w:r w:rsidRPr="00995691">
        <w:rPr>
          <w:rFonts w:ascii="Times New Roman" w:hAnsi="Times New Roman" w:cs="Times New Roman"/>
          <w:color w:val="000000" w:themeColor="text1"/>
          <w:sz w:val="20"/>
        </w:rPr>
        <w:t xml:space="preserve">, Q., Liu, B., Liu, J., 2019. Immobilized Candida antarctica lipase B </w:t>
      </w:r>
      <w:proofErr w:type="spellStart"/>
      <w:r w:rsidRPr="00995691">
        <w:rPr>
          <w:rFonts w:ascii="Times New Roman" w:hAnsi="Times New Roman" w:cs="Times New Roman"/>
          <w:color w:val="000000" w:themeColor="text1"/>
          <w:sz w:val="20"/>
        </w:rPr>
        <w:t>catalyzed</w:t>
      </w:r>
      <w:proofErr w:type="spellEnd"/>
      <w:r w:rsidRPr="00995691">
        <w:rPr>
          <w:rFonts w:ascii="Times New Roman" w:hAnsi="Times New Roman" w:cs="Times New Roman"/>
          <w:color w:val="000000" w:themeColor="text1"/>
          <w:sz w:val="20"/>
        </w:rPr>
        <w:t xml:space="preserve"> synthesis of biodegradable polymers for biomedical applications. </w:t>
      </w:r>
      <w:proofErr w:type="spellStart"/>
      <w:r w:rsidRPr="00995691">
        <w:rPr>
          <w:rFonts w:ascii="Times New Roman" w:hAnsi="Times New Roman" w:cs="Times New Roman"/>
          <w:color w:val="000000" w:themeColor="text1"/>
          <w:sz w:val="20"/>
        </w:rPr>
        <w:t>Biomater</w:t>
      </w:r>
      <w:proofErr w:type="spellEnd"/>
      <w:r w:rsidRPr="00995691">
        <w:rPr>
          <w:rFonts w:ascii="Times New Roman" w:hAnsi="Times New Roman" w:cs="Times New Roman"/>
          <w:color w:val="000000" w:themeColor="text1"/>
          <w:sz w:val="20"/>
        </w:rPr>
        <w:t xml:space="preserve">. Sci. 7, 4963–4983. </w:t>
      </w:r>
      <w:hyperlink r:id="rId13" w:history="1">
        <w:r w:rsidRPr="00995691">
          <w:rPr>
            <w:rStyle w:val="Hyperlink"/>
            <w:rFonts w:ascii="Times New Roman" w:hAnsi="Times New Roman" w:cs="Times New Roman"/>
            <w:color w:val="000000" w:themeColor="text1"/>
            <w:sz w:val="20"/>
          </w:rPr>
          <w:t>https://doi.org/10.1039/C9BM00716D</w:t>
        </w:r>
      </w:hyperlink>
    </w:p>
    <w:p w14:paraId="1040D0AF"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McKelvey, S.M., Murphy, R.A., 2017. Biotechnological use of fungal enzymes, in: Fungi. John Wiley &amp; Sons, Ltd, pp. 201–225. </w:t>
      </w:r>
      <w:hyperlink r:id="rId14" w:history="1">
        <w:r w:rsidRPr="00995691">
          <w:rPr>
            <w:rStyle w:val="Hyperlink"/>
            <w:rFonts w:ascii="Times New Roman" w:hAnsi="Times New Roman" w:cs="Times New Roman"/>
            <w:color w:val="000000" w:themeColor="text1"/>
            <w:sz w:val="20"/>
          </w:rPr>
          <w:t>https://doi.org/10.1002/9781119374312.CH8</w:t>
        </w:r>
      </w:hyperlink>
    </w:p>
    <w:p w14:paraId="21928897" w14:textId="77777777" w:rsidR="00EB1360" w:rsidRPr="00995691" w:rsidRDefault="00EB1360" w:rsidP="00995691">
      <w:pPr>
        <w:pStyle w:val="ListParagraph"/>
        <w:numPr>
          <w:ilvl w:val="0"/>
          <w:numId w:val="1"/>
        </w:numPr>
        <w:shd w:val="clear" w:color="auto" w:fill="FFFFFF"/>
        <w:spacing w:before="200" w:after="200" w:line="23" w:lineRule="atLeast"/>
        <w:ind w:left="130"/>
        <w:rPr>
          <w:rFonts w:ascii="Times New Roman" w:hAnsi="Times New Roman" w:cs="Times New Roman"/>
          <w:color w:val="212121"/>
          <w:sz w:val="20"/>
        </w:rPr>
      </w:pPr>
      <w:r w:rsidRPr="00995691">
        <w:rPr>
          <w:rStyle w:val="element-citation"/>
          <w:rFonts w:ascii="Times New Roman" w:hAnsi="Times New Roman" w:cs="Times New Roman"/>
          <w:color w:val="212121"/>
          <w:sz w:val="20"/>
        </w:rPr>
        <w:t xml:space="preserve">Miguel D.A.R.J., </w:t>
      </w:r>
      <w:proofErr w:type="spellStart"/>
      <w:r w:rsidRPr="00995691">
        <w:rPr>
          <w:rStyle w:val="element-citation"/>
          <w:rFonts w:ascii="Times New Roman" w:hAnsi="Times New Roman" w:cs="Times New Roman"/>
          <w:color w:val="212121"/>
          <w:sz w:val="20"/>
        </w:rPr>
        <w:t>Feliica</w:t>
      </w:r>
      <w:proofErr w:type="spellEnd"/>
      <w:r w:rsidRPr="00995691">
        <w:rPr>
          <w:rStyle w:val="element-citation"/>
          <w:rFonts w:ascii="Times New Roman" w:hAnsi="Times New Roman" w:cs="Times New Roman"/>
          <w:color w:val="212121"/>
          <w:sz w:val="20"/>
        </w:rPr>
        <w:t xml:space="preserve"> F.M., </w:t>
      </w:r>
      <w:proofErr w:type="spellStart"/>
      <w:r w:rsidRPr="00995691">
        <w:rPr>
          <w:rStyle w:val="element-citation"/>
          <w:rFonts w:ascii="Times New Roman" w:hAnsi="Times New Roman" w:cs="Times New Roman"/>
          <w:color w:val="212121"/>
          <w:sz w:val="20"/>
        </w:rPr>
        <w:t>Yuniesky</w:t>
      </w:r>
      <w:proofErr w:type="spellEnd"/>
      <w:r w:rsidRPr="00995691">
        <w:rPr>
          <w:rStyle w:val="element-citation"/>
          <w:rFonts w:ascii="Times New Roman" w:hAnsi="Times New Roman" w:cs="Times New Roman"/>
          <w:color w:val="212121"/>
          <w:sz w:val="20"/>
        </w:rPr>
        <w:t xml:space="preserve"> P.C. In: </w:t>
      </w:r>
      <w:r w:rsidRPr="00995691">
        <w:rPr>
          <w:rStyle w:val="ref-journal"/>
          <w:rFonts w:ascii="Times New Roman" w:hAnsi="Times New Roman" w:cs="Times New Roman"/>
          <w:i/>
          <w:iCs/>
          <w:color w:val="212121"/>
          <w:sz w:val="20"/>
        </w:rPr>
        <w:t>Liquid Mycorrhizal Inoculant.</w:t>
      </w:r>
      <w:r w:rsidRPr="00995691">
        <w:rPr>
          <w:rStyle w:val="element-citation"/>
          <w:rFonts w:ascii="Times New Roman" w:hAnsi="Times New Roman" w:cs="Times New Roman"/>
          <w:color w:val="212121"/>
          <w:sz w:val="20"/>
        </w:rPr>
        <w:t xml:space="preserve"> Office E.P., editor. Instituto </w:t>
      </w:r>
      <w:proofErr w:type="spellStart"/>
      <w:r w:rsidRPr="00995691">
        <w:rPr>
          <w:rStyle w:val="element-citation"/>
          <w:rFonts w:ascii="Times New Roman" w:hAnsi="Times New Roman" w:cs="Times New Roman"/>
          <w:color w:val="212121"/>
          <w:sz w:val="20"/>
        </w:rPr>
        <w:t>nacional</w:t>
      </w:r>
      <w:proofErr w:type="spellEnd"/>
      <w:r w:rsidRPr="00995691">
        <w:rPr>
          <w:rStyle w:val="element-citation"/>
          <w:rFonts w:ascii="Times New Roman" w:hAnsi="Times New Roman" w:cs="Times New Roman"/>
          <w:color w:val="212121"/>
          <w:sz w:val="20"/>
        </w:rPr>
        <w:t xml:space="preserve"> de </w:t>
      </w:r>
      <w:proofErr w:type="spellStart"/>
      <w:r w:rsidRPr="00995691">
        <w:rPr>
          <w:rStyle w:val="element-citation"/>
          <w:rFonts w:ascii="Times New Roman" w:hAnsi="Times New Roman" w:cs="Times New Roman"/>
          <w:color w:val="212121"/>
          <w:sz w:val="20"/>
        </w:rPr>
        <w:t>ciencias</w:t>
      </w:r>
      <w:proofErr w:type="spellEnd"/>
      <w:r w:rsidRPr="00995691">
        <w:rPr>
          <w:rStyle w:val="element-citation"/>
          <w:rFonts w:ascii="Times New Roman" w:hAnsi="Times New Roman" w:cs="Times New Roman"/>
          <w:color w:val="212121"/>
          <w:sz w:val="20"/>
        </w:rPr>
        <w:t xml:space="preserve"> </w:t>
      </w:r>
      <w:proofErr w:type="spellStart"/>
      <w:r w:rsidRPr="00995691">
        <w:rPr>
          <w:rStyle w:val="element-citation"/>
          <w:rFonts w:ascii="Times New Roman" w:hAnsi="Times New Roman" w:cs="Times New Roman"/>
          <w:color w:val="212121"/>
          <w:sz w:val="20"/>
        </w:rPr>
        <w:t>agricolas</w:t>
      </w:r>
      <w:proofErr w:type="spellEnd"/>
      <w:r w:rsidRPr="00995691">
        <w:rPr>
          <w:rStyle w:val="element-citation"/>
          <w:rFonts w:ascii="Times New Roman" w:hAnsi="Times New Roman" w:cs="Times New Roman"/>
          <w:color w:val="212121"/>
          <w:sz w:val="20"/>
        </w:rPr>
        <w:t xml:space="preserve"> (INCA); San José de las Lajas, Cuba: 2007. pp. 1–8. </w:t>
      </w:r>
      <w:r w:rsidRPr="00995691">
        <w:rPr>
          <w:rStyle w:val="nowrap"/>
          <w:rFonts w:ascii="Times New Roman" w:hAnsi="Times New Roman" w:cs="Times New Roman"/>
          <w:color w:val="212121"/>
          <w:sz w:val="20"/>
        </w:rPr>
        <w:t>[</w:t>
      </w:r>
      <w:hyperlink r:id="rId15" w:tgtFrame="_blank" w:history="1">
        <w:r w:rsidRPr="00995691">
          <w:rPr>
            <w:rStyle w:val="Hyperlink"/>
            <w:rFonts w:ascii="Times New Roman" w:hAnsi="Times New Roman" w:cs="Times New Roman"/>
            <w:color w:val="376FAA"/>
            <w:sz w:val="20"/>
          </w:rPr>
          <w:t>Google Scholar</w:t>
        </w:r>
      </w:hyperlink>
      <w:r w:rsidRPr="00995691">
        <w:rPr>
          <w:rStyle w:val="nowrap"/>
          <w:rFonts w:ascii="Times New Roman" w:hAnsi="Times New Roman" w:cs="Times New Roman"/>
          <w:color w:val="212121"/>
          <w:sz w:val="20"/>
        </w:rPr>
        <w:t>]</w:t>
      </w:r>
    </w:p>
    <w:p w14:paraId="0D8ED97B"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Mikolasch</w:t>
      </w:r>
      <w:proofErr w:type="spellEnd"/>
      <w:r w:rsidRPr="00995691">
        <w:rPr>
          <w:rFonts w:ascii="Times New Roman" w:hAnsi="Times New Roman" w:cs="Times New Roman"/>
          <w:color w:val="000000" w:themeColor="text1"/>
          <w:sz w:val="20"/>
        </w:rPr>
        <w:t xml:space="preserve">, A., Schauer, F., 2009. Fungal laccases as tools for the synthesis of new hybrid molecules and biomaterials. Appl. </w:t>
      </w:r>
      <w:proofErr w:type="spellStart"/>
      <w:r w:rsidRPr="00995691">
        <w:rPr>
          <w:rFonts w:ascii="Times New Roman" w:hAnsi="Times New Roman" w:cs="Times New Roman"/>
          <w:color w:val="000000" w:themeColor="text1"/>
          <w:sz w:val="20"/>
        </w:rPr>
        <w:t>Microbiol</w:t>
      </w:r>
      <w:proofErr w:type="spellEnd"/>
      <w:r w:rsidRPr="00995691">
        <w:rPr>
          <w:rFonts w:ascii="Times New Roman" w:hAnsi="Times New Roman" w:cs="Times New Roman"/>
          <w:color w:val="000000" w:themeColor="text1"/>
          <w:sz w:val="20"/>
        </w:rPr>
        <w:t xml:space="preserve">. </w:t>
      </w:r>
      <w:proofErr w:type="spellStart"/>
      <w:r w:rsidRPr="00995691">
        <w:rPr>
          <w:rFonts w:ascii="Times New Roman" w:hAnsi="Times New Roman" w:cs="Times New Roman"/>
          <w:color w:val="000000" w:themeColor="text1"/>
          <w:sz w:val="20"/>
        </w:rPr>
        <w:t>Biotechnol</w:t>
      </w:r>
      <w:proofErr w:type="spellEnd"/>
      <w:r w:rsidRPr="00995691">
        <w:rPr>
          <w:rFonts w:ascii="Times New Roman" w:hAnsi="Times New Roman" w:cs="Times New Roman"/>
          <w:color w:val="000000" w:themeColor="text1"/>
          <w:sz w:val="20"/>
        </w:rPr>
        <w:t xml:space="preserve">. 82, 605–624. </w:t>
      </w:r>
      <w:hyperlink r:id="rId16" w:history="1">
        <w:r w:rsidRPr="00995691">
          <w:rPr>
            <w:rStyle w:val="Hyperlink"/>
            <w:rFonts w:ascii="Times New Roman" w:hAnsi="Times New Roman" w:cs="Times New Roman"/>
            <w:color w:val="000000" w:themeColor="text1"/>
            <w:sz w:val="20"/>
          </w:rPr>
          <w:t>https://doi.org/10.1007/s00253-009-1869-z</w:t>
        </w:r>
      </w:hyperlink>
    </w:p>
    <w:p w14:paraId="3C3A083E"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Rebrikov</w:t>
      </w:r>
      <w:proofErr w:type="spellEnd"/>
      <w:r w:rsidRPr="00995691">
        <w:rPr>
          <w:rFonts w:ascii="Times New Roman" w:hAnsi="Times New Roman" w:cs="Times New Roman"/>
          <w:color w:val="000000" w:themeColor="text1"/>
          <w:sz w:val="20"/>
        </w:rPr>
        <w:t xml:space="preserve">, D.N., Stepanova, E. V., Koroleva, O. V., </w:t>
      </w:r>
      <w:proofErr w:type="spellStart"/>
      <w:r w:rsidRPr="00995691">
        <w:rPr>
          <w:rFonts w:ascii="Times New Roman" w:hAnsi="Times New Roman" w:cs="Times New Roman"/>
          <w:color w:val="000000" w:themeColor="text1"/>
          <w:sz w:val="20"/>
        </w:rPr>
        <w:t>Budarina</w:t>
      </w:r>
      <w:proofErr w:type="spellEnd"/>
      <w:r w:rsidRPr="00995691">
        <w:rPr>
          <w:rFonts w:ascii="Times New Roman" w:hAnsi="Times New Roman" w:cs="Times New Roman"/>
          <w:color w:val="000000" w:themeColor="text1"/>
          <w:sz w:val="20"/>
        </w:rPr>
        <w:t xml:space="preserve">, Z.I., Zakharova, M. V., </w:t>
      </w:r>
      <w:proofErr w:type="spellStart"/>
      <w:r w:rsidRPr="00995691">
        <w:rPr>
          <w:rFonts w:ascii="Times New Roman" w:hAnsi="Times New Roman" w:cs="Times New Roman"/>
          <w:color w:val="000000" w:themeColor="text1"/>
          <w:sz w:val="20"/>
        </w:rPr>
        <w:t>Yurkova</w:t>
      </w:r>
      <w:proofErr w:type="spellEnd"/>
      <w:r w:rsidRPr="00995691">
        <w:rPr>
          <w:rFonts w:ascii="Times New Roman" w:hAnsi="Times New Roman" w:cs="Times New Roman"/>
          <w:color w:val="000000" w:themeColor="text1"/>
          <w:sz w:val="20"/>
        </w:rPr>
        <w:t xml:space="preserve">, T.V., </w:t>
      </w:r>
      <w:proofErr w:type="spellStart"/>
      <w:r w:rsidRPr="00995691">
        <w:rPr>
          <w:rFonts w:ascii="Times New Roman" w:hAnsi="Times New Roman" w:cs="Times New Roman"/>
          <w:color w:val="000000" w:themeColor="text1"/>
          <w:sz w:val="20"/>
        </w:rPr>
        <w:t>Solonin</w:t>
      </w:r>
      <w:proofErr w:type="spellEnd"/>
      <w:r w:rsidRPr="00995691">
        <w:rPr>
          <w:rFonts w:ascii="Times New Roman" w:hAnsi="Times New Roman" w:cs="Times New Roman"/>
          <w:color w:val="000000" w:themeColor="text1"/>
          <w:sz w:val="20"/>
        </w:rPr>
        <w:t xml:space="preserve">, A.S., Belova, O. V., </w:t>
      </w:r>
      <w:proofErr w:type="spellStart"/>
      <w:r w:rsidRPr="00995691">
        <w:rPr>
          <w:rFonts w:ascii="Times New Roman" w:hAnsi="Times New Roman" w:cs="Times New Roman"/>
          <w:color w:val="000000" w:themeColor="text1"/>
          <w:sz w:val="20"/>
        </w:rPr>
        <w:t>Pozhidaeva</w:t>
      </w:r>
      <w:proofErr w:type="spellEnd"/>
      <w:r w:rsidRPr="00995691">
        <w:rPr>
          <w:rFonts w:ascii="Times New Roman" w:hAnsi="Times New Roman" w:cs="Times New Roman"/>
          <w:color w:val="000000" w:themeColor="text1"/>
          <w:sz w:val="20"/>
        </w:rPr>
        <w:t xml:space="preserve">, Z.A., </w:t>
      </w:r>
      <w:proofErr w:type="spellStart"/>
      <w:r w:rsidRPr="00995691">
        <w:rPr>
          <w:rFonts w:ascii="Times New Roman" w:hAnsi="Times New Roman" w:cs="Times New Roman"/>
          <w:color w:val="000000" w:themeColor="text1"/>
          <w:sz w:val="20"/>
        </w:rPr>
        <w:t>Leont’evsky</w:t>
      </w:r>
      <w:proofErr w:type="spellEnd"/>
      <w:r w:rsidRPr="00995691">
        <w:rPr>
          <w:rFonts w:ascii="Times New Roman" w:hAnsi="Times New Roman" w:cs="Times New Roman"/>
          <w:color w:val="000000" w:themeColor="text1"/>
          <w:sz w:val="20"/>
        </w:rPr>
        <w:t xml:space="preserve">, A.A., 2006. Laccase of the </w:t>
      </w:r>
      <w:proofErr w:type="spellStart"/>
      <w:r w:rsidRPr="00995691">
        <w:rPr>
          <w:rFonts w:ascii="Times New Roman" w:hAnsi="Times New Roman" w:cs="Times New Roman"/>
          <w:color w:val="000000" w:themeColor="text1"/>
          <w:sz w:val="20"/>
        </w:rPr>
        <w:t>lignolytic</w:t>
      </w:r>
      <w:proofErr w:type="spellEnd"/>
      <w:r w:rsidRPr="00995691">
        <w:rPr>
          <w:rFonts w:ascii="Times New Roman" w:hAnsi="Times New Roman" w:cs="Times New Roman"/>
          <w:color w:val="000000" w:themeColor="text1"/>
          <w:sz w:val="20"/>
        </w:rPr>
        <w:t xml:space="preserve"> fungus </w:t>
      </w:r>
      <w:proofErr w:type="spellStart"/>
      <w:r w:rsidRPr="00995691">
        <w:rPr>
          <w:rFonts w:ascii="Times New Roman" w:hAnsi="Times New Roman" w:cs="Times New Roman"/>
          <w:color w:val="000000" w:themeColor="text1"/>
          <w:sz w:val="20"/>
        </w:rPr>
        <w:t>Trametes</w:t>
      </w:r>
      <w:proofErr w:type="spellEnd"/>
      <w:r w:rsidRPr="00995691">
        <w:rPr>
          <w:rFonts w:ascii="Times New Roman" w:hAnsi="Times New Roman" w:cs="Times New Roman"/>
          <w:color w:val="000000" w:themeColor="text1"/>
          <w:sz w:val="20"/>
        </w:rPr>
        <w:t xml:space="preserve"> </w:t>
      </w:r>
      <w:proofErr w:type="spellStart"/>
      <w:r w:rsidRPr="00995691">
        <w:rPr>
          <w:rFonts w:ascii="Times New Roman" w:hAnsi="Times New Roman" w:cs="Times New Roman"/>
          <w:color w:val="000000" w:themeColor="text1"/>
          <w:sz w:val="20"/>
        </w:rPr>
        <w:t>hirsuta</w:t>
      </w:r>
      <w:proofErr w:type="spellEnd"/>
      <w:r w:rsidRPr="00995691">
        <w:rPr>
          <w:rFonts w:ascii="Times New Roman" w:hAnsi="Times New Roman" w:cs="Times New Roman"/>
          <w:color w:val="000000" w:themeColor="text1"/>
          <w:sz w:val="20"/>
        </w:rPr>
        <w:t xml:space="preserve">: purification and characterization of the enzyme, and cloning and primary structure of the gene. Appl. </w:t>
      </w:r>
      <w:proofErr w:type="spellStart"/>
      <w:r w:rsidRPr="00995691">
        <w:rPr>
          <w:rFonts w:ascii="Times New Roman" w:hAnsi="Times New Roman" w:cs="Times New Roman"/>
          <w:color w:val="000000" w:themeColor="text1"/>
          <w:sz w:val="20"/>
        </w:rPr>
        <w:t>Biochem</w:t>
      </w:r>
      <w:proofErr w:type="spellEnd"/>
      <w:r w:rsidRPr="00995691">
        <w:rPr>
          <w:rFonts w:ascii="Times New Roman" w:hAnsi="Times New Roman" w:cs="Times New Roman"/>
          <w:color w:val="000000" w:themeColor="text1"/>
          <w:sz w:val="20"/>
        </w:rPr>
        <w:t xml:space="preserve">. </w:t>
      </w:r>
      <w:proofErr w:type="spellStart"/>
      <w:r w:rsidRPr="00995691">
        <w:rPr>
          <w:rFonts w:ascii="Times New Roman" w:hAnsi="Times New Roman" w:cs="Times New Roman"/>
          <w:color w:val="000000" w:themeColor="text1"/>
          <w:sz w:val="20"/>
        </w:rPr>
        <w:t>Microbiol</w:t>
      </w:r>
      <w:proofErr w:type="spellEnd"/>
      <w:r w:rsidRPr="00995691">
        <w:rPr>
          <w:rFonts w:ascii="Times New Roman" w:hAnsi="Times New Roman" w:cs="Times New Roman"/>
          <w:color w:val="000000" w:themeColor="text1"/>
          <w:sz w:val="20"/>
        </w:rPr>
        <w:t xml:space="preserve">. 42, 564–572. </w:t>
      </w:r>
      <w:hyperlink r:id="rId17" w:history="1">
        <w:r w:rsidRPr="00995691">
          <w:rPr>
            <w:rStyle w:val="Hyperlink"/>
            <w:rFonts w:ascii="Times New Roman" w:hAnsi="Times New Roman" w:cs="Times New Roman"/>
            <w:color w:val="000000" w:themeColor="text1"/>
            <w:sz w:val="20"/>
          </w:rPr>
          <w:t>https://doi.org/10.1134/S0003683806060068</w:t>
        </w:r>
      </w:hyperlink>
    </w:p>
    <w:p w14:paraId="195B1415"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Singh, R.K., Tripathi, R., Ranjan, A., Srivastava, A.K., 2019. Fungi as potential candidates for bioremediation, in: Singh, P., Kumar, A., Borthakur, A. (Eds.), Abatement of Environmental Pollutants: Trends and Strategies. Elsevier, pp. 177–191. </w:t>
      </w:r>
      <w:hyperlink r:id="rId18" w:history="1">
        <w:r w:rsidRPr="00995691">
          <w:rPr>
            <w:rStyle w:val="Hyperlink"/>
            <w:rFonts w:ascii="Times New Roman" w:hAnsi="Times New Roman" w:cs="Times New Roman"/>
            <w:color w:val="000000" w:themeColor="text1"/>
            <w:sz w:val="20"/>
          </w:rPr>
          <w:t>https://doi.org/10.1016/B978-0-12-818095-2.00009-6</w:t>
        </w:r>
      </w:hyperlink>
    </w:p>
    <w:p w14:paraId="561E3023"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Sutherland, T.D., Horne, I., Weir, K.M., Coppin, C.W., Williams, M.R., Selleck, M., Russell, R.J., Oakeshott, J.G., 2004. Enzymatic bioremediation: From enzyme discovery to applications. Clin. Exp. </w:t>
      </w:r>
      <w:proofErr w:type="spellStart"/>
      <w:r w:rsidRPr="00995691">
        <w:rPr>
          <w:rFonts w:ascii="Times New Roman" w:hAnsi="Times New Roman" w:cs="Times New Roman"/>
          <w:color w:val="000000" w:themeColor="text1"/>
          <w:sz w:val="20"/>
        </w:rPr>
        <w:t>Pharmacol</w:t>
      </w:r>
      <w:proofErr w:type="spellEnd"/>
      <w:r w:rsidRPr="00995691">
        <w:rPr>
          <w:rFonts w:ascii="Times New Roman" w:hAnsi="Times New Roman" w:cs="Times New Roman"/>
          <w:color w:val="000000" w:themeColor="text1"/>
          <w:sz w:val="20"/>
        </w:rPr>
        <w:t xml:space="preserve">. Physiol. 31, 817–821. </w:t>
      </w:r>
      <w:hyperlink r:id="rId19" w:history="1">
        <w:r w:rsidRPr="00995691">
          <w:rPr>
            <w:rStyle w:val="Hyperlink"/>
            <w:rFonts w:ascii="Times New Roman" w:hAnsi="Times New Roman" w:cs="Times New Roman"/>
            <w:color w:val="000000" w:themeColor="text1"/>
            <w:sz w:val="20"/>
          </w:rPr>
          <w:t>https://doi.org/10.1111/j.1440-1681.2004.04088.x</w:t>
        </w:r>
      </w:hyperlink>
    </w:p>
    <w:p w14:paraId="5F2985A1"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Vénica</w:t>
      </w:r>
      <w:proofErr w:type="spellEnd"/>
      <w:r w:rsidRPr="00995691">
        <w:rPr>
          <w:rFonts w:ascii="Times New Roman" w:hAnsi="Times New Roman" w:cs="Times New Roman"/>
          <w:color w:val="000000" w:themeColor="text1"/>
          <w:sz w:val="20"/>
        </w:rPr>
        <w:t xml:space="preserve">, C.I., Wolf, V.I., Bergamini, C. V., Perotti, M.C., 2020. Effect of the incorporation of galactosidase in the GOS production during manufacture of soft cheese. Food Res. Int. 137, 109654. </w:t>
      </w:r>
      <w:hyperlink r:id="rId20" w:history="1">
        <w:r w:rsidRPr="00995691">
          <w:rPr>
            <w:rStyle w:val="Hyperlink"/>
            <w:rFonts w:ascii="Times New Roman" w:hAnsi="Times New Roman" w:cs="Times New Roman"/>
            <w:color w:val="000000" w:themeColor="text1"/>
            <w:sz w:val="20"/>
          </w:rPr>
          <w:t>https://doi.org/10.1016/j.foodres.2020.109654</w:t>
        </w:r>
      </w:hyperlink>
    </w:p>
    <w:p w14:paraId="56F8664D"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Vidali</w:t>
      </w:r>
      <w:proofErr w:type="spellEnd"/>
      <w:r w:rsidRPr="00995691">
        <w:rPr>
          <w:rFonts w:ascii="Times New Roman" w:hAnsi="Times New Roman" w:cs="Times New Roman"/>
          <w:color w:val="000000" w:themeColor="text1"/>
          <w:sz w:val="20"/>
        </w:rPr>
        <w:t>, M., 2001. Bioremediation. An overview. Pure Appl. Chem. 73, 1163–1172. https://doi.org/10.1351/PAC200173071163</w:t>
      </w:r>
    </w:p>
    <w:p w14:paraId="3AD813A0" w14:textId="575175E2" w:rsidR="00634EC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Walde, P., Kashima, K., </w:t>
      </w:r>
      <w:proofErr w:type="spellStart"/>
      <w:r w:rsidRPr="00995691">
        <w:rPr>
          <w:rFonts w:ascii="Times New Roman" w:hAnsi="Times New Roman" w:cs="Times New Roman"/>
          <w:color w:val="000000" w:themeColor="text1"/>
          <w:sz w:val="20"/>
        </w:rPr>
        <w:t>Ćirić</w:t>
      </w:r>
      <w:proofErr w:type="spellEnd"/>
      <w:r w:rsidRPr="00995691">
        <w:rPr>
          <w:rFonts w:ascii="Times New Roman" w:hAnsi="Times New Roman" w:cs="Times New Roman"/>
          <w:color w:val="000000" w:themeColor="text1"/>
          <w:sz w:val="20"/>
        </w:rPr>
        <w:t xml:space="preserve">-Marjanović, G., 2019. Synthesizing polyaniline with laccase/O2 as catalyst. Front. </w:t>
      </w:r>
      <w:proofErr w:type="spellStart"/>
      <w:r w:rsidRPr="00995691">
        <w:rPr>
          <w:rFonts w:ascii="Times New Roman" w:hAnsi="Times New Roman" w:cs="Times New Roman"/>
          <w:color w:val="000000" w:themeColor="text1"/>
          <w:sz w:val="20"/>
        </w:rPr>
        <w:t>Bioeng</w:t>
      </w:r>
      <w:proofErr w:type="spellEnd"/>
      <w:r w:rsidRPr="00995691">
        <w:rPr>
          <w:rFonts w:ascii="Times New Roman" w:hAnsi="Times New Roman" w:cs="Times New Roman"/>
          <w:color w:val="000000" w:themeColor="text1"/>
          <w:sz w:val="20"/>
        </w:rPr>
        <w:t xml:space="preserve">. </w:t>
      </w:r>
      <w:proofErr w:type="spellStart"/>
      <w:r w:rsidRPr="00995691">
        <w:rPr>
          <w:rFonts w:ascii="Times New Roman" w:hAnsi="Times New Roman" w:cs="Times New Roman"/>
          <w:color w:val="000000" w:themeColor="text1"/>
          <w:sz w:val="20"/>
        </w:rPr>
        <w:t>Biotechnol</w:t>
      </w:r>
      <w:proofErr w:type="spellEnd"/>
      <w:r w:rsidRPr="00995691">
        <w:rPr>
          <w:rFonts w:ascii="Times New Roman" w:hAnsi="Times New Roman" w:cs="Times New Roman"/>
          <w:color w:val="000000" w:themeColor="text1"/>
          <w:sz w:val="20"/>
        </w:rPr>
        <w:t xml:space="preserve">. 7, 1–10. </w:t>
      </w:r>
      <w:hyperlink r:id="rId21" w:history="1">
        <w:r w:rsidRPr="00995691">
          <w:rPr>
            <w:rStyle w:val="Hyperlink"/>
            <w:rFonts w:ascii="Times New Roman" w:hAnsi="Times New Roman" w:cs="Times New Roman"/>
            <w:color w:val="000000" w:themeColor="text1"/>
            <w:sz w:val="20"/>
          </w:rPr>
          <w:t>https://doi.org/10.3389/fbioe.2019.00165</w:t>
        </w:r>
      </w:hyperlink>
    </w:p>
    <w:sectPr w:rsidR="00634EC0" w:rsidRPr="00995691" w:rsidSect="00DF0003">
      <w:pgSz w:w="11906" w:h="16838" w:code="9"/>
      <w:pgMar w:top="1858" w:right="1066" w:bottom="302" w:left="10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71FDB"/>
    <w:multiLevelType w:val="multilevel"/>
    <w:tmpl w:val="81AE8B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5A77CEA"/>
    <w:multiLevelType w:val="hybridMultilevel"/>
    <w:tmpl w:val="ED08CC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0000099">
    <w:abstractNumId w:val="1"/>
  </w:num>
  <w:num w:numId="2" w16cid:durableId="185653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89"/>
    <w:rsid w:val="00012222"/>
    <w:rsid w:val="00015733"/>
    <w:rsid w:val="0002383A"/>
    <w:rsid w:val="00027994"/>
    <w:rsid w:val="0009337B"/>
    <w:rsid w:val="000958A5"/>
    <w:rsid w:val="000A07F2"/>
    <w:rsid w:val="000D1344"/>
    <w:rsid w:val="000E7671"/>
    <w:rsid w:val="00101B50"/>
    <w:rsid w:val="001309AC"/>
    <w:rsid w:val="0014123A"/>
    <w:rsid w:val="00151DFF"/>
    <w:rsid w:val="0015497F"/>
    <w:rsid w:val="00170909"/>
    <w:rsid w:val="0018638C"/>
    <w:rsid w:val="001C452E"/>
    <w:rsid w:val="001D29E9"/>
    <w:rsid w:val="001D458D"/>
    <w:rsid w:val="001E5A2E"/>
    <w:rsid w:val="001F1956"/>
    <w:rsid w:val="001F53BD"/>
    <w:rsid w:val="00201CEE"/>
    <w:rsid w:val="002128F4"/>
    <w:rsid w:val="00217F69"/>
    <w:rsid w:val="0022126C"/>
    <w:rsid w:val="00222018"/>
    <w:rsid w:val="00224C89"/>
    <w:rsid w:val="00237DB8"/>
    <w:rsid w:val="00256D17"/>
    <w:rsid w:val="002632E3"/>
    <w:rsid w:val="0026612B"/>
    <w:rsid w:val="002747CA"/>
    <w:rsid w:val="00275D44"/>
    <w:rsid w:val="0028298F"/>
    <w:rsid w:val="00285256"/>
    <w:rsid w:val="00295847"/>
    <w:rsid w:val="002B6D10"/>
    <w:rsid w:val="002D5B43"/>
    <w:rsid w:val="002D78DF"/>
    <w:rsid w:val="002E5953"/>
    <w:rsid w:val="002F59A5"/>
    <w:rsid w:val="003140D3"/>
    <w:rsid w:val="00326A8E"/>
    <w:rsid w:val="003321B8"/>
    <w:rsid w:val="00333F91"/>
    <w:rsid w:val="00336361"/>
    <w:rsid w:val="003722C4"/>
    <w:rsid w:val="003849C4"/>
    <w:rsid w:val="003A0D12"/>
    <w:rsid w:val="003A68F7"/>
    <w:rsid w:val="003E79A9"/>
    <w:rsid w:val="004015CC"/>
    <w:rsid w:val="004023F5"/>
    <w:rsid w:val="00415C0A"/>
    <w:rsid w:val="00424C3E"/>
    <w:rsid w:val="004278EB"/>
    <w:rsid w:val="0043189E"/>
    <w:rsid w:val="00462A5F"/>
    <w:rsid w:val="0046706E"/>
    <w:rsid w:val="00476503"/>
    <w:rsid w:val="0048381F"/>
    <w:rsid w:val="00496FA6"/>
    <w:rsid w:val="004B152E"/>
    <w:rsid w:val="004B3703"/>
    <w:rsid w:val="004B5CDE"/>
    <w:rsid w:val="004C1F99"/>
    <w:rsid w:val="004D5CD2"/>
    <w:rsid w:val="004D5F9A"/>
    <w:rsid w:val="004E02CB"/>
    <w:rsid w:val="004E5584"/>
    <w:rsid w:val="004F639D"/>
    <w:rsid w:val="0051137F"/>
    <w:rsid w:val="005376F5"/>
    <w:rsid w:val="005403E5"/>
    <w:rsid w:val="00543CBF"/>
    <w:rsid w:val="00554345"/>
    <w:rsid w:val="00557FB6"/>
    <w:rsid w:val="00584839"/>
    <w:rsid w:val="00593656"/>
    <w:rsid w:val="005A5ADA"/>
    <w:rsid w:val="005A7E53"/>
    <w:rsid w:val="005B61AE"/>
    <w:rsid w:val="005B7737"/>
    <w:rsid w:val="005C0214"/>
    <w:rsid w:val="005C0624"/>
    <w:rsid w:val="005D6C62"/>
    <w:rsid w:val="005E173C"/>
    <w:rsid w:val="005E3138"/>
    <w:rsid w:val="005E4FDF"/>
    <w:rsid w:val="005F24C0"/>
    <w:rsid w:val="005F687A"/>
    <w:rsid w:val="00600D16"/>
    <w:rsid w:val="0062328B"/>
    <w:rsid w:val="006316EB"/>
    <w:rsid w:val="00633E33"/>
    <w:rsid w:val="00634EC0"/>
    <w:rsid w:val="006444E6"/>
    <w:rsid w:val="006558D9"/>
    <w:rsid w:val="006636EE"/>
    <w:rsid w:val="00671523"/>
    <w:rsid w:val="006726E4"/>
    <w:rsid w:val="0068069D"/>
    <w:rsid w:val="00683242"/>
    <w:rsid w:val="006A393D"/>
    <w:rsid w:val="006A6CB7"/>
    <w:rsid w:val="006B0450"/>
    <w:rsid w:val="006B0692"/>
    <w:rsid w:val="006C36AB"/>
    <w:rsid w:val="006E6735"/>
    <w:rsid w:val="006E67C9"/>
    <w:rsid w:val="006E7D12"/>
    <w:rsid w:val="006F63B8"/>
    <w:rsid w:val="00711D51"/>
    <w:rsid w:val="00735D4A"/>
    <w:rsid w:val="007451EE"/>
    <w:rsid w:val="0075065B"/>
    <w:rsid w:val="007619F2"/>
    <w:rsid w:val="00775204"/>
    <w:rsid w:val="00780314"/>
    <w:rsid w:val="00781114"/>
    <w:rsid w:val="00785668"/>
    <w:rsid w:val="00790023"/>
    <w:rsid w:val="00792A63"/>
    <w:rsid w:val="007B4CB7"/>
    <w:rsid w:val="007D545D"/>
    <w:rsid w:val="0080342E"/>
    <w:rsid w:val="00812FD4"/>
    <w:rsid w:val="008351C9"/>
    <w:rsid w:val="008401BC"/>
    <w:rsid w:val="00853F66"/>
    <w:rsid w:val="00856515"/>
    <w:rsid w:val="00864591"/>
    <w:rsid w:val="00865F4C"/>
    <w:rsid w:val="00891353"/>
    <w:rsid w:val="008A69E4"/>
    <w:rsid w:val="008B48DD"/>
    <w:rsid w:val="008B4944"/>
    <w:rsid w:val="008D2039"/>
    <w:rsid w:val="008E1E4E"/>
    <w:rsid w:val="008F1EB9"/>
    <w:rsid w:val="00906C72"/>
    <w:rsid w:val="00912F60"/>
    <w:rsid w:val="00914204"/>
    <w:rsid w:val="0092043D"/>
    <w:rsid w:val="00924EB8"/>
    <w:rsid w:val="00930CCF"/>
    <w:rsid w:val="00931BC6"/>
    <w:rsid w:val="009403EB"/>
    <w:rsid w:val="00944538"/>
    <w:rsid w:val="00950A20"/>
    <w:rsid w:val="0095242F"/>
    <w:rsid w:val="00954422"/>
    <w:rsid w:val="00960B31"/>
    <w:rsid w:val="009633E0"/>
    <w:rsid w:val="009829BF"/>
    <w:rsid w:val="009914F7"/>
    <w:rsid w:val="0099335E"/>
    <w:rsid w:val="00994BD4"/>
    <w:rsid w:val="00995691"/>
    <w:rsid w:val="00996BED"/>
    <w:rsid w:val="009A261B"/>
    <w:rsid w:val="009B5C2C"/>
    <w:rsid w:val="009D2091"/>
    <w:rsid w:val="009D482C"/>
    <w:rsid w:val="00A03EA3"/>
    <w:rsid w:val="00A04E6C"/>
    <w:rsid w:val="00A0689C"/>
    <w:rsid w:val="00A10393"/>
    <w:rsid w:val="00A12D13"/>
    <w:rsid w:val="00A3056B"/>
    <w:rsid w:val="00A552F2"/>
    <w:rsid w:val="00A6324B"/>
    <w:rsid w:val="00A64E59"/>
    <w:rsid w:val="00A64FC4"/>
    <w:rsid w:val="00A66B32"/>
    <w:rsid w:val="00A73D45"/>
    <w:rsid w:val="00A87201"/>
    <w:rsid w:val="00A9361A"/>
    <w:rsid w:val="00AA0E2C"/>
    <w:rsid w:val="00AA7D94"/>
    <w:rsid w:val="00AE4E0B"/>
    <w:rsid w:val="00AE7C6B"/>
    <w:rsid w:val="00AF3DAA"/>
    <w:rsid w:val="00B1174D"/>
    <w:rsid w:val="00B31F87"/>
    <w:rsid w:val="00B35D98"/>
    <w:rsid w:val="00B426AC"/>
    <w:rsid w:val="00B449E1"/>
    <w:rsid w:val="00B44A7F"/>
    <w:rsid w:val="00B50291"/>
    <w:rsid w:val="00B55101"/>
    <w:rsid w:val="00B57ADC"/>
    <w:rsid w:val="00B63007"/>
    <w:rsid w:val="00B966C9"/>
    <w:rsid w:val="00BA69DB"/>
    <w:rsid w:val="00BB5F6F"/>
    <w:rsid w:val="00BC0E0E"/>
    <w:rsid w:val="00BC37AA"/>
    <w:rsid w:val="00BD16C1"/>
    <w:rsid w:val="00BD1F4C"/>
    <w:rsid w:val="00BD36EF"/>
    <w:rsid w:val="00BE4089"/>
    <w:rsid w:val="00BF54AA"/>
    <w:rsid w:val="00C0407D"/>
    <w:rsid w:val="00C13BBE"/>
    <w:rsid w:val="00C14029"/>
    <w:rsid w:val="00C300E3"/>
    <w:rsid w:val="00C80EFF"/>
    <w:rsid w:val="00C84421"/>
    <w:rsid w:val="00C94E1A"/>
    <w:rsid w:val="00CA4B1E"/>
    <w:rsid w:val="00CB5006"/>
    <w:rsid w:val="00CC5A10"/>
    <w:rsid w:val="00CC683F"/>
    <w:rsid w:val="00CD0B30"/>
    <w:rsid w:val="00CE0E9D"/>
    <w:rsid w:val="00CE2CEF"/>
    <w:rsid w:val="00CE5DBF"/>
    <w:rsid w:val="00CE746C"/>
    <w:rsid w:val="00CF5107"/>
    <w:rsid w:val="00CF5810"/>
    <w:rsid w:val="00D35E29"/>
    <w:rsid w:val="00D53BBD"/>
    <w:rsid w:val="00D67E9F"/>
    <w:rsid w:val="00D72D2F"/>
    <w:rsid w:val="00D765B9"/>
    <w:rsid w:val="00D86D2B"/>
    <w:rsid w:val="00DB1774"/>
    <w:rsid w:val="00DC2663"/>
    <w:rsid w:val="00DC74EB"/>
    <w:rsid w:val="00DD04CF"/>
    <w:rsid w:val="00DD2B14"/>
    <w:rsid w:val="00DD4A08"/>
    <w:rsid w:val="00DF0003"/>
    <w:rsid w:val="00DF7274"/>
    <w:rsid w:val="00E30D42"/>
    <w:rsid w:val="00E32AA2"/>
    <w:rsid w:val="00E37052"/>
    <w:rsid w:val="00E4332C"/>
    <w:rsid w:val="00E558B5"/>
    <w:rsid w:val="00E6029A"/>
    <w:rsid w:val="00E622AD"/>
    <w:rsid w:val="00E82005"/>
    <w:rsid w:val="00E90906"/>
    <w:rsid w:val="00EA708B"/>
    <w:rsid w:val="00EB1360"/>
    <w:rsid w:val="00EC4F19"/>
    <w:rsid w:val="00EE40A7"/>
    <w:rsid w:val="00EF63BD"/>
    <w:rsid w:val="00EF7B9A"/>
    <w:rsid w:val="00F153D9"/>
    <w:rsid w:val="00F23F22"/>
    <w:rsid w:val="00F26CF9"/>
    <w:rsid w:val="00F323FB"/>
    <w:rsid w:val="00F32812"/>
    <w:rsid w:val="00F36C52"/>
    <w:rsid w:val="00F52F07"/>
    <w:rsid w:val="00F638B2"/>
    <w:rsid w:val="00F71AEF"/>
    <w:rsid w:val="00F84E2D"/>
    <w:rsid w:val="00F86EC1"/>
    <w:rsid w:val="00F9573D"/>
    <w:rsid w:val="00FA09C4"/>
    <w:rsid w:val="00FA340E"/>
    <w:rsid w:val="00FA497F"/>
    <w:rsid w:val="00FB49E8"/>
    <w:rsid w:val="00FC58FC"/>
    <w:rsid w:val="00FE5336"/>
    <w:rsid w:val="00FF29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0A90"/>
  <w15:chartTrackingRefBased/>
  <w15:docId w15:val="{4EB4D1A7-8217-4D76-B0C0-E8C5296F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7DB8"/>
    <w:rPr>
      <w:i/>
      <w:iCs/>
    </w:rPr>
  </w:style>
  <w:style w:type="character" w:styleId="Hyperlink">
    <w:name w:val="Hyperlink"/>
    <w:basedOn w:val="DefaultParagraphFont"/>
    <w:uiPriority w:val="99"/>
    <w:unhideWhenUsed/>
    <w:rsid w:val="001309AC"/>
    <w:rPr>
      <w:color w:val="0000FF"/>
      <w:u w:val="single"/>
    </w:rPr>
  </w:style>
  <w:style w:type="character" w:customStyle="1" w:styleId="ref-title">
    <w:name w:val="ref-title"/>
    <w:basedOn w:val="DefaultParagraphFont"/>
    <w:rsid w:val="005E3138"/>
  </w:style>
  <w:style w:type="character" w:customStyle="1" w:styleId="ref-journal">
    <w:name w:val="ref-journal"/>
    <w:basedOn w:val="DefaultParagraphFont"/>
    <w:rsid w:val="005E3138"/>
  </w:style>
  <w:style w:type="character" w:customStyle="1" w:styleId="ref-vol">
    <w:name w:val="ref-vol"/>
    <w:basedOn w:val="DefaultParagraphFont"/>
    <w:rsid w:val="005E3138"/>
  </w:style>
  <w:style w:type="character" w:customStyle="1" w:styleId="ref-iss">
    <w:name w:val="ref-iss"/>
    <w:basedOn w:val="DefaultParagraphFont"/>
    <w:rsid w:val="005E3138"/>
  </w:style>
  <w:style w:type="character" w:customStyle="1" w:styleId="nowrap">
    <w:name w:val="nowrap"/>
    <w:basedOn w:val="DefaultParagraphFont"/>
    <w:rsid w:val="005E3138"/>
  </w:style>
  <w:style w:type="character" w:customStyle="1" w:styleId="mixed-citation">
    <w:name w:val="mixed-citation"/>
    <w:basedOn w:val="DefaultParagraphFont"/>
    <w:rsid w:val="00D86D2B"/>
  </w:style>
  <w:style w:type="character" w:customStyle="1" w:styleId="ls1">
    <w:name w:val="ls1"/>
    <w:basedOn w:val="DefaultParagraphFont"/>
    <w:rsid w:val="00C0407D"/>
  </w:style>
  <w:style w:type="character" w:customStyle="1" w:styleId="a">
    <w:name w:val="_"/>
    <w:basedOn w:val="DefaultParagraphFont"/>
    <w:rsid w:val="00C0407D"/>
  </w:style>
  <w:style w:type="character" w:customStyle="1" w:styleId="ff3">
    <w:name w:val="ff3"/>
    <w:basedOn w:val="DefaultParagraphFont"/>
    <w:rsid w:val="00C0407D"/>
  </w:style>
  <w:style w:type="character" w:customStyle="1" w:styleId="ls4">
    <w:name w:val="ls4"/>
    <w:basedOn w:val="DefaultParagraphFont"/>
    <w:rsid w:val="00C0407D"/>
  </w:style>
  <w:style w:type="character" w:customStyle="1" w:styleId="ls8">
    <w:name w:val="ls8"/>
    <w:basedOn w:val="DefaultParagraphFont"/>
    <w:rsid w:val="00B35D98"/>
  </w:style>
  <w:style w:type="character" w:customStyle="1" w:styleId="lsb">
    <w:name w:val="lsb"/>
    <w:basedOn w:val="DefaultParagraphFont"/>
    <w:rsid w:val="00B35D98"/>
  </w:style>
  <w:style w:type="character" w:customStyle="1" w:styleId="ff2">
    <w:name w:val="ff2"/>
    <w:basedOn w:val="DefaultParagraphFont"/>
    <w:rsid w:val="00B35D98"/>
  </w:style>
  <w:style w:type="paragraph" w:styleId="NormalWeb">
    <w:name w:val="Normal (Web)"/>
    <w:basedOn w:val="Normal"/>
    <w:uiPriority w:val="99"/>
    <w:semiHidden/>
    <w:unhideWhenUsed/>
    <w:rsid w:val="0059365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950A20"/>
    <w:rPr>
      <w:color w:val="605E5C"/>
      <w:shd w:val="clear" w:color="auto" w:fill="E1DFDD"/>
    </w:rPr>
  </w:style>
  <w:style w:type="paragraph" w:styleId="ListParagraph">
    <w:name w:val="List Paragraph"/>
    <w:basedOn w:val="Normal"/>
    <w:uiPriority w:val="34"/>
    <w:qFormat/>
    <w:rsid w:val="00222018"/>
    <w:pPr>
      <w:ind w:left="720"/>
      <w:contextualSpacing/>
    </w:pPr>
  </w:style>
  <w:style w:type="table" w:styleId="TableGrid">
    <w:name w:val="Table Grid"/>
    <w:basedOn w:val="TableNormal"/>
    <w:uiPriority w:val="39"/>
    <w:rsid w:val="00FE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95242F"/>
  </w:style>
  <w:style w:type="character" w:styleId="Strong">
    <w:name w:val="Strong"/>
    <w:basedOn w:val="DefaultParagraphFont"/>
    <w:uiPriority w:val="22"/>
    <w:qFormat/>
    <w:rsid w:val="00DC2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866093">
      <w:bodyDiv w:val="1"/>
      <w:marLeft w:val="0"/>
      <w:marRight w:val="0"/>
      <w:marTop w:val="0"/>
      <w:marBottom w:val="0"/>
      <w:divBdr>
        <w:top w:val="none" w:sz="0" w:space="0" w:color="auto"/>
        <w:left w:val="none" w:sz="0" w:space="0" w:color="auto"/>
        <w:bottom w:val="none" w:sz="0" w:space="0" w:color="auto"/>
        <w:right w:val="none" w:sz="0" w:space="0" w:color="auto"/>
      </w:divBdr>
    </w:div>
    <w:div w:id="557010978">
      <w:bodyDiv w:val="1"/>
      <w:marLeft w:val="0"/>
      <w:marRight w:val="0"/>
      <w:marTop w:val="0"/>
      <w:marBottom w:val="0"/>
      <w:divBdr>
        <w:top w:val="none" w:sz="0" w:space="0" w:color="auto"/>
        <w:left w:val="none" w:sz="0" w:space="0" w:color="auto"/>
        <w:bottom w:val="none" w:sz="0" w:space="0" w:color="auto"/>
        <w:right w:val="none" w:sz="0" w:space="0" w:color="auto"/>
      </w:divBdr>
    </w:div>
    <w:div w:id="835075687">
      <w:bodyDiv w:val="1"/>
      <w:marLeft w:val="0"/>
      <w:marRight w:val="0"/>
      <w:marTop w:val="0"/>
      <w:marBottom w:val="0"/>
      <w:divBdr>
        <w:top w:val="none" w:sz="0" w:space="0" w:color="auto"/>
        <w:left w:val="none" w:sz="0" w:space="0" w:color="auto"/>
        <w:bottom w:val="none" w:sz="0" w:space="0" w:color="auto"/>
        <w:right w:val="none" w:sz="0" w:space="0" w:color="auto"/>
      </w:divBdr>
    </w:div>
    <w:div w:id="899750978">
      <w:bodyDiv w:val="1"/>
      <w:marLeft w:val="0"/>
      <w:marRight w:val="0"/>
      <w:marTop w:val="0"/>
      <w:marBottom w:val="0"/>
      <w:divBdr>
        <w:top w:val="none" w:sz="0" w:space="0" w:color="auto"/>
        <w:left w:val="none" w:sz="0" w:space="0" w:color="auto"/>
        <w:bottom w:val="none" w:sz="0" w:space="0" w:color="auto"/>
        <w:right w:val="none" w:sz="0" w:space="0" w:color="auto"/>
      </w:divBdr>
      <w:divsChild>
        <w:div w:id="1050302879">
          <w:marLeft w:val="0"/>
          <w:marRight w:val="0"/>
          <w:marTop w:val="200"/>
          <w:marBottom w:val="200"/>
          <w:divBdr>
            <w:top w:val="none" w:sz="0" w:space="0" w:color="auto"/>
            <w:left w:val="none" w:sz="0" w:space="0" w:color="auto"/>
            <w:bottom w:val="none" w:sz="0" w:space="0" w:color="auto"/>
            <w:right w:val="none" w:sz="0" w:space="0" w:color="auto"/>
          </w:divBdr>
        </w:div>
        <w:div w:id="1497258715">
          <w:marLeft w:val="0"/>
          <w:marRight w:val="0"/>
          <w:marTop w:val="200"/>
          <w:marBottom w:val="200"/>
          <w:divBdr>
            <w:top w:val="none" w:sz="0" w:space="0" w:color="auto"/>
            <w:left w:val="none" w:sz="0" w:space="0" w:color="auto"/>
            <w:bottom w:val="none" w:sz="0" w:space="0" w:color="auto"/>
            <w:right w:val="none" w:sz="0" w:space="0" w:color="auto"/>
          </w:divBdr>
        </w:div>
      </w:divsChild>
    </w:div>
    <w:div w:id="952859961">
      <w:bodyDiv w:val="1"/>
      <w:marLeft w:val="0"/>
      <w:marRight w:val="0"/>
      <w:marTop w:val="0"/>
      <w:marBottom w:val="0"/>
      <w:divBdr>
        <w:top w:val="none" w:sz="0" w:space="0" w:color="auto"/>
        <w:left w:val="none" w:sz="0" w:space="0" w:color="auto"/>
        <w:bottom w:val="none" w:sz="0" w:space="0" w:color="auto"/>
        <w:right w:val="none" w:sz="0" w:space="0" w:color="auto"/>
      </w:divBdr>
    </w:div>
    <w:div w:id="1382747351">
      <w:bodyDiv w:val="1"/>
      <w:marLeft w:val="0"/>
      <w:marRight w:val="0"/>
      <w:marTop w:val="0"/>
      <w:marBottom w:val="0"/>
      <w:divBdr>
        <w:top w:val="none" w:sz="0" w:space="0" w:color="auto"/>
        <w:left w:val="none" w:sz="0" w:space="0" w:color="auto"/>
        <w:bottom w:val="none" w:sz="0" w:space="0" w:color="auto"/>
        <w:right w:val="none" w:sz="0" w:space="0" w:color="auto"/>
      </w:divBdr>
    </w:div>
    <w:div w:id="1491944188">
      <w:bodyDiv w:val="1"/>
      <w:marLeft w:val="0"/>
      <w:marRight w:val="0"/>
      <w:marTop w:val="0"/>
      <w:marBottom w:val="0"/>
      <w:divBdr>
        <w:top w:val="none" w:sz="0" w:space="0" w:color="auto"/>
        <w:left w:val="none" w:sz="0" w:space="0" w:color="auto"/>
        <w:bottom w:val="none" w:sz="0" w:space="0" w:color="auto"/>
        <w:right w:val="none" w:sz="0" w:space="0" w:color="auto"/>
      </w:divBdr>
    </w:div>
    <w:div w:id="1501504545">
      <w:bodyDiv w:val="1"/>
      <w:marLeft w:val="0"/>
      <w:marRight w:val="0"/>
      <w:marTop w:val="0"/>
      <w:marBottom w:val="0"/>
      <w:divBdr>
        <w:top w:val="none" w:sz="0" w:space="0" w:color="auto"/>
        <w:left w:val="none" w:sz="0" w:space="0" w:color="auto"/>
        <w:bottom w:val="none" w:sz="0" w:space="0" w:color="auto"/>
        <w:right w:val="none" w:sz="0" w:space="0" w:color="auto"/>
      </w:divBdr>
    </w:div>
    <w:div w:id="1568761264">
      <w:bodyDiv w:val="1"/>
      <w:marLeft w:val="0"/>
      <w:marRight w:val="0"/>
      <w:marTop w:val="0"/>
      <w:marBottom w:val="0"/>
      <w:divBdr>
        <w:top w:val="none" w:sz="0" w:space="0" w:color="auto"/>
        <w:left w:val="none" w:sz="0" w:space="0" w:color="auto"/>
        <w:bottom w:val="none" w:sz="0" w:space="0" w:color="auto"/>
        <w:right w:val="none" w:sz="0" w:space="0" w:color="auto"/>
      </w:divBdr>
      <w:divsChild>
        <w:div w:id="2001082544">
          <w:marLeft w:val="0"/>
          <w:marRight w:val="0"/>
          <w:marTop w:val="200"/>
          <w:marBottom w:val="200"/>
          <w:divBdr>
            <w:top w:val="none" w:sz="0" w:space="0" w:color="auto"/>
            <w:left w:val="none" w:sz="0" w:space="0" w:color="auto"/>
            <w:bottom w:val="none" w:sz="0" w:space="0" w:color="auto"/>
            <w:right w:val="none" w:sz="0" w:space="0" w:color="auto"/>
          </w:divBdr>
        </w:div>
        <w:div w:id="513956085">
          <w:marLeft w:val="0"/>
          <w:marRight w:val="0"/>
          <w:marTop w:val="200"/>
          <w:marBottom w:val="200"/>
          <w:divBdr>
            <w:top w:val="none" w:sz="0" w:space="0" w:color="auto"/>
            <w:left w:val="none" w:sz="0" w:space="0" w:color="auto"/>
            <w:bottom w:val="none" w:sz="0" w:space="0" w:color="auto"/>
            <w:right w:val="none" w:sz="0" w:space="0" w:color="auto"/>
          </w:divBdr>
        </w:div>
      </w:divsChild>
    </w:div>
    <w:div w:id="1606766375">
      <w:bodyDiv w:val="1"/>
      <w:marLeft w:val="0"/>
      <w:marRight w:val="0"/>
      <w:marTop w:val="0"/>
      <w:marBottom w:val="0"/>
      <w:divBdr>
        <w:top w:val="none" w:sz="0" w:space="0" w:color="auto"/>
        <w:left w:val="none" w:sz="0" w:space="0" w:color="auto"/>
        <w:bottom w:val="none" w:sz="0" w:space="0" w:color="auto"/>
        <w:right w:val="none" w:sz="0" w:space="0" w:color="auto"/>
      </w:divBdr>
    </w:div>
    <w:div w:id="21145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205-012-0071-7" TargetMode="External"/><Relationship Id="rId13" Type="http://schemas.openxmlformats.org/officeDocument/2006/relationships/hyperlink" Target="https://doi.org/10.1039/C9BM00716D" TargetMode="External"/><Relationship Id="rId18" Type="http://schemas.openxmlformats.org/officeDocument/2006/relationships/hyperlink" Target="https://doi.org/10.1016/B978-0-12-818095-2.00009-6" TargetMode="External"/><Relationship Id="rId3" Type="http://schemas.openxmlformats.org/officeDocument/2006/relationships/settings" Target="settings.xml"/><Relationship Id="rId21" Type="http://schemas.openxmlformats.org/officeDocument/2006/relationships/hyperlink" Target="https://doi.org/10.3389/fbioe.2019.00165" TargetMode="External"/><Relationship Id="rId7" Type="http://schemas.openxmlformats.org/officeDocument/2006/relationships/hyperlink" Target="https://doi.org/10.1016/J.ENCONMAN.2016.09.049" TargetMode="External"/><Relationship Id="rId12" Type="http://schemas.openxmlformats.org/officeDocument/2006/relationships/hyperlink" Target="https://doi.org/10.4061/2011/805187" TargetMode="External"/><Relationship Id="rId17" Type="http://schemas.openxmlformats.org/officeDocument/2006/relationships/hyperlink" Target="https://doi.org/10.1134/S0003683806060068" TargetMode="External"/><Relationship Id="rId2" Type="http://schemas.openxmlformats.org/officeDocument/2006/relationships/styles" Target="styles.xml"/><Relationship Id="rId16" Type="http://schemas.openxmlformats.org/officeDocument/2006/relationships/hyperlink" Target="https://doi.org/10.1007/s00253-009-1869-z" TargetMode="External"/><Relationship Id="rId20" Type="http://schemas.openxmlformats.org/officeDocument/2006/relationships/hyperlink" Target="https://doi.org/10.1016/j.foodres.2020.10965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007/s12154-013-0102-9" TargetMode="External"/><Relationship Id="rId5" Type="http://schemas.openxmlformats.org/officeDocument/2006/relationships/image" Target="media/image1.png"/><Relationship Id="rId15" Type="http://schemas.openxmlformats.org/officeDocument/2006/relationships/hyperlink" Target="https://scholar.google.com/scholar_lookup?title=Liquid+Mycorrhizal+Inoculant&amp;author=D.A.R.J.+Miguel&amp;author=F.M.+Feliica&amp;author=P.C.+Yuniesky&amp;publication_year=2007&amp;" TargetMode="External"/><Relationship Id="rId23" Type="http://schemas.openxmlformats.org/officeDocument/2006/relationships/theme" Target="theme/theme1.xml"/><Relationship Id="rId10" Type="http://schemas.openxmlformats.org/officeDocument/2006/relationships/hyperlink" Target="https://doi.org/10.1039/c3cs00004d" TargetMode="External"/><Relationship Id="rId19" Type="http://schemas.openxmlformats.org/officeDocument/2006/relationships/hyperlink" Target="https://doi.org/10.1111/j.1440-1681.2004.04088.x" TargetMode="External"/><Relationship Id="rId4" Type="http://schemas.openxmlformats.org/officeDocument/2006/relationships/webSettings" Target="webSettings.xml"/><Relationship Id="rId9" Type="http://schemas.openxmlformats.org/officeDocument/2006/relationships/hyperlink" Target="https://scholar.google.com/scholar_lookup?journal=J.+Plant+Breed.+Crop+Sci.&amp;title=Use+of+a+liquid+inoculum+of+the+arbuscular+mycorrhizal+fungi+Glomus+hoi+in+rice+plants+cultivated+in+a+saline+Gleysol:+A+new+alternative+to+inoculate&amp;author=F.+Fern%C3%A1ndez&amp;author=J.+Dell%E2%80%99Amico&amp;author=M.+Angoa&amp;author=I.+de+la+Providencia&amp;volume=3&amp;publication_year=2011&amp;pages=24-33&amp;" TargetMode="External"/><Relationship Id="rId14" Type="http://schemas.openxmlformats.org/officeDocument/2006/relationships/hyperlink" Target="https://doi.org/10.1002/9781119374312.CH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Kashyap</dc:creator>
  <cp:keywords/>
  <dc:description/>
  <cp:lastModifiedBy>Ankit Kashyap</cp:lastModifiedBy>
  <cp:revision>29</cp:revision>
  <dcterms:created xsi:type="dcterms:W3CDTF">2024-03-02T09:22:00Z</dcterms:created>
  <dcterms:modified xsi:type="dcterms:W3CDTF">2024-03-05T05:59:00Z</dcterms:modified>
</cp:coreProperties>
</file>