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D357EA" w:rsidRDefault="00D357EA">
      <w:pPr>
        <w:jc w:val="center"/>
        <w:rPr>
          <w:rFonts w:ascii="Times New Roman" w:hAnsi="Times New Roman" w:cs="Times New Roman"/>
          <w:b/>
          <w:sz w:val="24"/>
        </w:rPr>
      </w:pPr>
    </w:p>
    <w:p w:rsidR="00276C17" w:rsidRDefault="00276C17">
      <w:pPr>
        <w:jc w:val="center"/>
        <w:rPr>
          <w:rFonts w:ascii="Times New Roman" w:hAnsi="Times New Roman" w:cs="Times New Roman"/>
          <w:b/>
          <w:sz w:val="28"/>
          <w:szCs w:val="28"/>
        </w:rPr>
      </w:pPr>
    </w:p>
    <w:p w:rsidR="00D357EA" w:rsidRDefault="00276C1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E370D">
        <w:rPr>
          <w:rFonts w:ascii="Times New Roman" w:hAnsi="Times New Roman" w:cs="Times New Roman"/>
          <w:b/>
          <w:sz w:val="28"/>
          <w:szCs w:val="28"/>
        </w:rPr>
        <w:t>“A STUDY ON CASH FLOW STATEMENT ANALYSIS “</w:t>
      </w:r>
    </w:p>
    <w:p w:rsidR="00683B58" w:rsidRDefault="00683B58">
      <w:pPr>
        <w:rPr>
          <w:rFonts w:ascii="Times New Roman" w:hAnsi="Times New Roman" w:cs="Times New Roman"/>
          <w:b/>
          <w:color w:val="FF0000"/>
          <w:sz w:val="28"/>
          <w:szCs w:val="28"/>
        </w:rPr>
      </w:pPr>
    </w:p>
    <w:p w:rsidR="00D357EA" w:rsidRPr="00683B58" w:rsidRDefault="00276C17">
      <w:pPr>
        <w:rPr>
          <w:rFonts w:ascii="Times New Roman" w:hAnsi="Times New Roman" w:cs="Times New Roman"/>
          <w:color w:val="000000" w:themeColor="text1"/>
          <w:sz w:val="24"/>
          <w:szCs w:val="28"/>
        </w:rPr>
      </w:pPr>
      <w:proofErr w:type="spellStart"/>
      <w:r w:rsidRPr="0060658F">
        <w:rPr>
          <w:rFonts w:ascii="Times New Roman" w:hAnsi="Times New Roman" w:cs="Times New Roman"/>
          <w:b/>
          <w:color w:val="FF0000"/>
          <w:sz w:val="28"/>
          <w:szCs w:val="28"/>
        </w:rPr>
        <w:t>Durga</w:t>
      </w:r>
      <w:proofErr w:type="spellEnd"/>
      <w:r w:rsidRPr="0060658F">
        <w:rPr>
          <w:rFonts w:ascii="Times New Roman" w:hAnsi="Times New Roman" w:cs="Times New Roman"/>
          <w:b/>
          <w:color w:val="FF0000"/>
          <w:sz w:val="28"/>
          <w:szCs w:val="28"/>
        </w:rPr>
        <w:t xml:space="preserve"> </w:t>
      </w:r>
      <w:proofErr w:type="spellStart"/>
      <w:r w:rsidR="0060658F" w:rsidRPr="0060658F">
        <w:rPr>
          <w:rFonts w:ascii="Times New Roman" w:hAnsi="Times New Roman" w:cs="Times New Roman"/>
          <w:b/>
          <w:color w:val="FF0000"/>
          <w:sz w:val="28"/>
          <w:szCs w:val="28"/>
        </w:rPr>
        <w:t>S</w:t>
      </w:r>
      <w:r w:rsidRPr="0060658F">
        <w:rPr>
          <w:rFonts w:ascii="Times New Roman" w:hAnsi="Times New Roman" w:cs="Times New Roman"/>
          <w:b/>
          <w:color w:val="FF0000"/>
          <w:sz w:val="28"/>
          <w:szCs w:val="28"/>
        </w:rPr>
        <w:t>rivalli</w:t>
      </w:r>
      <w:proofErr w:type="spellEnd"/>
      <w:r w:rsidRPr="0060658F">
        <w:rPr>
          <w:rFonts w:ascii="Times New Roman" w:hAnsi="Times New Roman" w:cs="Times New Roman"/>
          <w:b/>
          <w:color w:val="FF0000"/>
          <w:sz w:val="28"/>
          <w:szCs w:val="28"/>
        </w:rPr>
        <w:t xml:space="preserve"> </w:t>
      </w:r>
      <w:r w:rsidR="0060658F">
        <w:rPr>
          <w:rFonts w:ascii="Times New Roman" w:hAnsi="Times New Roman" w:cs="Times New Roman"/>
          <w:b/>
          <w:color w:val="FF0000"/>
          <w:sz w:val="28"/>
          <w:szCs w:val="28"/>
        </w:rPr>
        <w:t xml:space="preserve"> </w:t>
      </w:r>
      <w:r w:rsidR="0060658F" w:rsidRPr="0060658F">
        <w:rPr>
          <w:rFonts w:ascii="Times New Roman" w:hAnsi="Times New Roman" w:cs="Times New Roman"/>
          <w:b/>
          <w:color w:val="FF0000"/>
          <w:sz w:val="24"/>
          <w:szCs w:val="28"/>
        </w:rPr>
        <w:t>Role No</w:t>
      </w:r>
      <w:r w:rsidR="0060658F">
        <w:rPr>
          <w:rFonts w:ascii="Times New Roman" w:hAnsi="Times New Roman" w:cs="Times New Roman"/>
          <w:b/>
          <w:color w:val="FF0000"/>
          <w:sz w:val="24"/>
          <w:szCs w:val="28"/>
        </w:rPr>
        <w:t>: 22481E0050,</w:t>
      </w:r>
      <w:r w:rsidR="0060658F">
        <w:rPr>
          <w:rFonts w:ascii="Times New Roman" w:hAnsi="Times New Roman" w:cs="Times New Roman"/>
          <w:b/>
          <w:color w:val="000000" w:themeColor="text1"/>
          <w:sz w:val="24"/>
          <w:szCs w:val="28"/>
        </w:rPr>
        <w:t xml:space="preserve"> </w:t>
      </w:r>
      <w:r w:rsidR="0060658F" w:rsidRPr="00683B58">
        <w:rPr>
          <w:rFonts w:ascii="Times New Roman" w:hAnsi="Times New Roman" w:cs="Times New Roman"/>
          <w:color w:val="000000" w:themeColor="text1"/>
          <w:sz w:val="24"/>
          <w:szCs w:val="28"/>
        </w:rPr>
        <w:t>department of business and management studies. SR Gudlavalleru E</w:t>
      </w:r>
      <w:r w:rsidR="00683B58" w:rsidRPr="00683B58">
        <w:rPr>
          <w:rFonts w:ascii="Times New Roman" w:hAnsi="Times New Roman" w:cs="Times New Roman"/>
          <w:color w:val="000000" w:themeColor="text1"/>
          <w:sz w:val="24"/>
          <w:szCs w:val="28"/>
        </w:rPr>
        <w:t>ngineering College.</w:t>
      </w:r>
    </w:p>
    <w:p w:rsidR="00683B58" w:rsidRDefault="00683B58">
      <w:pPr>
        <w:jc w:val="both"/>
        <w:rPr>
          <w:rFonts w:ascii="Times New Roman" w:hAnsi="Times New Roman" w:cs="Times New Roman"/>
          <w:b/>
          <w:sz w:val="28"/>
        </w:rPr>
      </w:pPr>
    </w:p>
    <w:p w:rsidR="00D357EA" w:rsidRDefault="00AE370D">
      <w:pPr>
        <w:jc w:val="both"/>
        <w:rPr>
          <w:rFonts w:ascii="Times New Roman" w:hAnsi="Times New Roman" w:cs="Times New Roman"/>
          <w:b/>
          <w:sz w:val="28"/>
        </w:rPr>
      </w:pPr>
      <w:r>
        <w:rPr>
          <w:rFonts w:ascii="Times New Roman" w:hAnsi="Times New Roman" w:cs="Times New Roman"/>
          <w:b/>
          <w:sz w:val="28"/>
        </w:rPr>
        <w:t xml:space="preserve">ABSTRACT   </w:t>
      </w:r>
    </w:p>
    <w:p w:rsidR="00D357EA" w:rsidRDefault="00AE370D">
      <w:pPr>
        <w:spacing w:line="360" w:lineRule="auto"/>
        <w:jc w:val="both"/>
        <w:rPr>
          <w:rFonts w:ascii="Times New Roman" w:hAnsi="Times New Roman" w:cs="Times New Roman"/>
          <w:sz w:val="24"/>
        </w:rPr>
      </w:pPr>
      <w:r>
        <w:rPr>
          <w:rFonts w:ascii="Times New Roman" w:hAnsi="Times New Roman" w:cs="Times New Roman"/>
          <w:sz w:val="24"/>
        </w:rPr>
        <w:t xml:space="preserve">Cash flow statement is an important tool to analyze the cash position of a business organization. It can denote changes in cash position during three financial years.  The main purpose cash flow statement is to analyzing a company financial statement. The </w:t>
      </w:r>
      <w:r>
        <w:rPr>
          <w:rFonts w:ascii="Times New Roman" w:hAnsi="Times New Roman" w:cs="Times New Roman"/>
          <w:sz w:val="24"/>
        </w:rPr>
        <w:t xml:space="preserve">cash flow statement also provides information for the changes in business cash during a specific time frame by the sources and use of cash during the period from operating investing and the financial activities. </w:t>
      </w:r>
    </w:p>
    <w:p w:rsidR="00D357EA" w:rsidRDefault="00AE370D">
      <w:pPr>
        <w:spacing w:line="360" w:lineRule="auto"/>
        <w:jc w:val="both"/>
        <w:rPr>
          <w:rFonts w:ascii="Times New Roman" w:hAnsi="Times New Roman" w:cs="Times New Roman"/>
          <w:sz w:val="24"/>
        </w:rPr>
      </w:pPr>
      <w:r>
        <w:rPr>
          <w:rFonts w:ascii="Times New Roman" w:hAnsi="Times New Roman" w:cs="Times New Roman"/>
          <w:sz w:val="24"/>
        </w:rPr>
        <w:t>Cash flow statements provide crucial inform</w:t>
      </w:r>
      <w:r>
        <w:rPr>
          <w:rFonts w:ascii="Times New Roman" w:hAnsi="Times New Roman" w:cs="Times New Roman"/>
          <w:sz w:val="24"/>
        </w:rPr>
        <w:t>ation regarding the cash inflows and outflows of an organization over a specified period, offering insights into its liquidity, operating activities, investing activities, and financing activities. The primary objective of this research is to analyze how e</w:t>
      </w:r>
      <w:r>
        <w:rPr>
          <w:rFonts w:ascii="Times New Roman" w:hAnsi="Times New Roman" w:cs="Times New Roman"/>
          <w:sz w:val="24"/>
        </w:rPr>
        <w:t>ffectively cash flow statements facilitate decision-making processes for various stakeholders, including investors, creditors, and management.</w:t>
      </w:r>
    </w:p>
    <w:p w:rsidR="00D357EA" w:rsidRDefault="00AE370D">
      <w:pPr>
        <w:spacing w:line="360" w:lineRule="auto"/>
        <w:jc w:val="both"/>
        <w:rPr>
          <w:rFonts w:ascii="Times New Roman" w:hAnsi="Times New Roman" w:cs="Times New Roman"/>
          <w:sz w:val="24"/>
        </w:rPr>
      </w:pPr>
      <w:r>
        <w:rPr>
          <w:rFonts w:ascii="Times New Roman" w:hAnsi="Times New Roman" w:cs="Times New Roman"/>
          <w:sz w:val="24"/>
        </w:rPr>
        <w:t>This research underscores the importance of cash flow statements as a fundamental tool for financial analysis and</w:t>
      </w:r>
      <w:r>
        <w:rPr>
          <w:rFonts w:ascii="Times New Roman" w:hAnsi="Times New Roman" w:cs="Times New Roman"/>
          <w:sz w:val="24"/>
        </w:rPr>
        <w:t xml:space="preserve"> decision-making. It advocates for enhanced transparency and consistency </w:t>
      </w:r>
      <w:r>
        <w:rPr>
          <w:rFonts w:ascii="Times New Roman" w:hAnsi="Times New Roman" w:cs="Times New Roman"/>
          <w:sz w:val="24"/>
        </w:rPr>
        <w:lastRenderedPageBreak/>
        <w:t>in cash flow reporting practices to better serve the informational needs of stakeholders in today's dynamic business environment.</w:t>
      </w:r>
    </w:p>
    <w:p w:rsidR="00D357EA" w:rsidRDefault="00AE370D">
      <w:pPr>
        <w:spacing w:line="360" w:lineRule="auto"/>
        <w:jc w:val="both"/>
        <w:rPr>
          <w:rFonts w:ascii="Times New Roman" w:hAnsi="Times New Roman" w:cs="Times New Roman"/>
          <w:sz w:val="24"/>
        </w:rPr>
      </w:pPr>
      <w:r>
        <w:rPr>
          <w:rFonts w:ascii="Times New Roman" w:hAnsi="Times New Roman" w:cs="Times New Roman"/>
          <w:sz w:val="24"/>
        </w:rPr>
        <w:t xml:space="preserve">They provide a clear picture of an organization's </w:t>
      </w:r>
      <w:r>
        <w:rPr>
          <w:rFonts w:ascii="Times New Roman" w:hAnsi="Times New Roman" w:cs="Times New Roman"/>
          <w:sz w:val="24"/>
        </w:rPr>
        <w:t>ability to generate cash and meet its financial obligations, thus aiding in risk assessment and strategic planning. Furthermore, the study highlights the challenges and limitations associated with cash flow reporting, such as potential manipulation and the</w:t>
      </w:r>
      <w:r>
        <w:rPr>
          <w:rFonts w:ascii="Times New Roman" w:hAnsi="Times New Roman" w:cs="Times New Roman"/>
          <w:sz w:val="24"/>
        </w:rPr>
        <w:t xml:space="preserve"> complexity of reconciling cash flows with other financial statements.</w:t>
      </w:r>
    </w:p>
    <w:p w:rsidR="00D357EA" w:rsidRDefault="00AE370D">
      <w:pPr>
        <w:spacing w:line="360" w:lineRule="auto"/>
        <w:jc w:val="both"/>
        <w:rPr>
          <w:rFonts w:ascii="Times New Roman" w:hAnsi="Times New Roman" w:cs="Times New Roman"/>
          <w:sz w:val="24"/>
        </w:rPr>
      </w:pPr>
      <w:r>
        <w:rPr>
          <w:rFonts w:ascii="Times New Roman" w:hAnsi="Times New Roman" w:cs="Times New Roman"/>
          <w:sz w:val="24"/>
        </w:rPr>
        <w:t>Additionally, case studies and empirical data are employed to illustrate practical applications and interpretations of cash flow statements in different industries and economic environm</w:t>
      </w:r>
      <w:r>
        <w:rPr>
          <w:rFonts w:ascii="Times New Roman" w:hAnsi="Times New Roman" w:cs="Times New Roman"/>
          <w:sz w:val="24"/>
        </w:rPr>
        <w:t>ents.Key findings suggest that cash flow statements play a critical role in assessing an entity's financial health beyond traditional income statement and balance sheet metrics.</w:t>
      </w:r>
    </w:p>
    <w:p w:rsidR="00D357EA" w:rsidRDefault="00AE370D">
      <w:pPr>
        <w:spacing w:line="360" w:lineRule="auto"/>
        <w:rPr>
          <w:rFonts w:ascii="Times New Roman" w:hAnsi="Times New Roman" w:cs="Times New Roman"/>
          <w:sz w:val="24"/>
        </w:rPr>
      </w:pPr>
      <w:r>
        <w:rPr>
          <w:rFonts w:ascii="Times New Roman" w:hAnsi="Times New Roman" w:cs="Times New Roman"/>
          <w:sz w:val="24"/>
        </w:rPr>
        <w:t>this study underscores the critical role of cash flow statements as a cornerst</w:t>
      </w:r>
      <w:r>
        <w:rPr>
          <w:rFonts w:ascii="Times New Roman" w:hAnsi="Times New Roman" w:cs="Times New Roman"/>
          <w:sz w:val="24"/>
        </w:rPr>
        <w:t>one of financial analysis and decision-making. It advocates for continuous improvements in cash flow reporting practices to meet the evolving informational needs of stakeholders in today's dynamic global economy.</w:t>
      </w:r>
    </w:p>
    <w:p w:rsidR="00D357EA" w:rsidRDefault="00D357EA">
      <w:pPr>
        <w:spacing w:line="360" w:lineRule="auto"/>
        <w:jc w:val="both"/>
        <w:rPr>
          <w:rFonts w:ascii="Times New Roman" w:hAnsi="Times New Roman" w:cs="Times New Roman"/>
          <w:b/>
          <w:sz w:val="28"/>
        </w:rPr>
      </w:pPr>
    </w:p>
    <w:p w:rsidR="00D357EA" w:rsidRDefault="00AE370D">
      <w:pPr>
        <w:jc w:val="both"/>
        <w:rPr>
          <w:rFonts w:ascii="Times New Roman" w:hAnsi="Times New Roman" w:cs="Times New Roman"/>
          <w:b/>
          <w:sz w:val="24"/>
        </w:rPr>
      </w:pPr>
      <w:r>
        <w:rPr>
          <w:rFonts w:ascii="Times New Roman" w:hAnsi="Times New Roman" w:cs="Times New Roman"/>
          <w:b/>
          <w:sz w:val="28"/>
        </w:rPr>
        <w:t>INTRODUCTION</w:t>
      </w:r>
    </w:p>
    <w:p w:rsidR="00D357EA" w:rsidRDefault="00AE370D">
      <w:pPr>
        <w:spacing w:line="360" w:lineRule="auto"/>
        <w:jc w:val="both"/>
        <w:rPr>
          <w:rFonts w:ascii="Times New Roman" w:hAnsi="Times New Roman" w:cs="Times New Roman"/>
          <w:sz w:val="24"/>
          <w:szCs w:val="24"/>
        </w:rPr>
      </w:pPr>
      <w:r>
        <w:rPr>
          <w:rFonts w:ascii="Times New Roman" w:hAnsi="Times New Roman" w:cs="Times New Roman"/>
          <w:sz w:val="24"/>
          <w:szCs w:val="24"/>
        </w:rPr>
        <w:t>Cash flows indicate of a busi</w:t>
      </w:r>
      <w:r>
        <w:rPr>
          <w:rFonts w:ascii="Times New Roman" w:hAnsi="Times New Roman" w:cs="Times New Roman"/>
          <w:sz w:val="24"/>
          <w:szCs w:val="24"/>
        </w:rPr>
        <w:t>ness has enough money for its operation. Any transaction  that a company does in cash or cash equivalent is penned down in a cash flow statement to back the status of business funds and keep on account if the closing balance at the end of the accounting pe</w:t>
      </w:r>
      <w:r>
        <w:rPr>
          <w:rFonts w:ascii="Times New Roman" w:hAnsi="Times New Roman" w:cs="Times New Roman"/>
          <w:sz w:val="24"/>
          <w:szCs w:val="24"/>
        </w:rPr>
        <w:t>riod cash flow indicates if a business has enough money for ifs operation.</w:t>
      </w:r>
    </w:p>
    <w:p w:rsidR="00D357EA" w:rsidRDefault="00AE370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Cash flow is a measure of a company’s net cash inflows and outflows. It’s reported in a </w:t>
      </w:r>
      <w:r>
        <w:rPr>
          <w:rFonts w:ascii="Times New Roman" w:hAnsi="Times New Roman" w:cs="Times New Roman"/>
          <w:sz w:val="24"/>
          <w:szCs w:val="24"/>
          <w:shd w:val="clear" w:color="auto" w:fill="FFFFFF"/>
        </w:rPr>
        <w:t>cash flow statement</w:t>
      </w:r>
      <w:r>
        <w:rPr>
          <w:rFonts w:ascii="Times New Roman" w:hAnsi="Times New Roman" w:cs="Times New Roman"/>
          <w:color w:val="000000"/>
          <w:sz w:val="24"/>
          <w:szCs w:val="24"/>
          <w:shd w:val="clear" w:color="auto" w:fill="FFFFFF"/>
        </w:rPr>
        <w:t xml:space="preserve">, also known as a statement of cash flows. When you want to measure a </w:t>
      </w:r>
      <w:r>
        <w:rPr>
          <w:rFonts w:ascii="Times New Roman" w:hAnsi="Times New Roman" w:cs="Times New Roman"/>
          <w:color w:val="000000"/>
          <w:sz w:val="24"/>
          <w:szCs w:val="24"/>
          <w:shd w:val="clear" w:color="auto" w:fill="FFFFFF"/>
        </w:rPr>
        <w:t>business’s financial health, one of the first places to look is its cash flow</w:t>
      </w:r>
    </w:p>
    <w:p w:rsidR="00D357EA" w:rsidRDefault="00AE370D">
      <w:pPr>
        <w:spacing w:line="360" w:lineRule="auto"/>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Cash flow is the net cash and cash equivalents transferred in and out of a company. Cash received represents inflows, while money spent represents outflows. A company creates val</w:t>
      </w:r>
      <w:r>
        <w:rPr>
          <w:rFonts w:ascii="Times New Roman" w:hAnsi="Times New Roman" w:cs="Times New Roman"/>
          <w:color w:val="111111"/>
          <w:spacing w:val="1"/>
          <w:sz w:val="24"/>
          <w:szCs w:val="24"/>
          <w:shd w:val="clear" w:color="auto" w:fill="FFFFFF"/>
        </w:rPr>
        <w:t>ue for </w:t>
      </w:r>
      <w:r>
        <w:rPr>
          <w:rFonts w:ascii="Times New Roman" w:hAnsi="Times New Roman" w:cs="Times New Roman"/>
          <w:spacing w:val="1"/>
          <w:sz w:val="24"/>
          <w:szCs w:val="24"/>
          <w:shd w:val="clear" w:color="auto" w:fill="FFFFFF"/>
        </w:rPr>
        <w:t>shareholders</w:t>
      </w:r>
      <w:r>
        <w:rPr>
          <w:rFonts w:ascii="Times New Roman" w:hAnsi="Times New Roman" w:cs="Times New Roman"/>
          <w:color w:val="111111"/>
          <w:spacing w:val="1"/>
          <w:sz w:val="24"/>
          <w:szCs w:val="24"/>
          <w:shd w:val="clear" w:color="auto" w:fill="FFFFFF"/>
        </w:rPr>
        <w:t> through its ability to generate positive cash flows and maximize long-term </w:t>
      </w:r>
      <w:r>
        <w:rPr>
          <w:rFonts w:ascii="Times New Roman" w:hAnsi="Times New Roman" w:cs="Times New Roman"/>
          <w:spacing w:val="1"/>
          <w:sz w:val="24"/>
          <w:szCs w:val="24"/>
          <w:shd w:val="clear" w:color="auto" w:fill="FFFFFF"/>
        </w:rPr>
        <w:t xml:space="preserve">free </w:t>
      </w:r>
      <w:r>
        <w:rPr>
          <w:rFonts w:ascii="Times New Roman" w:hAnsi="Times New Roman" w:cs="Times New Roman"/>
          <w:spacing w:val="1"/>
          <w:sz w:val="24"/>
          <w:szCs w:val="24"/>
          <w:shd w:val="clear" w:color="auto" w:fill="FFFFFF"/>
        </w:rPr>
        <w:lastRenderedPageBreak/>
        <w:t>cash flow</w:t>
      </w:r>
      <w:r>
        <w:rPr>
          <w:rFonts w:ascii="Times New Roman" w:hAnsi="Times New Roman" w:cs="Times New Roman"/>
          <w:color w:val="111111"/>
          <w:spacing w:val="1"/>
          <w:sz w:val="24"/>
          <w:szCs w:val="24"/>
          <w:shd w:val="clear" w:color="auto" w:fill="FFFFFF"/>
        </w:rPr>
        <w:t> (FCF). FCF is the cash from normal business operations after subtracting any money spent on </w:t>
      </w:r>
      <w:r>
        <w:rPr>
          <w:rFonts w:ascii="Times New Roman" w:hAnsi="Times New Roman" w:cs="Times New Roman"/>
          <w:spacing w:val="1"/>
          <w:sz w:val="24"/>
          <w:szCs w:val="24"/>
          <w:shd w:val="clear" w:color="auto" w:fill="FFFFFF"/>
        </w:rPr>
        <w:t>capital expenditures</w:t>
      </w:r>
      <w:r>
        <w:rPr>
          <w:rFonts w:ascii="Times New Roman" w:hAnsi="Times New Roman" w:cs="Times New Roman"/>
          <w:color w:val="111111"/>
          <w:spacing w:val="1"/>
          <w:sz w:val="24"/>
          <w:szCs w:val="24"/>
          <w:shd w:val="clear" w:color="auto" w:fill="FFFFFF"/>
        </w:rPr>
        <w:t>.</w:t>
      </w:r>
    </w:p>
    <w:p w:rsidR="00D357EA" w:rsidRDefault="00AE370D">
      <w:pPr>
        <w:spacing w:line="360" w:lineRule="auto"/>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The importance of cash flow stat</w:t>
      </w:r>
      <w:r>
        <w:rPr>
          <w:rFonts w:ascii="Times New Roman" w:hAnsi="Times New Roman" w:cs="Times New Roman"/>
          <w:color w:val="111111"/>
          <w:spacing w:val="1"/>
          <w:sz w:val="24"/>
          <w:szCs w:val="24"/>
          <w:shd w:val="clear" w:color="auto" w:fill="FFFFFF"/>
        </w:rPr>
        <w:t>ements extends beyond mere compliance with accounting standards. They serve as a vital tool for financial analysis, aiding investors, creditors, and management in assessing the financial health of a company. For investors, cash flow statements help gauge t</w:t>
      </w:r>
      <w:r>
        <w:rPr>
          <w:rFonts w:ascii="Times New Roman" w:hAnsi="Times New Roman" w:cs="Times New Roman"/>
          <w:color w:val="111111"/>
          <w:spacing w:val="1"/>
          <w:sz w:val="24"/>
          <w:szCs w:val="24"/>
          <w:shd w:val="clear" w:color="auto" w:fill="FFFFFF"/>
        </w:rPr>
        <w:t>he sustainability of dividend payments and potential for future growth, as they provide insights into how efficiently a company manages its cash resources.</w:t>
      </w:r>
    </w:p>
    <w:p w:rsidR="00D357EA" w:rsidRDefault="00AE370D">
      <w:pPr>
        <w:spacing w:line="360" w:lineRule="auto"/>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Creditors rely on cash flow statements to evaluate an organization's ability to generate sufficient </w:t>
      </w:r>
      <w:r>
        <w:rPr>
          <w:rFonts w:ascii="Times New Roman" w:hAnsi="Times New Roman" w:cs="Times New Roman"/>
          <w:color w:val="111111"/>
          <w:spacing w:val="1"/>
          <w:sz w:val="24"/>
          <w:szCs w:val="24"/>
          <w:shd w:val="clear" w:color="auto" w:fill="FFFFFF"/>
        </w:rPr>
        <w:t>cash flows to repay debts and interest obligations. Additionally, management utilizes cash flow information to monitor operational efficiency, plan for capital expenditures, and make informed decisions regarding financing strategies.</w:t>
      </w:r>
    </w:p>
    <w:p w:rsidR="00D357EA" w:rsidRDefault="00AE370D">
      <w:pPr>
        <w:spacing w:line="240" w:lineRule="auto"/>
        <w:jc w:val="both"/>
        <w:rPr>
          <w:rFonts w:ascii="Times New Roman" w:hAnsi="Times New Roman" w:cs="Times New Roman"/>
          <w:b/>
          <w:color w:val="111111"/>
          <w:spacing w:val="1"/>
          <w:sz w:val="28"/>
          <w:szCs w:val="24"/>
          <w:shd w:val="clear" w:color="auto" w:fill="FFFFFF"/>
        </w:rPr>
      </w:pPr>
      <w:r>
        <w:rPr>
          <w:rFonts w:ascii="Times New Roman" w:hAnsi="Times New Roman" w:cs="Times New Roman"/>
          <w:b/>
          <w:color w:val="111111"/>
          <w:spacing w:val="1"/>
          <w:sz w:val="28"/>
          <w:szCs w:val="24"/>
          <w:shd w:val="clear" w:color="auto" w:fill="FFFFFF"/>
        </w:rPr>
        <w:t>NEED FOR THE STUDY</w:t>
      </w:r>
    </w:p>
    <w:p w:rsidR="00D357EA" w:rsidRDefault="00AE370D">
      <w:pPr>
        <w:spacing w:after="0" w:line="360" w:lineRule="auto"/>
        <w:jc w:val="both"/>
        <w:rPr>
          <w:rFonts w:ascii="Times New Roman" w:hAnsi="Times New Roman" w:cs="Times New Roman"/>
          <w:sz w:val="24"/>
          <w:szCs w:val="24"/>
        </w:rPr>
      </w:pPr>
      <w:r>
        <w:rPr>
          <w:rFonts w:ascii="Times New Roman" w:hAnsi="Times New Roman" w:cs="Times New Roman"/>
          <w:color w:val="111111"/>
          <w:spacing w:val="1"/>
          <w:sz w:val="24"/>
          <w:szCs w:val="24"/>
          <w:shd w:val="clear" w:color="auto" w:fill="FFFFFF"/>
        </w:rPr>
        <w:t>By studying the cash flows of kwality feed industries ltd. We can determine the reserves of cashto be maintained for the regular activities of kwality feeds industries ltd. To analyze thecurrentliquidity position of the firm.</w:t>
      </w:r>
      <w:r>
        <w:rPr>
          <w:rFonts w:ascii="Times New Roman" w:hAnsi="Times New Roman" w:cs="Times New Roman"/>
          <w:sz w:val="24"/>
          <w:szCs w:val="24"/>
        </w:rPr>
        <w:t>The need for a study on cash f</w:t>
      </w:r>
      <w:r>
        <w:rPr>
          <w:rFonts w:ascii="Times New Roman" w:hAnsi="Times New Roman" w:cs="Times New Roman"/>
          <w:sz w:val="24"/>
          <w:szCs w:val="24"/>
        </w:rPr>
        <w:t>low statement analysis at Kwality Feeds, Ramanapudi, stems from its critical role in providing a comprehensive understanding of the company’s financial health and operational efficiency. By examining the cash flow from operating activities, the study can h</w:t>
      </w:r>
      <w:r>
        <w:rPr>
          <w:rFonts w:ascii="Times New Roman" w:hAnsi="Times New Roman" w:cs="Times New Roman"/>
          <w:sz w:val="24"/>
          <w:szCs w:val="24"/>
        </w:rPr>
        <w:t>ighlight how well Kwality Feeds generates cash from its core operations, thus identifying areas for potential improvement in operational efficiencies and cash management. Analyzing cash flows from investing activities will shed light on the company's capit</w:t>
      </w:r>
      <w:r>
        <w:rPr>
          <w:rFonts w:ascii="Times New Roman" w:hAnsi="Times New Roman" w:cs="Times New Roman"/>
          <w:sz w:val="24"/>
          <w:szCs w:val="24"/>
        </w:rPr>
        <w:t>al expenditures and growth opportunities, helping assess the returns on investments and alignment with strategic goals. Furthermore, evaluating cash flows from financing activities will provide insights into the company’s debt management, financial stabili</w:t>
      </w:r>
      <w:r>
        <w:rPr>
          <w:rFonts w:ascii="Times New Roman" w:hAnsi="Times New Roman" w:cs="Times New Roman"/>
          <w:sz w:val="24"/>
          <w:szCs w:val="24"/>
        </w:rPr>
        <w:t>ty, and overall financing strategies. This analysis is essential for better resource allocation, risk management, and enhancing stakeholder confidence, ultimately supporting informed decision-making and sustainable growth for Kwality Feeds.</w:t>
      </w:r>
    </w:p>
    <w:p w:rsidR="00D357EA" w:rsidRDefault="00AE370D">
      <w:pPr>
        <w:spacing w:line="240" w:lineRule="auto"/>
        <w:jc w:val="both"/>
        <w:rPr>
          <w:rFonts w:ascii="Times New Roman" w:hAnsi="Times New Roman" w:cs="Times New Roman"/>
          <w:b/>
          <w:color w:val="111111"/>
          <w:spacing w:val="1"/>
          <w:sz w:val="28"/>
          <w:szCs w:val="24"/>
          <w:shd w:val="clear" w:color="auto" w:fill="FFFFFF"/>
        </w:rPr>
      </w:pPr>
      <w:r>
        <w:rPr>
          <w:rFonts w:ascii="Times New Roman" w:hAnsi="Times New Roman" w:cs="Times New Roman"/>
          <w:b/>
          <w:color w:val="111111"/>
          <w:spacing w:val="1"/>
          <w:sz w:val="28"/>
          <w:szCs w:val="24"/>
          <w:shd w:val="clear" w:color="auto" w:fill="FFFFFF"/>
        </w:rPr>
        <w:t>OBJECTIVE OF TH</w:t>
      </w:r>
      <w:r>
        <w:rPr>
          <w:rFonts w:ascii="Times New Roman" w:hAnsi="Times New Roman" w:cs="Times New Roman"/>
          <w:b/>
          <w:color w:val="111111"/>
          <w:spacing w:val="1"/>
          <w:sz w:val="28"/>
          <w:szCs w:val="24"/>
          <w:shd w:val="clear" w:color="auto" w:fill="FFFFFF"/>
        </w:rPr>
        <w:t>E STUDY</w:t>
      </w:r>
    </w:p>
    <w:p w:rsidR="00D357EA" w:rsidRDefault="00AE370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cash flow of kwality feeds to understand the company’s cash inflows and outflows over a specified period.</w:t>
      </w:r>
    </w:p>
    <w:p w:rsidR="00D357EA" w:rsidRDefault="00AE370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assess the liability position of kwality</w:t>
      </w:r>
      <w:r>
        <w:rPr>
          <w:rFonts w:ascii="Times New Roman" w:hAnsi="Times New Roman" w:cs="Times New Roman"/>
          <w:sz w:val="24"/>
          <w:szCs w:val="24"/>
        </w:rPr>
        <w:t xml:space="preserve"> feeds by examining its ability to meet short-term obligations and operational efficiency.</w:t>
      </w:r>
    </w:p>
    <w:p w:rsidR="00D357EA" w:rsidRDefault="00AE370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investigate the various sources of financing capital utilized by kwality feeds.</w:t>
      </w:r>
    </w:p>
    <w:p w:rsidR="00D357EA" w:rsidRDefault="00AE370D">
      <w:pPr>
        <w:rPr>
          <w:rFonts w:ascii="Times New Roman" w:hAnsi="Times New Roman" w:cs="Times New Roman"/>
          <w:b/>
          <w:sz w:val="24"/>
        </w:rPr>
      </w:pPr>
      <w:r>
        <w:rPr>
          <w:rFonts w:ascii="Times New Roman" w:hAnsi="Times New Roman" w:cs="Times New Roman"/>
          <w:b/>
          <w:color w:val="111111"/>
          <w:spacing w:val="1"/>
          <w:sz w:val="28"/>
          <w:szCs w:val="24"/>
          <w:shd w:val="clear" w:color="auto" w:fill="FFFFFF"/>
        </w:rPr>
        <w:t xml:space="preserve">SCOPE OF THE STUDY </w:t>
      </w:r>
    </w:p>
    <w:p w:rsidR="00D357EA" w:rsidRDefault="00AE370D">
      <w:pPr>
        <w:spacing w:line="240" w:lineRule="auto"/>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Cash flow is a financial statement that presents information a</w:t>
      </w:r>
      <w:r>
        <w:rPr>
          <w:rFonts w:ascii="Times New Roman" w:hAnsi="Times New Roman" w:cs="Times New Roman"/>
          <w:color w:val="111111"/>
          <w:spacing w:val="1"/>
          <w:sz w:val="24"/>
          <w:szCs w:val="24"/>
          <w:shd w:val="clear" w:color="auto" w:fill="FFFFFF"/>
        </w:rPr>
        <w:t>bout the company.</w:t>
      </w:r>
    </w:p>
    <w:p w:rsidR="00D357EA" w:rsidRDefault="00AE370D">
      <w:pPr>
        <w:spacing w:after="0" w:line="360" w:lineRule="auto"/>
        <w:jc w:val="both"/>
        <w:rPr>
          <w:rFonts w:ascii="Times New Roman" w:hAnsi="Times New Roman" w:cs="Times New Roman"/>
          <w:sz w:val="24"/>
          <w:szCs w:val="24"/>
        </w:rPr>
      </w:pPr>
      <w:r>
        <w:rPr>
          <w:rFonts w:ascii="Times New Roman" w:hAnsi="Times New Roman" w:cs="Times New Roman"/>
          <w:color w:val="111111"/>
          <w:spacing w:val="1"/>
          <w:sz w:val="24"/>
          <w:szCs w:val="24"/>
          <w:shd w:val="clear" w:color="auto" w:fill="FFFFFF"/>
        </w:rPr>
        <w:t>The study covers in cash inflow and cash out flow of the kwality feeds industries ltd. For the period of 5 years.</w:t>
      </w:r>
      <w:r>
        <w:rPr>
          <w:rFonts w:ascii="Times New Roman" w:hAnsi="Times New Roman" w:cs="Times New Roman"/>
          <w:sz w:val="24"/>
          <w:szCs w:val="24"/>
        </w:rPr>
        <w:t>The study is carried out based mainly on the secondary data provided in the financial statement. The study is based on the in</w:t>
      </w:r>
      <w:r>
        <w:rPr>
          <w:rFonts w:ascii="Times New Roman" w:hAnsi="Times New Roman" w:cs="Times New Roman"/>
          <w:sz w:val="24"/>
          <w:szCs w:val="24"/>
        </w:rPr>
        <w:t>formation provided the annual reports. Therefore in may be a future indicator. The cash flow statement ignores the non-cash or non-current assets. So it is not suitable in judging the profitability of a firm. There are some financial differences in the per</w:t>
      </w:r>
      <w:r>
        <w:rPr>
          <w:rFonts w:ascii="Times New Roman" w:hAnsi="Times New Roman" w:cs="Times New Roman"/>
          <w:sz w:val="24"/>
          <w:szCs w:val="24"/>
        </w:rPr>
        <w:t xml:space="preserve">formance. Therefore the accuracy of the accuracy of the study depends on the accuracy of the data and information provided in annual reports. </w:t>
      </w:r>
    </w:p>
    <w:p w:rsidR="00D357EA" w:rsidRDefault="00D357EA">
      <w:pPr>
        <w:spacing w:after="0" w:line="360" w:lineRule="auto"/>
        <w:jc w:val="both"/>
        <w:rPr>
          <w:rFonts w:ascii="Times New Roman" w:hAnsi="Times New Roman" w:cs="Times New Roman"/>
          <w:sz w:val="24"/>
          <w:szCs w:val="24"/>
        </w:rPr>
      </w:pPr>
    </w:p>
    <w:p w:rsidR="00D357EA" w:rsidRDefault="00D357EA">
      <w:pPr>
        <w:spacing w:line="240" w:lineRule="auto"/>
        <w:rPr>
          <w:rFonts w:ascii="Times New Roman" w:hAnsi="Times New Roman" w:cs="Times New Roman"/>
          <w:color w:val="111111"/>
          <w:spacing w:val="1"/>
          <w:sz w:val="24"/>
          <w:szCs w:val="24"/>
          <w:shd w:val="clear" w:color="auto" w:fill="FFFFFF"/>
        </w:rPr>
      </w:pPr>
    </w:p>
    <w:p w:rsidR="00D357EA" w:rsidRDefault="00AE370D">
      <w:pPr>
        <w:spacing w:line="240" w:lineRule="auto"/>
        <w:rPr>
          <w:rFonts w:ascii="Times New Roman" w:hAnsi="Times New Roman" w:cs="Times New Roman"/>
          <w:b/>
          <w:color w:val="111111"/>
          <w:spacing w:val="1"/>
          <w:sz w:val="28"/>
          <w:szCs w:val="24"/>
          <w:shd w:val="clear" w:color="auto" w:fill="FFFFFF"/>
        </w:rPr>
      </w:pPr>
      <w:r>
        <w:rPr>
          <w:rFonts w:ascii="Times New Roman" w:hAnsi="Times New Roman" w:cs="Times New Roman"/>
          <w:b/>
          <w:color w:val="111111"/>
          <w:spacing w:val="1"/>
          <w:sz w:val="28"/>
          <w:szCs w:val="24"/>
          <w:shd w:val="clear" w:color="auto" w:fill="FFFFFF"/>
        </w:rPr>
        <w:t>RESEARCH METHODOLOGY</w:t>
      </w:r>
    </w:p>
    <w:p w:rsidR="00D357EA" w:rsidRDefault="00AE370D">
      <w:pPr>
        <w:spacing w:line="240" w:lineRule="auto"/>
        <w:rPr>
          <w:rFonts w:ascii="Times New Roman" w:hAnsi="Times New Roman" w:cs="Times New Roman"/>
          <w:b/>
          <w:color w:val="111111"/>
          <w:spacing w:val="1"/>
          <w:sz w:val="24"/>
          <w:szCs w:val="24"/>
          <w:shd w:val="clear" w:color="auto" w:fill="FFFFFF"/>
        </w:rPr>
      </w:pPr>
      <w:r>
        <w:rPr>
          <w:rFonts w:ascii="Times New Roman" w:hAnsi="Times New Roman" w:cs="Times New Roman"/>
          <w:b/>
          <w:color w:val="111111"/>
          <w:spacing w:val="1"/>
          <w:sz w:val="24"/>
          <w:szCs w:val="24"/>
          <w:shd w:val="clear" w:color="auto" w:fill="FFFFFF"/>
        </w:rPr>
        <w:t xml:space="preserve">Sources of data </w:t>
      </w:r>
    </w:p>
    <w:p w:rsidR="00D357EA" w:rsidRDefault="00AE370D">
      <w:pPr>
        <w:pStyle w:val="NormalWeb"/>
        <w:spacing w:before="0" w:beforeAutospacing="0" w:after="0" w:afterAutospacing="0" w:line="360" w:lineRule="auto"/>
        <w:jc w:val="both"/>
      </w:pPr>
      <w:r>
        <w:rPr>
          <w:color w:val="111111"/>
          <w:spacing w:val="1"/>
          <w:shd w:val="clear" w:color="auto" w:fill="FFFFFF"/>
        </w:rPr>
        <w:t>The study is based on secondary data.</w:t>
      </w:r>
      <w:r>
        <w:t xml:space="preserve">The method of achieving objectives </w:t>
      </w:r>
      <w:r>
        <w:t>through the collection of data. The data collected can be either from primary data sources or secondary sources. Every study was based on methodology, which is a way to systematically solve the problem or attain its objectives.</w:t>
      </w:r>
    </w:p>
    <w:p w:rsidR="00D357EA" w:rsidRDefault="00AE370D">
      <w:pPr>
        <w:pStyle w:val="NormalWeb"/>
        <w:spacing w:before="0" w:beforeAutospacing="0" w:after="0" w:afterAutospacing="0" w:line="360" w:lineRule="auto"/>
        <w:jc w:val="both"/>
      </w:pPr>
      <w:r>
        <w:rPr>
          <w:rStyle w:val="Strong"/>
          <w:rFonts w:eastAsia="SimSun"/>
        </w:rPr>
        <w:t>Data collection:</w:t>
      </w:r>
    </w:p>
    <w:p w:rsidR="00D357EA" w:rsidRDefault="00AE370D">
      <w:pPr>
        <w:pStyle w:val="NormalWeb"/>
        <w:spacing w:before="0" w:beforeAutospacing="0" w:after="0" w:afterAutospacing="0" w:line="360" w:lineRule="auto"/>
        <w:jc w:val="both"/>
      </w:pPr>
      <w:r>
        <w:t>To determin</w:t>
      </w:r>
      <w:r>
        <w:t>e the appropriate data for research, mainly two kinds of data were collected: primary data and secondary data.</w:t>
      </w:r>
    </w:p>
    <w:p w:rsidR="00D357EA" w:rsidRDefault="00AE370D">
      <w:pPr>
        <w:pStyle w:val="NormalWeb"/>
        <w:spacing w:before="0" w:beforeAutospacing="0" w:after="0" w:afterAutospacing="0" w:line="360" w:lineRule="auto"/>
        <w:jc w:val="both"/>
      </w:pPr>
      <w:r>
        <w:rPr>
          <w:rStyle w:val="Strong"/>
          <w:rFonts w:eastAsia="SimSun"/>
        </w:rPr>
        <w:t>Primary Data:</w:t>
      </w:r>
    </w:p>
    <w:p w:rsidR="00D357EA" w:rsidRDefault="00AE370D">
      <w:pPr>
        <w:pStyle w:val="NormalWeb"/>
        <w:spacing w:before="0" w:beforeAutospacing="0" w:after="0" w:afterAutospacing="0" w:line="360" w:lineRule="auto"/>
        <w:jc w:val="both"/>
      </w:pPr>
      <w:r>
        <w:t>Primary data was not included in the project.</w:t>
      </w:r>
    </w:p>
    <w:p w:rsidR="00D357EA" w:rsidRDefault="00AE370D">
      <w:pPr>
        <w:pStyle w:val="NormalWeb"/>
        <w:spacing w:before="0" w:beforeAutospacing="0" w:after="0" w:afterAutospacing="0" w:line="360" w:lineRule="auto"/>
        <w:jc w:val="both"/>
      </w:pPr>
      <w:r>
        <w:rPr>
          <w:rStyle w:val="Strong"/>
          <w:rFonts w:eastAsia="SimSun"/>
        </w:rPr>
        <w:t xml:space="preserve">Secondary Data: </w:t>
      </w:r>
    </w:p>
    <w:p w:rsidR="00D357EA" w:rsidRDefault="00AE370D">
      <w:pPr>
        <w:pStyle w:val="NormalWeb"/>
        <w:spacing w:before="0" w:beforeAutospacing="0" w:after="0" w:afterAutospacing="0" w:line="360" w:lineRule="auto"/>
        <w:jc w:val="both"/>
      </w:pPr>
      <w:r>
        <w:t>The secondary data was extensively collected from various sources th</w:t>
      </w:r>
      <w:r>
        <w:t xml:space="preserve">at have already been extracted or preserved, i.e., company annual reports, circulars, financial statements, and some other important documents. Secondary data is vital for financial ratio analysis since we will </w:t>
      </w:r>
      <w:r>
        <w:lastRenderedPageBreak/>
        <w:t>project financial statements based on histori</w:t>
      </w:r>
      <w:r>
        <w:t>cal data. Financial statements from numerous websites are the main secondary data sources for this study. </w:t>
      </w:r>
    </w:p>
    <w:p w:rsidR="00D357EA" w:rsidRDefault="00AE370D">
      <w:pPr>
        <w:pStyle w:val="NoSpacing"/>
        <w:rPr>
          <w:rFonts w:ascii="Times New Roman" w:hAnsi="Times New Roman" w:cs="Times New Roman"/>
          <w:b/>
          <w:sz w:val="32"/>
        </w:rPr>
      </w:pPr>
      <w:r>
        <w:rPr>
          <w:rFonts w:ascii="Times New Roman" w:hAnsi="Times New Roman" w:cs="Times New Roman"/>
          <w:b/>
          <w:sz w:val="32"/>
        </w:rPr>
        <w:t>Data analyses in operating actives.</w:t>
      </w:r>
    </w:p>
    <w:tbl>
      <w:tblPr>
        <w:tblStyle w:val="TableGrid"/>
        <w:tblpPr w:leftFromText="180" w:rightFromText="180" w:vertAnchor="text" w:horzAnchor="margin" w:tblpXSpec="center" w:tblpY="211"/>
        <w:tblW w:w="0" w:type="auto"/>
        <w:tblLook w:val="04A0"/>
      </w:tblPr>
      <w:tblGrid>
        <w:gridCol w:w="2331"/>
        <w:gridCol w:w="3215"/>
      </w:tblGrid>
      <w:tr w:rsidR="00D357EA">
        <w:trPr>
          <w:trHeight w:val="364"/>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Year</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Operating activities</w:t>
            </w:r>
          </w:p>
        </w:tc>
      </w:tr>
      <w:tr w:rsidR="00D357EA">
        <w:trPr>
          <w:trHeight w:val="381"/>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2019</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3,77,03,212</w:t>
            </w:r>
          </w:p>
        </w:tc>
      </w:tr>
      <w:tr w:rsidR="00D357EA">
        <w:trPr>
          <w:trHeight w:val="364"/>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2020</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21,15,19,459</w:t>
            </w:r>
          </w:p>
        </w:tc>
      </w:tr>
      <w:tr w:rsidR="00D357EA">
        <w:trPr>
          <w:trHeight w:val="364"/>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2021</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121,405,212</w:t>
            </w:r>
          </w:p>
        </w:tc>
      </w:tr>
      <w:tr w:rsidR="00D357EA">
        <w:trPr>
          <w:trHeight w:val="364"/>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2022</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3,28,639</w:t>
            </w:r>
          </w:p>
        </w:tc>
      </w:tr>
      <w:tr w:rsidR="00D357EA">
        <w:trPr>
          <w:trHeight w:val="381"/>
        </w:trPr>
        <w:tc>
          <w:tcPr>
            <w:tcW w:w="2331"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2023</w:t>
            </w:r>
          </w:p>
        </w:tc>
        <w:tc>
          <w:tcPr>
            <w:tcW w:w="3215" w:type="dxa"/>
          </w:tcPr>
          <w:p w:rsidR="00D357EA" w:rsidRDefault="00AE370D">
            <w:pPr>
              <w:pStyle w:val="NoSpacing"/>
              <w:jc w:val="center"/>
              <w:rPr>
                <w:rFonts w:ascii="Times New Roman" w:hAnsi="Times New Roman" w:cs="Times New Roman"/>
                <w:sz w:val="32"/>
                <w:shd w:val="clear" w:color="auto" w:fill="FFFFFF"/>
              </w:rPr>
            </w:pPr>
            <w:r>
              <w:rPr>
                <w:rFonts w:ascii="Times New Roman" w:hAnsi="Times New Roman" w:cs="Times New Roman"/>
                <w:sz w:val="32"/>
                <w:shd w:val="clear" w:color="auto" w:fill="FFFFFF"/>
              </w:rPr>
              <w:t>3,37,547</w:t>
            </w:r>
          </w:p>
        </w:tc>
      </w:tr>
    </w:tbl>
    <w:p w:rsidR="00D357EA" w:rsidRDefault="00D357EA">
      <w:pPr>
        <w:pStyle w:val="NoSpacing"/>
        <w:rPr>
          <w:rFonts w:ascii="Times New Roman" w:hAnsi="Times New Roman" w:cs="Times New Roman"/>
          <w:sz w:val="32"/>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D357EA">
      <w:pPr>
        <w:pStyle w:val="NoSpacing"/>
        <w:rPr>
          <w:rFonts w:ascii="Times New Roman" w:hAnsi="Times New Roman" w:cs="Times New Roman"/>
          <w:sz w:val="32"/>
          <w:shd w:val="clear" w:color="auto" w:fill="FFFFFF"/>
        </w:rPr>
      </w:pPr>
    </w:p>
    <w:p w:rsidR="00D357EA" w:rsidRDefault="00AE370D">
      <w:pPr>
        <w:pStyle w:val="NoSpacing"/>
        <w:rPr>
          <w:rFonts w:ascii="Times New Roman" w:hAnsi="Times New Roman" w:cs="Times New Roman"/>
          <w:b/>
          <w:bCs/>
          <w:sz w:val="32"/>
          <w:shd w:val="clear" w:color="auto" w:fill="FFFFFF"/>
        </w:rPr>
      </w:pPr>
      <w:r>
        <w:rPr>
          <w:rFonts w:ascii="Times New Roman" w:hAnsi="Times New Roman" w:cs="Times New Roman"/>
          <w:b/>
          <w:bCs/>
          <w:sz w:val="32"/>
          <w:shd w:val="clear" w:color="auto" w:fill="FFFFFF"/>
        </w:rPr>
        <w:t>Interpretation</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Trends: There was a significant increase in operating activities from 2019 to 2021, followed by a notable decrease in 2022 and a modest recovery in 2023.</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Factors: Factors influencing these changes could include economic conditions, </w:t>
      </w:r>
      <w:r>
        <w:rPr>
          <w:rFonts w:ascii="Times New Roman" w:hAnsi="Times New Roman" w:cs="Times New Roman"/>
          <w:sz w:val="24"/>
          <w:shd w:val="clear" w:color="auto" w:fill="FFFFFF"/>
        </w:rPr>
        <w:t>business strategies, market demand, and internal operational decisions.</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Analysis: Analyzing these figures helps in understanding the financial health, growth trajectory, and resilience of the company over these years.</w:t>
      </w:r>
    </w:p>
    <w:p w:rsidR="00D357EA" w:rsidRDefault="00AE370D">
      <w:pPr>
        <w:pStyle w:val="NoSpacing"/>
        <w:spacing w:line="360" w:lineRule="auto"/>
        <w:rPr>
          <w:rFonts w:ascii="Times New Roman" w:hAnsi="Times New Roman" w:cs="Times New Roman"/>
          <w:b/>
          <w:sz w:val="32"/>
          <w:shd w:val="clear" w:color="auto" w:fill="FFFFFF"/>
        </w:rPr>
      </w:pPr>
      <w:r>
        <w:rPr>
          <w:rFonts w:ascii="Times New Roman" w:hAnsi="Times New Roman" w:cs="Times New Roman"/>
          <w:b/>
          <w:sz w:val="32"/>
          <w:shd w:val="clear" w:color="auto" w:fill="FFFFFF"/>
        </w:rPr>
        <w:t>Data analyses investing actives</w:t>
      </w:r>
    </w:p>
    <w:tbl>
      <w:tblPr>
        <w:tblStyle w:val="TableGrid"/>
        <w:tblW w:w="0" w:type="auto"/>
        <w:tblLook w:val="04A0"/>
      </w:tblPr>
      <w:tblGrid>
        <w:gridCol w:w="4788"/>
        <w:gridCol w:w="4788"/>
      </w:tblGrid>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Year</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Investing activies</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2019</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-1,53,113</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-1,56,545</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2021</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-51,12,789</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2022</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-71,86,595</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2023</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1,24,19,705</w:t>
            </w:r>
          </w:p>
        </w:tc>
      </w:tr>
    </w:tbl>
    <w:p w:rsidR="00D357EA" w:rsidRDefault="00AE370D">
      <w:pPr>
        <w:pStyle w:val="NoSpacing"/>
        <w:spacing w:line="360" w:lineRule="auto"/>
        <w:rPr>
          <w:rFonts w:ascii="Times New Roman" w:hAnsi="Times New Roman" w:cs="Times New Roman"/>
          <w:b/>
          <w:bCs/>
          <w:sz w:val="32"/>
          <w:shd w:val="clear" w:color="auto" w:fill="FFFFFF"/>
        </w:rPr>
      </w:pPr>
      <w:r>
        <w:rPr>
          <w:rFonts w:ascii="Times New Roman" w:hAnsi="Times New Roman" w:cs="Times New Roman"/>
          <w:b/>
          <w:bCs/>
          <w:sz w:val="32"/>
          <w:shd w:val="clear" w:color="auto" w:fill="FFFFFF"/>
        </w:rPr>
        <w:t>Interpretation</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Investment Trends: The company consistently made significant investments in 2019, 2020, 2021, and 2022, primarily in acquiring long-term</w:t>
      </w:r>
      <w:r>
        <w:rPr>
          <w:rFonts w:ascii="Times New Roman" w:hAnsi="Times New Roman" w:cs="Times New Roman"/>
          <w:sz w:val="24"/>
          <w:shd w:val="clear" w:color="auto" w:fill="FFFFFF"/>
        </w:rPr>
        <w:t xml:space="preserve"> assets.</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Financial Strategy: The large negative figures in 2021 and 2022 suggest substantial capital expenditures, possibly aimed at growth and expansion.</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2023 Anomaly: The positive figure in 2023 suggests that the company may have realized gains from its </w:t>
      </w:r>
      <w:r>
        <w:rPr>
          <w:rFonts w:ascii="Times New Roman" w:hAnsi="Times New Roman" w:cs="Times New Roman"/>
          <w:sz w:val="24"/>
          <w:shd w:val="clear" w:color="auto" w:fill="FFFFFF"/>
        </w:rPr>
        <w:t>investments or disposed of assets that resulted in a positive impact on its cash flow from investing activities.</w:t>
      </w:r>
    </w:p>
    <w:p w:rsidR="00D357EA" w:rsidRDefault="00AE370D">
      <w:pPr>
        <w:pStyle w:val="NoSpacing"/>
        <w:spacing w:line="360" w:lineRule="auto"/>
        <w:rPr>
          <w:rFonts w:ascii="Times New Roman" w:hAnsi="Times New Roman" w:cs="Times New Roman"/>
          <w:b/>
          <w:sz w:val="32"/>
          <w:shd w:val="clear" w:color="auto" w:fill="FFFFFF"/>
        </w:rPr>
      </w:pPr>
      <w:r>
        <w:rPr>
          <w:rFonts w:ascii="Times New Roman" w:hAnsi="Times New Roman" w:cs="Times New Roman"/>
          <w:b/>
          <w:sz w:val="32"/>
          <w:shd w:val="clear" w:color="auto" w:fill="FFFFFF"/>
        </w:rPr>
        <w:t>Data analyses financing actives</w:t>
      </w:r>
    </w:p>
    <w:tbl>
      <w:tblPr>
        <w:tblStyle w:val="TableGrid"/>
        <w:tblW w:w="0" w:type="auto"/>
        <w:tblLook w:val="04A0"/>
      </w:tblPr>
      <w:tblGrid>
        <w:gridCol w:w="4788"/>
        <w:gridCol w:w="4788"/>
      </w:tblGrid>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 xml:space="preserve">Year </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 xml:space="preserve">Financing activities </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2019</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3,17,689</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2020</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5,37,736</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2021</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5,19,80,097,</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2022</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3,10,71,667</w:t>
            </w:r>
          </w:p>
        </w:tc>
      </w:tr>
      <w:tr w:rsidR="00D357EA">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2023</w:t>
            </w:r>
          </w:p>
        </w:tc>
        <w:tc>
          <w:tcPr>
            <w:tcW w:w="4788" w:type="dxa"/>
          </w:tcPr>
          <w:p w:rsidR="00D357EA" w:rsidRDefault="00AE370D">
            <w:pPr>
              <w:pStyle w:val="NoSpacing"/>
              <w:spacing w:line="360" w:lineRule="auto"/>
              <w:rPr>
                <w:rFonts w:ascii="Times New Roman" w:hAnsi="Times New Roman" w:cs="Times New Roman"/>
                <w:sz w:val="32"/>
                <w:shd w:val="clear" w:color="auto" w:fill="FFFFFF"/>
              </w:rPr>
            </w:pPr>
            <w:r>
              <w:rPr>
                <w:rFonts w:ascii="Times New Roman" w:hAnsi="Times New Roman" w:cs="Times New Roman"/>
                <w:sz w:val="32"/>
                <w:shd w:val="clear" w:color="auto" w:fill="FFFFFF"/>
              </w:rPr>
              <w:t>3,97,81,093</w:t>
            </w:r>
          </w:p>
        </w:tc>
      </w:tr>
    </w:tbl>
    <w:p w:rsidR="00D357EA" w:rsidRDefault="00D357EA">
      <w:pPr>
        <w:pStyle w:val="NoSpacing"/>
        <w:spacing w:line="360" w:lineRule="auto"/>
        <w:rPr>
          <w:rFonts w:ascii="Times New Roman" w:hAnsi="Times New Roman" w:cs="Times New Roman"/>
          <w:sz w:val="32"/>
          <w:shd w:val="clear" w:color="auto" w:fill="FFFFFF"/>
        </w:rPr>
      </w:pPr>
    </w:p>
    <w:p w:rsidR="00D357EA" w:rsidRDefault="00AE370D">
      <w:pPr>
        <w:pStyle w:val="NoSpacing"/>
        <w:spacing w:line="360" w:lineRule="auto"/>
        <w:rPr>
          <w:rFonts w:ascii="Times New Roman" w:hAnsi="Times New Roman" w:cs="Times New Roman"/>
          <w:b/>
          <w:bCs/>
          <w:sz w:val="32"/>
          <w:shd w:val="clear" w:color="auto" w:fill="FFFFFF"/>
        </w:rPr>
      </w:pPr>
      <w:r>
        <w:rPr>
          <w:rFonts w:ascii="Times New Roman" w:hAnsi="Times New Roman" w:cs="Times New Roman"/>
          <w:b/>
          <w:bCs/>
          <w:sz w:val="32"/>
          <w:shd w:val="clear" w:color="auto" w:fill="FFFFFF"/>
        </w:rPr>
        <w:t>Interpretation</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Trends: There was a significant spike in financing activities in 2021, possibly due to large-scale financing events. The subsequent years (2022 and 2023) show fluctuations, with 2023 seeing an increase again.</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Financial Strategy</w:t>
      </w:r>
      <w:r>
        <w:rPr>
          <w:rFonts w:ascii="Times New Roman" w:hAnsi="Times New Roman" w:cs="Times New Roman"/>
          <w:sz w:val="24"/>
          <w:shd w:val="clear" w:color="auto" w:fill="FFFFFF"/>
        </w:rPr>
        <w:t>: The fluctuations in financing activities can reflect the company's strategies in managing its capital structure, raising funds for operations or expansion, and adjusting its financial leverage over time.</w:t>
      </w:r>
    </w:p>
    <w:p w:rsidR="00D357EA" w:rsidRDefault="00AE370D">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Impact on Financial Statements: These figures impa</w:t>
      </w:r>
      <w:r>
        <w:rPr>
          <w:rFonts w:ascii="Times New Roman" w:hAnsi="Times New Roman" w:cs="Times New Roman"/>
          <w:sz w:val="24"/>
          <w:shd w:val="clear" w:color="auto" w:fill="FFFFFF"/>
        </w:rPr>
        <w:t>ct the company's cash flow statement and balance sheet, influencing its liquidity, solvency, and overall financial health.</w:t>
      </w:r>
    </w:p>
    <w:p w:rsidR="00D357EA" w:rsidRDefault="00AE370D">
      <w:pPr>
        <w:pStyle w:val="NoSpacing"/>
        <w:spacing w:line="360" w:lineRule="auto"/>
        <w:rPr>
          <w:rFonts w:ascii="Times New Roman" w:hAnsi="Times New Roman" w:cs="Times New Roman"/>
          <w:sz w:val="28"/>
          <w:szCs w:val="28"/>
          <w:shd w:val="clear" w:color="auto" w:fill="FFFFFF"/>
        </w:rPr>
      </w:pPr>
      <w:r>
        <w:rPr>
          <w:rFonts w:ascii="Times New Roman" w:hAnsi="Times New Roman" w:cs="Times New Roman"/>
          <w:b/>
          <w:bCs/>
          <w:sz w:val="32"/>
          <w:szCs w:val="32"/>
          <w:shd w:val="clear" w:color="auto" w:fill="FFFFFF"/>
        </w:rPr>
        <w:t>Findings</w:t>
      </w:r>
    </w:p>
    <w:p w:rsidR="00C76667" w:rsidRDefault="00AE370D" w:rsidP="00C76667">
      <w:pPr>
        <w:pStyle w:val="NoSpacing"/>
        <w:numPr>
          <w:ilvl w:val="0"/>
          <w:numId w:val="7"/>
        </w:numPr>
        <w:spacing w:line="360" w:lineRule="auto"/>
        <w:rPr>
          <w:rFonts w:ascii="Times New Roman" w:hAnsi="Times New Roman" w:cs="Times New Roman"/>
          <w:sz w:val="28"/>
          <w:szCs w:val="28"/>
          <w:shd w:val="clear" w:color="auto" w:fill="FFFFFF"/>
        </w:rPr>
      </w:pPr>
      <w:r>
        <w:rPr>
          <w:rFonts w:ascii="Times New Roman" w:hAnsi="Times New Roman" w:cs="Times New Roman"/>
          <w:sz w:val="24"/>
          <w:szCs w:val="28"/>
          <w:shd w:val="clear" w:color="auto" w:fill="FFFFFF"/>
        </w:rPr>
        <w:t xml:space="preserve">These fluctuations suggest varying responses to economic conditions, shifts in business strategies, changes in market demand, and internal operational decisions during this period. </w:t>
      </w:r>
    </w:p>
    <w:p w:rsidR="00D357EA" w:rsidRPr="00C76667" w:rsidRDefault="00AE370D" w:rsidP="00C76667">
      <w:pPr>
        <w:pStyle w:val="NoSpacing"/>
        <w:numPr>
          <w:ilvl w:val="0"/>
          <w:numId w:val="7"/>
        </w:numPr>
        <w:spacing w:line="360" w:lineRule="auto"/>
        <w:rPr>
          <w:rFonts w:ascii="Times New Roman" w:hAnsi="Times New Roman" w:cs="Times New Roman"/>
          <w:sz w:val="28"/>
          <w:szCs w:val="28"/>
          <w:shd w:val="clear" w:color="auto" w:fill="FFFFFF"/>
        </w:rPr>
      </w:pPr>
      <w:r w:rsidRPr="00C76667">
        <w:rPr>
          <w:rFonts w:ascii="Times New Roman" w:hAnsi="Times New Roman" w:cs="Times New Roman"/>
          <w:sz w:val="28"/>
          <w:szCs w:val="28"/>
          <w:shd w:val="clear" w:color="auto" w:fill="FFFFFF"/>
        </w:rPr>
        <w:lastRenderedPageBreak/>
        <w:t>This trend suggests that the company is navigating its investment strateg</w:t>
      </w:r>
      <w:r w:rsidRPr="00C76667">
        <w:rPr>
          <w:rFonts w:ascii="Times New Roman" w:hAnsi="Times New Roman" w:cs="Times New Roman"/>
          <w:sz w:val="28"/>
          <w:szCs w:val="28"/>
          <w:shd w:val="clear" w:color="auto" w:fill="FFFFFF"/>
        </w:rPr>
        <w:t>y effectively to achieve growth and enhance its financial position.</w:t>
      </w:r>
    </w:p>
    <w:p w:rsidR="00D357EA" w:rsidRDefault="00AE370D" w:rsidP="00E2002D">
      <w:pPr>
        <w:pStyle w:val="NoSpacing"/>
        <w:numPr>
          <w:ilvl w:val="0"/>
          <w:numId w:val="7"/>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The company's financing activities in recent years illustrate its dynamic approach to managing capital and responding to market conditions. </w:t>
      </w:r>
    </w:p>
    <w:p w:rsidR="00D357EA" w:rsidRDefault="00AE370D" w:rsidP="00E2002D">
      <w:pPr>
        <w:pStyle w:val="NoSpacing"/>
        <w:numPr>
          <w:ilvl w:val="0"/>
          <w:numId w:val="7"/>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These activities have significant implications </w:t>
      </w:r>
      <w:r>
        <w:rPr>
          <w:rFonts w:ascii="Times New Roman" w:hAnsi="Times New Roman" w:cs="Times New Roman"/>
          <w:sz w:val="28"/>
          <w:szCs w:val="28"/>
          <w:shd w:val="clear" w:color="auto" w:fill="FFFFFF"/>
        </w:rPr>
        <w:t>for its financial statements, affecting liquidity, solvency, and strategic flexibility</w:t>
      </w:r>
    </w:p>
    <w:p w:rsidR="00E2002D" w:rsidRDefault="00E2002D">
      <w:pPr>
        <w:pStyle w:val="NoSpacing"/>
        <w:spacing w:line="360" w:lineRule="auto"/>
        <w:rPr>
          <w:rFonts w:ascii="Times New Roman" w:hAnsi="Times New Roman" w:cs="Times New Roman"/>
          <w:b/>
          <w:bCs/>
          <w:sz w:val="36"/>
          <w:szCs w:val="36"/>
          <w:shd w:val="clear" w:color="auto" w:fill="FFFFFF"/>
        </w:rPr>
      </w:pPr>
    </w:p>
    <w:p w:rsidR="00D357EA" w:rsidRDefault="00AE370D">
      <w:pPr>
        <w:pStyle w:val="NoSpacing"/>
        <w:spacing w:line="360" w:lineRule="auto"/>
        <w:rPr>
          <w:rFonts w:ascii="Times New Roman" w:hAnsi="Times New Roman" w:cs="Times New Roman"/>
          <w:sz w:val="32"/>
          <w:szCs w:val="32"/>
          <w:shd w:val="clear" w:color="auto" w:fill="FFFFFF"/>
        </w:rPr>
      </w:pPr>
      <w:r>
        <w:rPr>
          <w:rFonts w:ascii="Times New Roman" w:hAnsi="Times New Roman" w:cs="Times New Roman"/>
          <w:b/>
          <w:bCs/>
          <w:sz w:val="36"/>
          <w:szCs w:val="36"/>
          <w:shd w:val="clear" w:color="auto" w:fill="FFFFFF"/>
        </w:rPr>
        <w:t>Suggestions</w:t>
      </w:r>
    </w:p>
    <w:p w:rsidR="00D357EA" w:rsidRPr="000B07A7" w:rsidRDefault="00AE370D" w:rsidP="000B07A7">
      <w:pPr>
        <w:pStyle w:val="NoSpacing"/>
        <w:numPr>
          <w:ilvl w:val="0"/>
          <w:numId w:val="8"/>
        </w:numPr>
        <w:spacing w:line="360" w:lineRule="auto"/>
        <w:jc w:val="both"/>
        <w:rPr>
          <w:rFonts w:ascii="Times New Roman" w:hAnsi="Times New Roman" w:cs="Times New Roman"/>
          <w:sz w:val="24"/>
          <w:szCs w:val="24"/>
          <w:shd w:val="clear" w:color="auto" w:fill="FFFFFF"/>
        </w:rPr>
      </w:pPr>
      <w:r w:rsidRPr="000B07A7">
        <w:rPr>
          <w:rFonts w:ascii="Times New Roman" w:hAnsi="Times New Roman" w:cs="Times New Roman"/>
          <w:sz w:val="24"/>
          <w:szCs w:val="24"/>
          <w:shd w:val="clear" w:color="auto" w:fill="FFFFFF"/>
        </w:rPr>
        <w:t>By focusing on these areas, the company can navigate the fluctuations in financing activities more effectively,</w:t>
      </w:r>
    </w:p>
    <w:p w:rsidR="00D357EA" w:rsidRPr="000B07A7" w:rsidRDefault="00AE370D" w:rsidP="000B07A7">
      <w:pPr>
        <w:pStyle w:val="NoSpacing"/>
        <w:numPr>
          <w:ilvl w:val="0"/>
          <w:numId w:val="8"/>
        </w:numPr>
        <w:spacing w:line="360" w:lineRule="auto"/>
        <w:jc w:val="both"/>
        <w:rPr>
          <w:rFonts w:ascii="Times New Roman" w:hAnsi="Times New Roman" w:cs="Times New Roman"/>
          <w:sz w:val="24"/>
          <w:szCs w:val="24"/>
          <w:shd w:val="clear" w:color="auto" w:fill="FFFFFF"/>
        </w:rPr>
      </w:pPr>
      <w:r w:rsidRPr="000B07A7">
        <w:rPr>
          <w:rFonts w:ascii="Times New Roman" w:hAnsi="Times New Roman" w:cs="Times New Roman"/>
          <w:sz w:val="24"/>
          <w:szCs w:val="24"/>
          <w:shd w:val="clear" w:color="auto" w:fill="FFFFFF"/>
        </w:rPr>
        <w:t>optimize its financial structure, and strengthen its overall financial health and resilience.</w:t>
      </w:r>
    </w:p>
    <w:p w:rsidR="00D357EA" w:rsidRPr="000B07A7" w:rsidRDefault="00AE370D" w:rsidP="000B07A7">
      <w:pPr>
        <w:pStyle w:val="NoSpacing"/>
        <w:numPr>
          <w:ilvl w:val="0"/>
          <w:numId w:val="8"/>
        </w:numPr>
        <w:spacing w:line="360" w:lineRule="auto"/>
        <w:jc w:val="both"/>
        <w:rPr>
          <w:rFonts w:ascii="Times New Roman" w:hAnsi="Times New Roman" w:cs="Times New Roman"/>
          <w:sz w:val="24"/>
          <w:szCs w:val="24"/>
          <w:shd w:val="clear" w:color="auto" w:fill="FFFFFF"/>
        </w:rPr>
      </w:pPr>
      <w:r w:rsidRPr="000B07A7">
        <w:rPr>
          <w:rFonts w:ascii="Times New Roman" w:hAnsi="Times New Roman" w:cs="Times New Roman"/>
          <w:sz w:val="24"/>
          <w:szCs w:val="24"/>
          <w:shd w:val="clear" w:color="auto" w:fill="FFFFFF"/>
        </w:rPr>
        <w:t>By focusing on these areas, you can gain deeper insights into the drivers of operating activity changes and make informed decisions to support the company's fina</w:t>
      </w:r>
      <w:r w:rsidRPr="000B07A7">
        <w:rPr>
          <w:rFonts w:ascii="Times New Roman" w:hAnsi="Times New Roman" w:cs="Times New Roman"/>
          <w:sz w:val="24"/>
          <w:szCs w:val="24"/>
          <w:shd w:val="clear" w:color="auto" w:fill="FFFFFF"/>
        </w:rPr>
        <w:t>ncial health and growth trajectory.</w:t>
      </w:r>
    </w:p>
    <w:p w:rsidR="00E2002D" w:rsidRPr="000B07A7" w:rsidRDefault="00AE370D" w:rsidP="000B07A7">
      <w:pPr>
        <w:pStyle w:val="NoSpacing"/>
        <w:numPr>
          <w:ilvl w:val="0"/>
          <w:numId w:val="8"/>
        </w:numPr>
        <w:spacing w:line="360" w:lineRule="auto"/>
        <w:jc w:val="both"/>
        <w:rPr>
          <w:rFonts w:ascii="Times New Roman" w:hAnsi="Times New Roman" w:cs="Times New Roman"/>
          <w:sz w:val="24"/>
          <w:szCs w:val="24"/>
          <w:shd w:val="clear" w:color="auto" w:fill="FFFFFF"/>
        </w:rPr>
      </w:pPr>
      <w:r w:rsidRPr="000B07A7">
        <w:rPr>
          <w:rFonts w:ascii="Times New Roman" w:hAnsi="Times New Roman" w:cs="Times New Roman"/>
          <w:sz w:val="24"/>
          <w:szCs w:val="24"/>
          <w:shd w:val="clear" w:color="auto" w:fill="FFFFFF"/>
        </w:rPr>
        <w:t>By delving deeper into these suggestions, you can gain a more comprehensive understanding of the company's financial health, optimize operational efficiency, and strengthen strategic decision-making for the future</w:t>
      </w:r>
      <w:r w:rsidR="00E2002D" w:rsidRPr="000B07A7">
        <w:rPr>
          <w:rFonts w:ascii="Times New Roman" w:hAnsi="Times New Roman" w:cs="Times New Roman"/>
          <w:sz w:val="24"/>
          <w:szCs w:val="24"/>
          <w:shd w:val="clear" w:color="auto" w:fill="FFFFFF"/>
        </w:rPr>
        <w:t>.</w:t>
      </w:r>
    </w:p>
    <w:p w:rsidR="00E2002D" w:rsidRPr="00E2002D" w:rsidRDefault="00E2002D" w:rsidP="00E2002D">
      <w:pPr>
        <w:pStyle w:val="NoSpacing"/>
        <w:spacing w:line="360" w:lineRule="auto"/>
        <w:ind w:left="720"/>
        <w:rPr>
          <w:rFonts w:ascii="Times New Roman" w:hAnsi="Times New Roman" w:cs="Times New Roman"/>
          <w:b/>
          <w:sz w:val="28"/>
          <w:szCs w:val="28"/>
          <w:shd w:val="clear" w:color="auto" w:fill="FFFFFF"/>
        </w:rPr>
      </w:pPr>
      <w:r w:rsidRPr="00E2002D">
        <w:rPr>
          <w:rFonts w:ascii="Times New Roman" w:hAnsi="Times New Roman" w:cs="Times New Roman"/>
          <w:b/>
          <w:sz w:val="28"/>
          <w:szCs w:val="28"/>
          <w:shd w:val="clear" w:color="auto" w:fill="FFFFFF"/>
        </w:rPr>
        <w:t>REFERENCES</w:t>
      </w:r>
    </w:p>
    <w:p w:rsidR="00D357EA" w:rsidRPr="000B07A7" w:rsidRDefault="00E2002D" w:rsidP="00E2002D">
      <w:pPr>
        <w:pStyle w:val="ListParagraph"/>
        <w:numPr>
          <w:ilvl w:val="0"/>
          <w:numId w:val="9"/>
        </w:numPr>
        <w:spacing w:before="43" w:after="0" w:line="240"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shd w:val="clear" w:color="auto" w:fill="FFFFFF"/>
        </w:rPr>
        <w:t>Nagakumari</w:t>
      </w:r>
      <w:proofErr w:type="spellEnd"/>
      <w:r w:rsidRPr="000B07A7">
        <w:rPr>
          <w:rFonts w:ascii="Times New Roman" w:hAnsi="Times New Roman" w:cs="Times New Roman"/>
          <w:sz w:val="24"/>
          <w:szCs w:val="24"/>
          <w:shd w:val="clear" w:color="auto" w:fill="FFFFFF"/>
        </w:rPr>
        <w:t xml:space="preserve">, M. Y., &amp; </w:t>
      </w:r>
      <w:proofErr w:type="spellStart"/>
      <w:r w:rsidRPr="000B07A7">
        <w:rPr>
          <w:rFonts w:ascii="Times New Roman" w:hAnsi="Times New Roman" w:cs="Times New Roman"/>
          <w:sz w:val="24"/>
          <w:szCs w:val="24"/>
          <w:shd w:val="clear" w:color="auto" w:fill="FFFFFF"/>
        </w:rPr>
        <w:t>Pujitha</w:t>
      </w:r>
      <w:proofErr w:type="spellEnd"/>
      <w:r w:rsidRPr="000B07A7">
        <w:rPr>
          <w:rFonts w:ascii="Times New Roman" w:hAnsi="Times New Roman" w:cs="Times New Roman"/>
          <w:sz w:val="24"/>
          <w:szCs w:val="24"/>
          <w:shd w:val="clear" w:color="auto" w:fill="FFFFFF"/>
        </w:rPr>
        <w:t>, M. C. N. (2021). Employee Welfare Measures in Manufacturing Industry. </w:t>
      </w:r>
      <w:r w:rsidRPr="000B07A7">
        <w:rPr>
          <w:rFonts w:ascii="Times New Roman" w:hAnsi="Times New Roman" w:cs="Times New Roman"/>
          <w:iCs/>
          <w:sz w:val="24"/>
          <w:szCs w:val="24"/>
          <w:shd w:val="clear" w:color="auto" w:fill="FFFFFF"/>
        </w:rPr>
        <w:t>The International journal of analytical and experimental modal analysis</w:t>
      </w:r>
      <w:r w:rsidRPr="000B07A7">
        <w:rPr>
          <w:rFonts w:ascii="Times New Roman" w:hAnsi="Times New Roman" w:cs="Times New Roman"/>
          <w:sz w:val="24"/>
          <w:szCs w:val="24"/>
          <w:shd w:val="clear" w:color="auto" w:fill="FFFFFF"/>
        </w:rPr>
        <w:t>, </w:t>
      </w:r>
      <w:r w:rsidRPr="000B07A7">
        <w:rPr>
          <w:rFonts w:ascii="Times New Roman" w:hAnsi="Times New Roman" w:cs="Times New Roman"/>
          <w:iCs/>
          <w:sz w:val="24"/>
          <w:szCs w:val="24"/>
          <w:shd w:val="clear" w:color="auto" w:fill="FFFFFF"/>
        </w:rPr>
        <w:t>13</w:t>
      </w:r>
      <w:r w:rsidRPr="000B07A7">
        <w:rPr>
          <w:rFonts w:ascii="Times New Roman" w:hAnsi="Times New Roman" w:cs="Times New Roman"/>
          <w:sz w:val="24"/>
          <w:szCs w:val="24"/>
          <w:shd w:val="clear" w:color="auto" w:fill="FFFFFF"/>
        </w:rPr>
        <w:t>(8), 1153-1162.</w:t>
      </w:r>
    </w:p>
    <w:p w:rsidR="00E2002D" w:rsidRPr="000B07A7" w:rsidRDefault="00E2002D" w:rsidP="00E2002D">
      <w:pPr>
        <w:pStyle w:val="ListParagraph"/>
        <w:numPr>
          <w:ilvl w:val="0"/>
          <w:numId w:val="9"/>
        </w:numPr>
        <w:spacing w:before="43" w:after="0" w:line="240"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shd w:val="clear" w:color="auto" w:fill="FFFFFF"/>
        </w:rPr>
        <w:t>Raju</w:t>
      </w:r>
      <w:proofErr w:type="spellEnd"/>
      <w:r w:rsidRPr="000B07A7">
        <w:rPr>
          <w:rFonts w:ascii="Times New Roman" w:hAnsi="Times New Roman" w:cs="Times New Roman"/>
          <w:sz w:val="24"/>
          <w:szCs w:val="24"/>
          <w:shd w:val="clear" w:color="auto" w:fill="FFFFFF"/>
        </w:rPr>
        <w:t xml:space="preserve">, P. V. M., </w:t>
      </w:r>
      <w:proofErr w:type="spellStart"/>
      <w:r w:rsidRPr="000B07A7">
        <w:rPr>
          <w:rFonts w:ascii="Times New Roman" w:hAnsi="Times New Roman" w:cs="Times New Roman"/>
          <w:sz w:val="24"/>
          <w:szCs w:val="24"/>
          <w:shd w:val="clear" w:color="auto" w:fill="FFFFFF"/>
        </w:rPr>
        <w:t>PrudhviRaj</w:t>
      </w:r>
      <w:proofErr w:type="spellEnd"/>
      <w:r w:rsidRPr="000B07A7">
        <w:rPr>
          <w:rFonts w:ascii="Times New Roman" w:hAnsi="Times New Roman" w:cs="Times New Roman"/>
          <w:sz w:val="24"/>
          <w:szCs w:val="24"/>
          <w:shd w:val="clear" w:color="auto" w:fill="FFFFFF"/>
        </w:rPr>
        <w:t xml:space="preserve">, K., </w:t>
      </w:r>
      <w:proofErr w:type="spellStart"/>
      <w:r w:rsidRPr="000B07A7">
        <w:rPr>
          <w:rFonts w:ascii="Times New Roman" w:hAnsi="Times New Roman" w:cs="Times New Roman"/>
          <w:sz w:val="24"/>
          <w:szCs w:val="24"/>
          <w:shd w:val="clear" w:color="auto" w:fill="FFFFFF"/>
        </w:rPr>
        <w:t>Madhavi</w:t>
      </w:r>
      <w:proofErr w:type="spellEnd"/>
      <w:r w:rsidRPr="000B07A7">
        <w:rPr>
          <w:rFonts w:ascii="Times New Roman" w:hAnsi="Times New Roman" w:cs="Times New Roman"/>
          <w:sz w:val="24"/>
          <w:szCs w:val="24"/>
          <w:shd w:val="clear" w:color="auto" w:fill="FFFFFF"/>
        </w:rPr>
        <w:t xml:space="preserve">, S., &amp; </w:t>
      </w:r>
      <w:proofErr w:type="spellStart"/>
      <w:r w:rsidRPr="000B07A7">
        <w:rPr>
          <w:rFonts w:ascii="Times New Roman" w:hAnsi="Times New Roman" w:cs="Times New Roman"/>
          <w:sz w:val="24"/>
          <w:szCs w:val="24"/>
          <w:shd w:val="clear" w:color="auto" w:fill="FFFFFF"/>
        </w:rPr>
        <w:t>Nagakumari</w:t>
      </w:r>
      <w:proofErr w:type="spellEnd"/>
      <w:r w:rsidRPr="000B07A7">
        <w:rPr>
          <w:rFonts w:ascii="Times New Roman" w:hAnsi="Times New Roman" w:cs="Times New Roman"/>
          <w:sz w:val="24"/>
          <w:szCs w:val="24"/>
          <w:shd w:val="clear" w:color="auto" w:fill="FFFFFF"/>
        </w:rPr>
        <w:t>, Y. V. Sustainable Entrepreneurship Innovation and its challenges in India.</w:t>
      </w:r>
    </w:p>
    <w:p w:rsidR="004008CA" w:rsidRPr="000B07A7" w:rsidRDefault="004008CA" w:rsidP="004008CA">
      <w:pPr>
        <w:pStyle w:val="ListParagraph"/>
        <w:numPr>
          <w:ilvl w:val="0"/>
          <w:numId w:val="9"/>
        </w:numPr>
        <w:spacing w:before="43" w:after="0" w:line="240"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shd w:val="clear" w:color="auto" w:fill="FFFFFF"/>
        </w:rPr>
        <w:t>Susmitha</w:t>
      </w:r>
      <w:proofErr w:type="spellEnd"/>
      <w:r w:rsidRPr="000B07A7">
        <w:rPr>
          <w:rFonts w:ascii="Times New Roman" w:hAnsi="Times New Roman" w:cs="Times New Roman"/>
          <w:sz w:val="24"/>
          <w:szCs w:val="24"/>
          <w:shd w:val="clear" w:color="auto" w:fill="FFFFFF"/>
        </w:rPr>
        <w:t xml:space="preserve">, K., </w:t>
      </w:r>
      <w:proofErr w:type="spellStart"/>
      <w:r w:rsidRPr="000B07A7">
        <w:rPr>
          <w:rFonts w:ascii="Times New Roman" w:hAnsi="Times New Roman" w:cs="Times New Roman"/>
          <w:sz w:val="24"/>
          <w:szCs w:val="24"/>
          <w:shd w:val="clear" w:color="auto" w:fill="FFFFFF"/>
        </w:rPr>
        <w:t>Kumari</w:t>
      </w:r>
      <w:proofErr w:type="spellEnd"/>
      <w:r w:rsidRPr="000B07A7">
        <w:rPr>
          <w:rFonts w:ascii="Times New Roman" w:hAnsi="Times New Roman" w:cs="Times New Roman"/>
          <w:sz w:val="24"/>
          <w:szCs w:val="24"/>
          <w:shd w:val="clear" w:color="auto" w:fill="FFFFFF"/>
        </w:rPr>
        <w:t xml:space="preserve">, Y. V., &amp; </w:t>
      </w:r>
      <w:proofErr w:type="spellStart"/>
      <w:r w:rsidRPr="000B07A7">
        <w:rPr>
          <w:rFonts w:ascii="Times New Roman" w:hAnsi="Times New Roman" w:cs="Times New Roman"/>
          <w:sz w:val="24"/>
          <w:szCs w:val="24"/>
          <w:shd w:val="clear" w:color="auto" w:fill="FFFFFF"/>
        </w:rPr>
        <w:t>Surekha</w:t>
      </w:r>
      <w:proofErr w:type="spellEnd"/>
      <w:r w:rsidRPr="000B07A7">
        <w:rPr>
          <w:rFonts w:ascii="Times New Roman" w:hAnsi="Times New Roman" w:cs="Times New Roman"/>
          <w:sz w:val="24"/>
          <w:szCs w:val="24"/>
          <w:shd w:val="clear" w:color="auto" w:fill="FFFFFF"/>
        </w:rPr>
        <w:t>, G. (2021). Training and Development Program and its Benefits to Employee and Organization. </w:t>
      </w:r>
      <w:r w:rsidRPr="000B07A7">
        <w:rPr>
          <w:rFonts w:ascii="Times New Roman" w:hAnsi="Times New Roman" w:cs="Times New Roman"/>
          <w:iCs/>
          <w:sz w:val="24"/>
          <w:szCs w:val="24"/>
          <w:shd w:val="clear" w:color="auto" w:fill="FFFFFF"/>
        </w:rPr>
        <w:t>Training and Development Program and its Benefits to Employee and Organization (August 7, 2021). Journal of Interdisciplinary Cycle Research</w:t>
      </w:r>
      <w:r w:rsidRPr="000B07A7">
        <w:rPr>
          <w:rFonts w:ascii="Times New Roman" w:hAnsi="Times New Roman" w:cs="Times New Roman"/>
          <w:sz w:val="24"/>
          <w:szCs w:val="24"/>
          <w:shd w:val="clear" w:color="auto" w:fill="FFFFFF"/>
        </w:rPr>
        <w:t>, </w:t>
      </w:r>
      <w:r w:rsidRPr="000B07A7">
        <w:rPr>
          <w:rFonts w:ascii="Times New Roman" w:hAnsi="Times New Roman" w:cs="Times New Roman"/>
          <w:iCs/>
          <w:sz w:val="24"/>
          <w:szCs w:val="24"/>
          <w:shd w:val="clear" w:color="auto" w:fill="FFFFFF"/>
        </w:rPr>
        <w:t>13</w:t>
      </w:r>
      <w:r w:rsidRPr="000B07A7">
        <w:rPr>
          <w:rFonts w:ascii="Times New Roman" w:hAnsi="Times New Roman" w:cs="Times New Roman"/>
          <w:sz w:val="24"/>
          <w:szCs w:val="24"/>
          <w:shd w:val="clear" w:color="auto" w:fill="FFFFFF"/>
        </w:rPr>
        <w:t>, 712-715.</w:t>
      </w:r>
    </w:p>
    <w:p w:rsidR="004008CA" w:rsidRPr="000B07A7" w:rsidRDefault="004008CA" w:rsidP="004008CA">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xml:space="preserve"> Kumar, T., Naga </w:t>
      </w:r>
      <w:proofErr w:type="spellStart"/>
      <w:r w:rsidRPr="000B07A7">
        <w:rPr>
          <w:rFonts w:ascii="Times New Roman" w:hAnsi="Times New Roman" w:cs="Times New Roman"/>
          <w:sz w:val="24"/>
          <w:szCs w:val="24"/>
        </w:rPr>
        <w:t>Kumari</w:t>
      </w:r>
      <w:proofErr w:type="spellEnd"/>
      <w:r w:rsidRPr="000B07A7">
        <w:rPr>
          <w:rFonts w:ascii="Times New Roman" w:hAnsi="Times New Roman" w:cs="Times New Roman"/>
          <w:sz w:val="24"/>
          <w:szCs w:val="24"/>
        </w:rPr>
        <w:t xml:space="preserve">, Y.V., </w:t>
      </w:r>
      <w:proofErr w:type="spellStart"/>
      <w:r w:rsidRPr="000B07A7">
        <w:rPr>
          <w:rFonts w:ascii="Times New Roman" w:hAnsi="Times New Roman" w:cs="Times New Roman"/>
          <w:sz w:val="24"/>
          <w:szCs w:val="24"/>
        </w:rPr>
        <w:t>Narasimha</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Rao</w:t>
      </w:r>
      <w:proofErr w:type="spellEnd"/>
      <w:r w:rsidRPr="000B07A7">
        <w:rPr>
          <w:rFonts w:ascii="Times New Roman" w:hAnsi="Times New Roman" w:cs="Times New Roman"/>
          <w:sz w:val="24"/>
          <w:szCs w:val="24"/>
        </w:rPr>
        <w:t xml:space="preserve">, A. (2024). Child Sexual Abuse in India: Understanding the Problem, Responding to the Challenges, and Charting a Way Forward. In: </w:t>
      </w:r>
      <w:proofErr w:type="spellStart"/>
      <w:r w:rsidRPr="000B07A7">
        <w:rPr>
          <w:rFonts w:ascii="Times New Roman" w:hAnsi="Times New Roman" w:cs="Times New Roman"/>
          <w:sz w:val="24"/>
          <w:szCs w:val="24"/>
        </w:rPr>
        <w:t>Shaik</w:t>
      </w:r>
      <w:proofErr w:type="spellEnd"/>
      <w:r w:rsidRPr="000B07A7">
        <w:rPr>
          <w:rFonts w:ascii="Times New Roman" w:hAnsi="Times New Roman" w:cs="Times New Roman"/>
          <w:sz w:val="24"/>
          <w:szCs w:val="24"/>
        </w:rPr>
        <w:t xml:space="preserve">, A., </w:t>
      </w:r>
      <w:proofErr w:type="spellStart"/>
      <w:r w:rsidRPr="000B07A7">
        <w:rPr>
          <w:rFonts w:ascii="Times New Roman" w:hAnsi="Times New Roman" w:cs="Times New Roman"/>
          <w:sz w:val="24"/>
          <w:szCs w:val="24"/>
        </w:rPr>
        <w:t>Thota</w:t>
      </w:r>
      <w:proofErr w:type="spellEnd"/>
      <w:r w:rsidRPr="000B07A7">
        <w:rPr>
          <w:rFonts w:ascii="Times New Roman" w:hAnsi="Times New Roman" w:cs="Times New Roman"/>
          <w:sz w:val="24"/>
          <w:szCs w:val="24"/>
        </w:rPr>
        <w:t xml:space="preserve">, S.L., </w:t>
      </w:r>
      <w:proofErr w:type="spellStart"/>
      <w:r w:rsidRPr="000B07A7">
        <w:rPr>
          <w:rFonts w:ascii="Times New Roman" w:hAnsi="Times New Roman" w:cs="Times New Roman"/>
          <w:sz w:val="24"/>
          <w:szCs w:val="24"/>
        </w:rPr>
        <w:t>Atmakuri</w:t>
      </w:r>
      <w:proofErr w:type="spellEnd"/>
      <w:r w:rsidRPr="000B07A7">
        <w:rPr>
          <w:rFonts w:ascii="Times New Roman" w:hAnsi="Times New Roman" w:cs="Times New Roman"/>
          <w:sz w:val="24"/>
          <w:szCs w:val="24"/>
        </w:rPr>
        <w:t>, L.R. (</w:t>
      </w:r>
      <w:proofErr w:type="spellStart"/>
      <w:r w:rsidRPr="000B07A7">
        <w:rPr>
          <w:rFonts w:ascii="Times New Roman" w:hAnsi="Times New Roman" w:cs="Times New Roman"/>
          <w:sz w:val="24"/>
          <w:szCs w:val="24"/>
        </w:rPr>
        <w:t>eds</w:t>
      </w:r>
      <w:proofErr w:type="spellEnd"/>
      <w:r w:rsidRPr="000B07A7">
        <w:rPr>
          <w:rFonts w:ascii="Times New Roman" w:hAnsi="Times New Roman" w:cs="Times New Roman"/>
          <w:sz w:val="24"/>
          <w:szCs w:val="24"/>
        </w:rPr>
        <w:t xml:space="preserve">) Child Sexual Abuse. Springer, Singapore. </w:t>
      </w:r>
      <w:hyperlink r:id="rId5" w:history="1">
        <w:r w:rsidRPr="000B07A7">
          <w:rPr>
            <w:rStyle w:val="Hyperlink"/>
            <w:rFonts w:ascii="Times New Roman" w:hAnsi="Times New Roman" w:cs="Times New Roman"/>
            <w:sz w:val="24"/>
            <w:szCs w:val="24"/>
          </w:rPr>
          <w:t>https://doi.org/10.1007/978-981-99-8745-0_5</w:t>
        </w:r>
      </w:hyperlink>
    </w:p>
    <w:p w:rsidR="004008CA" w:rsidRPr="000B07A7" w:rsidRDefault="004008CA" w:rsidP="004008CA">
      <w:pPr>
        <w:pStyle w:val="ListParagraph"/>
        <w:numPr>
          <w:ilvl w:val="0"/>
          <w:numId w:val="9"/>
        </w:numPr>
        <w:spacing w:after="160" w:line="279" w:lineRule="auto"/>
        <w:jc w:val="both"/>
        <w:rPr>
          <w:rFonts w:ascii="Times New Roman" w:hAnsi="Times New Roman" w:cs="Times New Roman"/>
          <w:sz w:val="24"/>
          <w:szCs w:val="24"/>
          <w:lang w:val="en-IN"/>
        </w:rPr>
      </w:pPr>
      <w:proofErr w:type="spellStart"/>
      <w:r w:rsidRPr="000B07A7">
        <w:rPr>
          <w:rFonts w:ascii="Times New Roman" w:eastAsia="Times New Roman" w:hAnsi="Times New Roman" w:cs="Times New Roman"/>
          <w:bCs/>
          <w:sz w:val="24"/>
          <w:szCs w:val="24"/>
        </w:rPr>
        <w:lastRenderedPageBreak/>
        <w:t>G.Kamal</w:t>
      </w:r>
      <w:proofErr w:type="spellEnd"/>
      <w:r w:rsidRPr="000B07A7">
        <w:rPr>
          <w:rFonts w:ascii="Times New Roman" w:eastAsia="Times New Roman" w:hAnsi="Times New Roman" w:cs="Times New Roman"/>
          <w:bCs/>
          <w:sz w:val="24"/>
          <w:szCs w:val="24"/>
        </w:rPr>
        <w:t xml:space="preserve">, A Study on Funds Flow Statement in and Organization using Data Analysis” Journal of Education: </w:t>
      </w:r>
      <w:proofErr w:type="spellStart"/>
      <w:r w:rsidRPr="000B07A7">
        <w:rPr>
          <w:rFonts w:ascii="Times New Roman" w:eastAsia="Times New Roman" w:hAnsi="Times New Roman" w:cs="Times New Roman"/>
          <w:bCs/>
          <w:sz w:val="24"/>
          <w:szCs w:val="24"/>
        </w:rPr>
        <w:t>Rabindrabharati</w:t>
      </w:r>
      <w:proofErr w:type="spellEnd"/>
      <w:r w:rsidRPr="000B07A7">
        <w:rPr>
          <w:rFonts w:ascii="Times New Roman" w:eastAsia="Times New Roman" w:hAnsi="Times New Roman" w:cs="Times New Roman"/>
          <w:bCs/>
          <w:sz w:val="24"/>
          <w:szCs w:val="24"/>
        </w:rPr>
        <w:t xml:space="preserve"> University, Vol.: XXIII, No. : 7, 2020– 2021, </w:t>
      </w:r>
      <w:r w:rsidRPr="000B07A7">
        <w:rPr>
          <w:rFonts w:ascii="Times New Roman" w:eastAsia="Times New Roman" w:hAnsi="Times New Roman" w:cs="Times New Roman"/>
          <w:bCs/>
          <w:sz w:val="24"/>
          <w:szCs w:val="24"/>
          <w:lang w:val="en-IN"/>
        </w:rPr>
        <w:t>pp 187-192</w:t>
      </w:r>
      <w:r w:rsidRPr="000B07A7">
        <w:rPr>
          <w:rFonts w:ascii="Times New Roman" w:eastAsia="Times New Roman" w:hAnsi="Times New Roman" w:cs="Times New Roman"/>
          <w:bCs/>
          <w:sz w:val="24"/>
          <w:szCs w:val="24"/>
        </w:rPr>
        <w:t>, ISSN: 0972-7175.</w:t>
      </w:r>
    </w:p>
    <w:p w:rsidR="004008CA" w:rsidRPr="000B07A7" w:rsidRDefault="004008CA" w:rsidP="004008CA">
      <w:pPr>
        <w:pStyle w:val="ListParagraph"/>
        <w:numPr>
          <w:ilvl w:val="0"/>
          <w:numId w:val="9"/>
        </w:numPr>
        <w:spacing w:after="160" w:line="279" w:lineRule="auto"/>
        <w:jc w:val="both"/>
        <w:rPr>
          <w:rFonts w:ascii="Times New Roman" w:hAnsi="Times New Roman" w:cs="Times New Roman"/>
          <w:sz w:val="24"/>
          <w:szCs w:val="24"/>
          <w:lang w:val="en-IN"/>
        </w:rPr>
      </w:pPr>
      <w:r w:rsidRPr="000B07A7">
        <w:rPr>
          <w:rFonts w:ascii="Times New Roman" w:hAnsi="Times New Roman" w:cs="Times New Roman"/>
          <w:sz w:val="24"/>
          <w:szCs w:val="24"/>
          <w:lang w:val="en-IN"/>
        </w:rPr>
        <w:t xml:space="preserve">Kumar K., </w:t>
      </w:r>
      <w:proofErr w:type="spellStart"/>
      <w:r w:rsidRPr="000B07A7">
        <w:rPr>
          <w:rFonts w:ascii="Times New Roman" w:hAnsi="Times New Roman" w:cs="Times New Roman"/>
          <w:sz w:val="24"/>
          <w:szCs w:val="24"/>
          <w:lang w:val="en-IN"/>
        </w:rPr>
        <w:t>Rao</w:t>
      </w:r>
      <w:proofErr w:type="spellEnd"/>
      <w:r w:rsidRPr="000B07A7">
        <w:rPr>
          <w:rFonts w:ascii="Times New Roman" w:hAnsi="Times New Roman" w:cs="Times New Roman"/>
          <w:sz w:val="24"/>
          <w:szCs w:val="24"/>
          <w:lang w:val="en-IN"/>
        </w:rPr>
        <w:t xml:space="preserve"> N., </w:t>
      </w:r>
      <w:proofErr w:type="spellStart"/>
      <w:r w:rsidRPr="000B07A7">
        <w:rPr>
          <w:rFonts w:ascii="Times New Roman" w:hAnsi="Times New Roman" w:cs="Times New Roman"/>
          <w:sz w:val="24"/>
          <w:szCs w:val="24"/>
          <w:lang w:val="en-IN"/>
        </w:rPr>
        <w:t>Kamal</w:t>
      </w:r>
      <w:proofErr w:type="spellEnd"/>
      <w:r w:rsidRPr="000B07A7">
        <w:rPr>
          <w:rFonts w:ascii="Times New Roman" w:hAnsi="Times New Roman" w:cs="Times New Roman"/>
          <w:sz w:val="24"/>
          <w:szCs w:val="24"/>
          <w:lang w:val="en-IN"/>
        </w:rPr>
        <w:t xml:space="preserve"> G., </w:t>
      </w:r>
      <w:proofErr w:type="spellStart"/>
      <w:r w:rsidRPr="000B07A7">
        <w:rPr>
          <w:rFonts w:ascii="Times New Roman" w:hAnsi="Times New Roman" w:cs="Times New Roman"/>
          <w:sz w:val="24"/>
          <w:szCs w:val="24"/>
          <w:lang w:val="en-IN"/>
        </w:rPr>
        <w:t>Vinod</w:t>
      </w:r>
      <w:proofErr w:type="spellEnd"/>
      <w:r w:rsidRPr="000B07A7">
        <w:rPr>
          <w:rFonts w:ascii="Times New Roman" w:hAnsi="Times New Roman" w:cs="Times New Roman"/>
          <w:sz w:val="24"/>
          <w:szCs w:val="24"/>
          <w:lang w:val="en-IN"/>
        </w:rPr>
        <w:t xml:space="preserve"> M., </w:t>
      </w:r>
      <w:proofErr w:type="spellStart"/>
      <w:r w:rsidRPr="000B07A7">
        <w:rPr>
          <w:rFonts w:ascii="Times New Roman" w:hAnsi="Times New Roman" w:cs="Times New Roman"/>
          <w:sz w:val="24"/>
          <w:szCs w:val="24"/>
          <w:lang w:val="en-IN"/>
        </w:rPr>
        <w:t>Leelavathi</w:t>
      </w:r>
      <w:proofErr w:type="spellEnd"/>
      <w:r w:rsidRPr="000B07A7">
        <w:rPr>
          <w:rFonts w:ascii="Times New Roman" w:hAnsi="Times New Roman" w:cs="Times New Roman"/>
          <w:sz w:val="24"/>
          <w:szCs w:val="24"/>
          <w:lang w:val="en-IN"/>
        </w:rPr>
        <w:t xml:space="preserve"> T., </w:t>
      </w:r>
      <w:proofErr w:type="spellStart"/>
      <w:r w:rsidRPr="000B07A7">
        <w:rPr>
          <w:rFonts w:ascii="Times New Roman" w:hAnsi="Times New Roman" w:cs="Times New Roman"/>
          <w:sz w:val="24"/>
          <w:szCs w:val="24"/>
          <w:lang w:val="en-IN"/>
        </w:rPr>
        <w:t>Sripathi</w:t>
      </w:r>
      <w:proofErr w:type="spellEnd"/>
      <w:r w:rsidRPr="000B07A7">
        <w:rPr>
          <w:rFonts w:ascii="Times New Roman" w:hAnsi="Times New Roman" w:cs="Times New Roman"/>
          <w:sz w:val="24"/>
          <w:szCs w:val="24"/>
          <w:lang w:val="en-IN"/>
        </w:rPr>
        <w:t xml:space="preserve"> M., </w:t>
      </w:r>
      <w:proofErr w:type="spellStart"/>
      <w:r w:rsidRPr="000B07A7">
        <w:rPr>
          <w:rFonts w:ascii="Times New Roman" w:hAnsi="Times New Roman" w:cs="Times New Roman"/>
          <w:sz w:val="24"/>
          <w:szCs w:val="24"/>
          <w:lang w:val="en-IN"/>
        </w:rPr>
        <w:t>Kumari</w:t>
      </w:r>
      <w:proofErr w:type="spellEnd"/>
      <w:r w:rsidRPr="000B07A7">
        <w:rPr>
          <w:rFonts w:ascii="Times New Roman" w:hAnsi="Times New Roman" w:cs="Times New Roman"/>
          <w:sz w:val="24"/>
          <w:szCs w:val="24"/>
          <w:lang w:val="en-IN"/>
        </w:rPr>
        <w:t xml:space="preserve"> N. (2023) The role of organizational citizenship </w:t>
      </w:r>
      <w:proofErr w:type="spellStart"/>
      <w:r w:rsidRPr="000B07A7">
        <w:rPr>
          <w:rFonts w:ascii="Times New Roman" w:hAnsi="Times New Roman" w:cs="Times New Roman"/>
          <w:sz w:val="24"/>
          <w:szCs w:val="24"/>
          <w:lang w:val="en-IN"/>
        </w:rPr>
        <w:t>behavior</w:t>
      </w:r>
      <w:proofErr w:type="spellEnd"/>
      <w:r w:rsidRPr="000B07A7">
        <w:rPr>
          <w:rFonts w:ascii="Times New Roman" w:hAnsi="Times New Roman" w:cs="Times New Roman"/>
          <w:sz w:val="24"/>
          <w:szCs w:val="24"/>
          <w:lang w:val="en-IN"/>
        </w:rPr>
        <w:t xml:space="preserve"> as an intervening variable in the relationship between employee engagement and gig workers’ productivity in India. </w:t>
      </w:r>
      <w:r w:rsidRPr="000B07A7">
        <w:rPr>
          <w:rFonts w:ascii="Times New Roman" w:hAnsi="Times New Roman" w:cs="Times New Roman"/>
          <w:i/>
          <w:iCs/>
          <w:sz w:val="24"/>
          <w:szCs w:val="24"/>
          <w:lang w:val="en-IN"/>
        </w:rPr>
        <w:t>Organizational Psychology</w:t>
      </w:r>
      <w:r w:rsidRPr="000B07A7">
        <w:rPr>
          <w:rFonts w:ascii="Times New Roman" w:hAnsi="Times New Roman" w:cs="Times New Roman"/>
          <w:sz w:val="24"/>
          <w:szCs w:val="24"/>
          <w:lang w:val="en-IN"/>
        </w:rPr>
        <w:t>, vol. 13, no 4, pp. 183-198.</w:t>
      </w:r>
    </w:p>
    <w:p w:rsidR="004008CA" w:rsidRPr="000B07A7" w:rsidRDefault="004008CA" w:rsidP="004008CA">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Tummalapalli</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(2016). Boosting India’s Growth Role of Salary Hikes in 2015. International Journal of Engineering and Management Research. 6.</w:t>
      </w:r>
    </w:p>
    <w:p w:rsidR="004008CA" w:rsidRPr="000B07A7" w:rsidRDefault="004008CA" w:rsidP="004008CA">
      <w:pPr>
        <w:spacing w:after="160" w:line="259" w:lineRule="auto"/>
        <w:jc w:val="both"/>
        <w:rPr>
          <w:rFonts w:ascii="Times New Roman" w:hAnsi="Times New Roman" w:cs="Times New Roman"/>
          <w:sz w:val="24"/>
          <w:szCs w:val="24"/>
        </w:rPr>
      </w:pPr>
    </w:p>
    <w:p w:rsidR="004008CA" w:rsidRPr="000B07A7" w:rsidRDefault="004008CA" w:rsidP="004008CA">
      <w:pPr>
        <w:ind w:left="450"/>
        <w:rPr>
          <w:rFonts w:ascii="Times New Roman" w:hAnsi="Times New Roman" w:cs="Times New Roman"/>
          <w:sz w:val="24"/>
          <w:szCs w:val="24"/>
        </w:rPr>
      </w:pPr>
    </w:p>
    <w:p w:rsidR="004008CA" w:rsidRPr="000B07A7" w:rsidRDefault="004008CA" w:rsidP="004008CA">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Rao</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Narasimha</w:t>
      </w:r>
      <w:proofErr w:type="spellEnd"/>
      <w:r w:rsidRPr="000B07A7">
        <w:rPr>
          <w:rFonts w:ascii="Times New Roman" w:hAnsi="Times New Roman" w:cs="Times New Roman"/>
          <w:sz w:val="24"/>
          <w:szCs w:val="24"/>
        </w:rPr>
        <w:t xml:space="preserve"> &amp; </w:t>
      </w:r>
      <w:proofErr w:type="spellStart"/>
      <w:r w:rsidRPr="000B07A7">
        <w:rPr>
          <w:rFonts w:ascii="Times New Roman" w:hAnsi="Times New Roman" w:cs="Times New Roman"/>
          <w:sz w:val="24"/>
          <w:szCs w:val="24"/>
        </w:rPr>
        <w:t>Tummalapalli</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(2020). Effects of Employee Engagement on Tourism and Hospitality Industry A case study of selected hotels of Andhra Pradesh. Journal of Interdisciplinary Cycle Research. 7. 1181-1197.</w:t>
      </w:r>
    </w:p>
    <w:p w:rsidR="004008CA" w:rsidRPr="000B07A7" w:rsidRDefault="004008CA" w:rsidP="004008CA">
      <w:pPr>
        <w:pStyle w:val="ListParagraph"/>
        <w:numPr>
          <w:ilvl w:val="0"/>
          <w:numId w:val="9"/>
        </w:numPr>
        <w:spacing w:after="160" w:line="278" w:lineRule="auto"/>
        <w:jc w:val="both"/>
        <w:rPr>
          <w:rFonts w:ascii="Times New Roman" w:hAnsi="Times New Roman" w:cs="Times New Roman"/>
          <w:sz w:val="24"/>
          <w:szCs w:val="24"/>
        </w:rPr>
      </w:pPr>
      <w:r w:rsidRPr="000B07A7">
        <w:rPr>
          <w:rFonts w:ascii="Times New Roman" w:hAnsi="Times New Roman" w:cs="Times New Roman"/>
          <w:sz w:val="24"/>
          <w:szCs w:val="24"/>
          <w:lang w:val="de-DE"/>
        </w:rPr>
        <w:t xml:space="preserve">Kamal, G., Kumar, T. H., &amp; Susmitha, K. (2022). </w:t>
      </w:r>
      <w:r w:rsidRPr="000B07A7">
        <w:rPr>
          <w:rFonts w:ascii="Times New Roman" w:hAnsi="Times New Roman" w:cs="Times New Roman"/>
          <w:sz w:val="24"/>
          <w:szCs w:val="24"/>
        </w:rPr>
        <w:t>Linkage of Indian Equity Market with Developed Economies Equity Markets.</w:t>
      </w:r>
    </w:p>
    <w:p w:rsidR="00532C89" w:rsidRPr="000B07A7" w:rsidRDefault="00532C89" w:rsidP="00532C89">
      <w:pPr>
        <w:pStyle w:val="ListParagraph"/>
        <w:numPr>
          <w:ilvl w:val="0"/>
          <w:numId w:val="9"/>
        </w:numPr>
        <w:spacing w:after="160" w:line="259"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Leelavati</w:t>
      </w:r>
      <w:proofErr w:type="spellEnd"/>
      <w:r w:rsidRPr="000B07A7">
        <w:rPr>
          <w:rFonts w:ascii="Times New Roman" w:hAnsi="Times New Roman" w:cs="Times New Roman"/>
          <w:sz w:val="24"/>
          <w:szCs w:val="24"/>
        </w:rPr>
        <w:t xml:space="preserve">, T. S., </w:t>
      </w:r>
      <w:proofErr w:type="spellStart"/>
      <w:r w:rsidRPr="000B07A7">
        <w:rPr>
          <w:rFonts w:ascii="Times New Roman" w:hAnsi="Times New Roman" w:cs="Times New Roman"/>
          <w:sz w:val="24"/>
          <w:szCs w:val="24"/>
        </w:rPr>
        <w:t>Madhavi</w:t>
      </w:r>
      <w:proofErr w:type="spellEnd"/>
      <w:r w:rsidRPr="000B07A7">
        <w:rPr>
          <w:rFonts w:ascii="Times New Roman" w:hAnsi="Times New Roman" w:cs="Times New Roman"/>
          <w:sz w:val="24"/>
          <w:szCs w:val="24"/>
        </w:rPr>
        <w:t xml:space="preserve">, S., </w:t>
      </w: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xml:space="preserve">, K. T., &amp; </w:t>
      </w:r>
      <w:proofErr w:type="spellStart"/>
      <w:r w:rsidRPr="000B07A7">
        <w:rPr>
          <w:rFonts w:ascii="Times New Roman" w:hAnsi="Times New Roman" w:cs="Times New Roman"/>
          <w:sz w:val="24"/>
          <w:szCs w:val="24"/>
        </w:rPr>
        <w:t>Susmitha</w:t>
      </w:r>
      <w:proofErr w:type="spellEnd"/>
      <w:r w:rsidRPr="000B07A7">
        <w:rPr>
          <w:rFonts w:ascii="Times New Roman" w:hAnsi="Times New Roman" w:cs="Times New Roman"/>
          <w:sz w:val="24"/>
          <w:szCs w:val="24"/>
        </w:rPr>
        <w:t>, K. (2022). Is Ai The Next Big Thing In Human Resources?. </w:t>
      </w:r>
      <w:r w:rsidRPr="000B07A7">
        <w:rPr>
          <w:rFonts w:ascii="Times New Roman" w:hAnsi="Times New Roman" w:cs="Times New Roman"/>
          <w:i/>
          <w:iCs/>
          <w:sz w:val="24"/>
          <w:szCs w:val="24"/>
        </w:rPr>
        <w:t>Academy of Marketing Studies Journal</w:t>
      </w:r>
      <w:r w:rsidRPr="000B07A7">
        <w:rPr>
          <w:rFonts w:ascii="Times New Roman" w:hAnsi="Times New Roman" w:cs="Times New Roman"/>
          <w:sz w:val="24"/>
          <w:szCs w:val="24"/>
        </w:rPr>
        <w:t>, </w:t>
      </w:r>
      <w:r w:rsidRPr="000B07A7">
        <w:rPr>
          <w:rFonts w:ascii="Times New Roman" w:hAnsi="Times New Roman" w:cs="Times New Roman"/>
          <w:i/>
          <w:iCs/>
          <w:sz w:val="24"/>
          <w:szCs w:val="24"/>
        </w:rPr>
        <w:t>26</w:t>
      </w:r>
      <w:r w:rsidRPr="000B07A7">
        <w:rPr>
          <w:rFonts w:ascii="Times New Roman" w:hAnsi="Times New Roman" w:cs="Times New Roman"/>
          <w:sz w:val="24"/>
          <w:szCs w:val="24"/>
        </w:rPr>
        <w:t>(4).</w:t>
      </w:r>
    </w:p>
    <w:p w:rsidR="00532C89" w:rsidRPr="000B07A7" w:rsidRDefault="00532C89" w:rsidP="00532C89">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Mutyala</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Vinod</w:t>
      </w:r>
      <w:proofErr w:type="spellEnd"/>
      <w:r w:rsidRPr="000B07A7">
        <w:rPr>
          <w:rFonts w:ascii="Times New Roman" w:hAnsi="Times New Roman" w:cs="Times New Roman"/>
          <w:sz w:val="24"/>
          <w:szCs w:val="24"/>
        </w:rPr>
        <w:t xml:space="preserve"> &amp; </w:t>
      </w:r>
      <w:proofErr w:type="spellStart"/>
      <w:r w:rsidRPr="000B07A7">
        <w:rPr>
          <w:rFonts w:ascii="Times New Roman" w:hAnsi="Times New Roman" w:cs="Times New Roman"/>
          <w:sz w:val="24"/>
          <w:szCs w:val="24"/>
        </w:rPr>
        <w:t>Tummalapalli</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(2018). Challenges of Recruitment and Selection in Indian Healthcare Industry. 4. 232-234. 10.18231/2454-9150.2018.0615.</w:t>
      </w:r>
    </w:p>
    <w:p w:rsidR="00532C89" w:rsidRPr="000B07A7" w:rsidRDefault="00532C89" w:rsidP="00532C89">
      <w:pPr>
        <w:pStyle w:val="ListParagraph"/>
        <w:numPr>
          <w:ilvl w:val="0"/>
          <w:numId w:val="9"/>
        </w:numPr>
        <w:spacing w:after="160" w:line="278" w:lineRule="auto"/>
        <w:jc w:val="both"/>
        <w:rPr>
          <w:rFonts w:ascii="Times New Roman" w:hAnsi="Times New Roman" w:cs="Times New Roman"/>
          <w:sz w:val="24"/>
          <w:szCs w:val="24"/>
        </w:rPr>
      </w:pPr>
      <w:r w:rsidRPr="000B07A7">
        <w:rPr>
          <w:rFonts w:ascii="Times New Roman" w:hAnsi="Times New Roman" w:cs="Times New Roman"/>
          <w:sz w:val="24"/>
          <w:szCs w:val="24"/>
        </w:rPr>
        <w:t xml:space="preserve">Kumar, H. (2017). The fourth industrial revolution: the digital </w:t>
      </w:r>
      <w:proofErr w:type="spellStart"/>
      <w:r w:rsidRPr="000B07A7">
        <w:rPr>
          <w:rFonts w:ascii="Times New Roman" w:hAnsi="Times New Roman" w:cs="Times New Roman"/>
          <w:sz w:val="24"/>
          <w:szCs w:val="24"/>
        </w:rPr>
        <w:t>strom</w:t>
      </w:r>
      <w:proofErr w:type="spellEnd"/>
      <w:r w:rsidRPr="000B07A7">
        <w:rPr>
          <w:rFonts w:ascii="Times New Roman" w:hAnsi="Times New Roman" w:cs="Times New Roman"/>
          <w:sz w:val="24"/>
          <w:szCs w:val="24"/>
        </w:rPr>
        <w:t xml:space="preserve"> impact on employment. </w:t>
      </w:r>
      <w:r w:rsidRPr="000B07A7">
        <w:rPr>
          <w:rFonts w:ascii="Times New Roman" w:hAnsi="Times New Roman" w:cs="Times New Roman"/>
          <w:i/>
          <w:iCs/>
          <w:sz w:val="24"/>
          <w:szCs w:val="24"/>
        </w:rPr>
        <w:t xml:space="preserve">Int. J. Res. </w:t>
      </w:r>
      <w:proofErr w:type="spellStart"/>
      <w:r w:rsidRPr="000B07A7">
        <w:rPr>
          <w:rFonts w:ascii="Times New Roman" w:hAnsi="Times New Roman" w:cs="Times New Roman"/>
          <w:i/>
          <w:iCs/>
          <w:sz w:val="24"/>
          <w:szCs w:val="24"/>
        </w:rPr>
        <w:t>Comput</w:t>
      </w:r>
      <w:proofErr w:type="spellEnd"/>
      <w:r w:rsidRPr="000B07A7">
        <w:rPr>
          <w:rFonts w:ascii="Times New Roman" w:hAnsi="Times New Roman" w:cs="Times New Roman"/>
          <w:i/>
          <w:iCs/>
          <w:sz w:val="24"/>
          <w:szCs w:val="24"/>
        </w:rPr>
        <w:t xml:space="preserve">. Appl. </w:t>
      </w:r>
      <w:proofErr w:type="spellStart"/>
      <w:r w:rsidRPr="000B07A7">
        <w:rPr>
          <w:rFonts w:ascii="Times New Roman" w:hAnsi="Times New Roman" w:cs="Times New Roman"/>
          <w:i/>
          <w:iCs/>
          <w:sz w:val="24"/>
          <w:szCs w:val="24"/>
        </w:rPr>
        <w:t>Manag</w:t>
      </w:r>
      <w:proofErr w:type="spellEnd"/>
      <w:r w:rsidRPr="000B07A7">
        <w:rPr>
          <w:rFonts w:ascii="Times New Roman" w:hAnsi="Times New Roman" w:cs="Times New Roman"/>
          <w:sz w:val="24"/>
          <w:szCs w:val="24"/>
        </w:rPr>
        <w:t>, </w:t>
      </w:r>
      <w:r w:rsidRPr="000B07A7">
        <w:rPr>
          <w:rFonts w:ascii="Times New Roman" w:hAnsi="Times New Roman" w:cs="Times New Roman"/>
          <w:i/>
          <w:iCs/>
          <w:sz w:val="24"/>
          <w:szCs w:val="24"/>
        </w:rPr>
        <w:t>7</w:t>
      </w:r>
      <w:r w:rsidRPr="000B07A7">
        <w:rPr>
          <w:rFonts w:ascii="Times New Roman" w:hAnsi="Times New Roman" w:cs="Times New Roman"/>
          <w:sz w:val="24"/>
          <w:szCs w:val="24"/>
        </w:rPr>
        <w:t>(8), 44-46.</w:t>
      </w:r>
    </w:p>
    <w:p w:rsidR="00532C89" w:rsidRPr="000B07A7" w:rsidRDefault="00532C89" w:rsidP="00532C89">
      <w:pPr>
        <w:pStyle w:val="ListParagraph"/>
        <w:numPr>
          <w:ilvl w:val="0"/>
          <w:numId w:val="9"/>
        </w:numPr>
        <w:spacing w:after="160" w:line="279"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shd w:val="clear" w:color="auto" w:fill="FFFFFF"/>
        </w:rPr>
        <w:t>Vinod</w:t>
      </w:r>
      <w:proofErr w:type="spellEnd"/>
      <w:r w:rsidRPr="000B07A7">
        <w:rPr>
          <w:rFonts w:ascii="Times New Roman" w:hAnsi="Times New Roman" w:cs="Times New Roman"/>
          <w:sz w:val="24"/>
          <w:szCs w:val="24"/>
          <w:shd w:val="clear" w:color="auto" w:fill="FFFFFF"/>
        </w:rPr>
        <w:t xml:space="preserve">, M., &amp; </w:t>
      </w:r>
      <w:proofErr w:type="spellStart"/>
      <w:r w:rsidRPr="000B07A7">
        <w:rPr>
          <w:rFonts w:ascii="Times New Roman" w:hAnsi="Times New Roman" w:cs="Times New Roman"/>
          <w:sz w:val="24"/>
          <w:szCs w:val="24"/>
          <w:shd w:val="clear" w:color="auto" w:fill="FFFFFF"/>
        </w:rPr>
        <w:t>Kamal</w:t>
      </w:r>
      <w:proofErr w:type="spellEnd"/>
      <w:r w:rsidRPr="000B07A7">
        <w:rPr>
          <w:rFonts w:ascii="Times New Roman" w:hAnsi="Times New Roman" w:cs="Times New Roman"/>
          <w:sz w:val="24"/>
          <w:szCs w:val="24"/>
          <w:shd w:val="clear" w:color="auto" w:fill="FFFFFF"/>
        </w:rPr>
        <w:t>, G. Employee Welfare Measures Towards Productivity-A Study of Selected Jute Units in West Godavari District, Andhra Pradesh.</w:t>
      </w:r>
    </w:p>
    <w:p w:rsidR="00532C89" w:rsidRPr="000B07A7" w:rsidRDefault="00532C89" w:rsidP="00532C89">
      <w:pPr>
        <w:pStyle w:val="ListParagraph"/>
        <w:numPr>
          <w:ilvl w:val="0"/>
          <w:numId w:val="9"/>
        </w:numPr>
        <w:spacing w:after="160" w:line="279" w:lineRule="auto"/>
        <w:jc w:val="both"/>
        <w:rPr>
          <w:rFonts w:ascii="Times New Roman" w:hAnsi="Times New Roman" w:cs="Times New Roman"/>
          <w:sz w:val="24"/>
          <w:szCs w:val="24"/>
          <w:lang w:val="en-IN"/>
        </w:rPr>
      </w:pPr>
      <w:r w:rsidRPr="000B07A7">
        <w:rPr>
          <w:rFonts w:ascii="Times New Roman" w:eastAsia="Bookman Old Style" w:hAnsi="Times New Roman" w:cs="Times New Roman"/>
          <w:sz w:val="24"/>
          <w:szCs w:val="24"/>
          <w:highlight w:val="white"/>
        </w:rPr>
        <w:t xml:space="preserve">. N. V. R. </w:t>
      </w:r>
      <w:proofErr w:type="spellStart"/>
      <w:r w:rsidRPr="000B07A7">
        <w:rPr>
          <w:rFonts w:ascii="Times New Roman" w:eastAsia="Bookman Old Style" w:hAnsi="Times New Roman" w:cs="Times New Roman"/>
          <w:sz w:val="24"/>
          <w:szCs w:val="24"/>
          <w:highlight w:val="white"/>
        </w:rPr>
        <w:t>Swarup</w:t>
      </w:r>
      <w:proofErr w:type="spellEnd"/>
      <w:r w:rsidRPr="000B07A7">
        <w:rPr>
          <w:rFonts w:ascii="Times New Roman" w:eastAsia="Bookman Old Style" w:hAnsi="Times New Roman" w:cs="Times New Roman"/>
          <w:sz w:val="24"/>
          <w:szCs w:val="24"/>
          <w:highlight w:val="white"/>
        </w:rPr>
        <w:t xml:space="preserve"> Kumar</w:t>
      </w:r>
      <w:r w:rsidRPr="000B07A7">
        <w:rPr>
          <w:rFonts w:ascii="Times New Roman" w:hAnsi="Times New Roman" w:cs="Times New Roman"/>
          <w:sz w:val="24"/>
          <w:szCs w:val="24"/>
          <w:lang w:val="en-IN"/>
        </w:rPr>
        <w:t xml:space="preserve">, </w:t>
      </w:r>
      <w:proofErr w:type="spellStart"/>
      <w:r w:rsidRPr="000B07A7">
        <w:rPr>
          <w:rFonts w:ascii="Times New Roman" w:hAnsi="Times New Roman" w:cs="Times New Roman"/>
          <w:sz w:val="24"/>
          <w:szCs w:val="24"/>
          <w:lang w:val="en-IN"/>
        </w:rPr>
        <w:t>G.Kamal</w:t>
      </w:r>
      <w:proofErr w:type="spellEnd"/>
      <w:r w:rsidRPr="000B07A7">
        <w:rPr>
          <w:rFonts w:ascii="Times New Roman" w:hAnsi="Times New Roman" w:cs="Times New Roman"/>
          <w:sz w:val="24"/>
          <w:szCs w:val="24"/>
          <w:lang w:val="en-IN"/>
        </w:rPr>
        <w:t xml:space="preserve">, A Mobile App For Age And Gender Identification Using Deep Learning Technique, International Conference on Intelligent Systems for Communication, IOT and Security, 2023, FEBRUARY 09, 2023 to FEBRUARY 11, </w:t>
      </w:r>
      <w:r w:rsidRPr="000B07A7">
        <w:rPr>
          <w:rFonts w:ascii="Times New Roman" w:hAnsi="Times New Roman" w:cs="Times New Roman"/>
          <w:sz w:val="24"/>
          <w:szCs w:val="24"/>
        </w:rPr>
        <w:t xml:space="preserve">2023 International Conference on Intelligent Systems for Communication, </w:t>
      </w:r>
      <w:proofErr w:type="spellStart"/>
      <w:r w:rsidRPr="000B07A7">
        <w:rPr>
          <w:rFonts w:ascii="Times New Roman" w:hAnsi="Times New Roman" w:cs="Times New Roman"/>
          <w:sz w:val="24"/>
          <w:szCs w:val="24"/>
        </w:rPr>
        <w:t>IoT</w:t>
      </w:r>
      <w:proofErr w:type="spellEnd"/>
      <w:r w:rsidRPr="000B07A7">
        <w:rPr>
          <w:rFonts w:ascii="Times New Roman" w:hAnsi="Times New Roman" w:cs="Times New Roman"/>
          <w:sz w:val="24"/>
          <w:szCs w:val="24"/>
        </w:rPr>
        <w:t xml:space="preserve"> and Security (</w:t>
      </w:r>
      <w:proofErr w:type="spellStart"/>
      <w:r w:rsidRPr="000B07A7">
        <w:rPr>
          <w:rFonts w:ascii="Times New Roman" w:hAnsi="Times New Roman" w:cs="Times New Roman"/>
          <w:sz w:val="24"/>
          <w:szCs w:val="24"/>
        </w:rPr>
        <w:t>ICISCoIS</w:t>
      </w:r>
      <w:proofErr w:type="spellEnd"/>
      <w:r w:rsidRPr="000B07A7">
        <w:rPr>
          <w:rFonts w:ascii="Times New Roman" w:hAnsi="Times New Roman" w:cs="Times New Roman"/>
          <w:sz w:val="24"/>
          <w:szCs w:val="24"/>
        </w:rPr>
        <w:t>) ,979-8-3503-3583-5/23/$31.00 ©2023 IEEE , DOI: 10.1109/ICISCOIS56541.2023.10100432</w:t>
      </w:r>
      <w:r w:rsidRPr="000B07A7">
        <w:rPr>
          <w:rFonts w:ascii="Times New Roman" w:hAnsi="Times New Roman" w:cs="Times New Roman"/>
          <w:sz w:val="24"/>
          <w:szCs w:val="24"/>
          <w:lang w:val="en-IN"/>
        </w:rPr>
        <w:t xml:space="preserve"> (Scopus).</w:t>
      </w:r>
    </w:p>
    <w:p w:rsidR="00C95EB2" w:rsidRPr="000B07A7" w:rsidRDefault="00C95EB2" w:rsidP="00C95EB2">
      <w:pPr>
        <w:pStyle w:val="ListParagraph"/>
        <w:numPr>
          <w:ilvl w:val="0"/>
          <w:numId w:val="9"/>
        </w:numPr>
        <w:spacing w:after="160" w:line="279" w:lineRule="auto"/>
        <w:jc w:val="both"/>
        <w:rPr>
          <w:rFonts w:ascii="Times New Roman" w:eastAsia="Times New Roman" w:hAnsi="Times New Roman" w:cs="Times New Roman"/>
          <w:bCs/>
          <w:sz w:val="24"/>
          <w:szCs w:val="24"/>
          <w:lang w:val="en-IN"/>
        </w:rPr>
      </w:pPr>
      <w:r w:rsidRPr="000B07A7">
        <w:rPr>
          <w:rFonts w:ascii="Times New Roman" w:eastAsia="Times New Roman" w:hAnsi="Times New Roman" w:cs="Times New Roman"/>
          <w:bCs/>
          <w:sz w:val="24"/>
          <w:szCs w:val="24"/>
          <w:lang w:val="en-IN"/>
        </w:rPr>
        <w:t xml:space="preserve">G. </w:t>
      </w:r>
      <w:proofErr w:type="spellStart"/>
      <w:r w:rsidRPr="000B07A7">
        <w:rPr>
          <w:rFonts w:ascii="Times New Roman" w:eastAsia="Times New Roman" w:hAnsi="Times New Roman" w:cs="Times New Roman"/>
          <w:bCs/>
          <w:sz w:val="24"/>
          <w:szCs w:val="24"/>
          <w:lang w:val="en-IN"/>
        </w:rPr>
        <w:t>Kamal</w:t>
      </w:r>
      <w:proofErr w:type="spellEnd"/>
      <w:r w:rsidRPr="000B07A7">
        <w:rPr>
          <w:rFonts w:ascii="Times New Roman" w:eastAsia="Times New Roman" w:hAnsi="Times New Roman" w:cs="Times New Roman"/>
          <w:bCs/>
          <w:sz w:val="24"/>
          <w:szCs w:val="24"/>
          <w:lang w:val="en-IN"/>
        </w:rPr>
        <w:t xml:space="preserve"> and Kumar, T. </w:t>
      </w:r>
      <w:proofErr w:type="spellStart"/>
      <w:r w:rsidRPr="000B07A7">
        <w:rPr>
          <w:rFonts w:ascii="Times New Roman" w:eastAsia="Times New Roman" w:hAnsi="Times New Roman" w:cs="Times New Roman"/>
          <w:bCs/>
          <w:sz w:val="24"/>
          <w:szCs w:val="24"/>
          <w:lang w:val="en-IN"/>
        </w:rPr>
        <w:t>Hemanth</w:t>
      </w:r>
      <w:proofErr w:type="spellEnd"/>
      <w:r w:rsidRPr="000B07A7">
        <w:rPr>
          <w:rFonts w:ascii="Times New Roman" w:eastAsia="Times New Roman" w:hAnsi="Times New Roman" w:cs="Times New Roman"/>
          <w:bCs/>
          <w:sz w:val="24"/>
          <w:szCs w:val="24"/>
          <w:lang w:val="en-IN"/>
        </w:rPr>
        <w:t xml:space="preserve"> and </w:t>
      </w:r>
      <w:proofErr w:type="spellStart"/>
      <w:r w:rsidRPr="000B07A7">
        <w:rPr>
          <w:rFonts w:ascii="Times New Roman" w:eastAsia="Times New Roman" w:hAnsi="Times New Roman" w:cs="Times New Roman"/>
          <w:bCs/>
          <w:sz w:val="24"/>
          <w:szCs w:val="24"/>
          <w:lang w:val="en-IN"/>
        </w:rPr>
        <w:t>Susmitha</w:t>
      </w:r>
      <w:proofErr w:type="spellEnd"/>
      <w:r w:rsidRPr="000B07A7">
        <w:rPr>
          <w:rFonts w:ascii="Times New Roman" w:eastAsia="Times New Roman" w:hAnsi="Times New Roman" w:cs="Times New Roman"/>
          <w:bCs/>
          <w:sz w:val="24"/>
          <w:szCs w:val="24"/>
          <w:lang w:val="en-IN"/>
        </w:rPr>
        <w:t>, K., Linkage of Indian Equity Market with Developed Economies Equity Markets (September 14, 2022). Available at SSRN: </w:t>
      </w:r>
      <w:hyperlink r:id="rId6" w:tgtFrame="_blank" w:history="1">
        <w:r w:rsidRPr="000B07A7">
          <w:rPr>
            <w:rStyle w:val="Hyperlink"/>
            <w:rFonts w:ascii="Times New Roman" w:eastAsia="Times New Roman" w:hAnsi="Times New Roman" w:cs="Times New Roman"/>
            <w:bCs/>
            <w:sz w:val="24"/>
            <w:szCs w:val="24"/>
            <w:lang w:val="en-IN"/>
          </w:rPr>
          <w:t>https://ssrn.com/abstract=4218617</w:t>
        </w:r>
      </w:hyperlink>
      <w:r w:rsidRPr="000B07A7">
        <w:rPr>
          <w:rFonts w:ascii="Times New Roman" w:eastAsia="Times New Roman" w:hAnsi="Times New Roman" w:cs="Times New Roman"/>
          <w:bCs/>
          <w:sz w:val="24"/>
          <w:szCs w:val="24"/>
          <w:lang w:val="en-IN"/>
        </w:rPr>
        <w:t> or </w:t>
      </w:r>
      <w:hyperlink r:id="rId7" w:tgtFrame="_blank" w:history="1">
        <w:r w:rsidRPr="000B07A7">
          <w:rPr>
            <w:rStyle w:val="Hyperlink"/>
            <w:rFonts w:ascii="Times New Roman" w:eastAsia="Times New Roman" w:hAnsi="Times New Roman" w:cs="Times New Roman"/>
            <w:bCs/>
            <w:sz w:val="24"/>
            <w:szCs w:val="24"/>
            <w:lang w:val="en-IN"/>
          </w:rPr>
          <w:t>http://dx.doi.org/10.2139/ssrn.4218617</w:t>
        </w:r>
      </w:hyperlink>
      <w:r w:rsidRPr="000B07A7">
        <w:rPr>
          <w:rFonts w:ascii="Times New Roman" w:eastAsia="Times New Roman" w:hAnsi="Times New Roman" w:cs="Times New Roman"/>
          <w:bCs/>
          <w:sz w:val="24"/>
          <w:szCs w:val="24"/>
          <w:lang w:val="en-IN"/>
        </w:rPr>
        <w:t>.</w:t>
      </w:r>
    </w:p>
    <w:p w:rsidR="00C95EB2" w:rsidRPr="000B07A7" w:rsidRDefault="00C95EB2" w:rsidP="00C95EB2">
      <w:pPr>
        <w:pStyle w:val="ListParagraph"/>
        <w:numPr>
          <w:ilvl w:val="0"/>
          <w:numId w:val="9"/>
        </w:numPr>
        <w:spacing w:after="160" w:line="279" w:lineRule="auto"/>
        <w:jc w:val="both"/>
        <w:rPr>
          <w:rFonts w:ascii="Times New Roman" w:hAnsi="Times New Roman" w:cs="Times New Roman"/>
          <w:sz w:val="24"/>
          <w:szCs w:val="24"/>
          <w:lang w:val="en-IN"/>
        </w:rPr>
      </w:pPr>
      <w:proofErr w:type="spellStart"/>
      <w:r w:rsidRPr="000B07A7">
        <w:rPr>
          <w:rFonts w:ascii="Times New Roman" w:eastAsia="Times New Roman" w:hAnsi="Times New Roman" w:cs="Times New Roman"/>
          <w:bCs/>
          <w:sz w:val="24"/>
          <w:szCs w:val="24"/>
        </w:rPr>
        <w:t>G.Kamal</w:t>
      </w:r>
      <w:proofErr w:type="spellEnd"/>
      <w:r w:rsidRPr="000B07A7">
        <w:rPr>
          <w:rFonts w:ascii="Times New Roman" w:eastAsia="Times New Roman" w:hAnsi="Times New Roman" w:cs="Times New Roman"/>
          <w:bCs/>
          <w:sz w:val="24"/>
          <w:szCs w:val="24"/>
        </w:rPr>
        <w:t xml:space="preserve">, A Study on Financial Performance using Ratios of KCP Sugars and I C Limited, Andhra Pradesh”.  The International Journal of Analytical and </w:t>
      </w:r>
      <w:r w:rsidRPr="000B07A7">
        <w:rPr>
          <w:rFonts w:ascii="Times New Roman" w:eastAsia="Times New Roman" w:hAnsi="Times New Roman" w:cs="Times New Roman"/>
          <w:bCs/>
          <w:sz w:val="24"/>
          <w:szCs w:val="24"/>
        </w:rPr>
        <w:lastRenderedPageBreak/>
        <w:t xml:space="preserve">Experimental Model Analysis. Volume XIII, Issue VIII, August/2021, </w:t>
      </w:r>
      <w:r w:rsidRPr="000B07A7">
        <w:rPr>
          <w:rFonts w:ascii="Times New Roman" w:eastAsia="Times New Roman" w:hAnsi="Times New Roman" w:cs="Times New Roman"/>
          <w:bCs/>
          <w:sz w:val="24"/>
          <w:szCs w:val="24"/>
          <w:lang w:val="en-IN"/>
        </w:rPr>
        <w:t>pp 1356-1363,</w:t>
      </w:r>
      <w:r w:rsidRPr="000B07A7">
        <w:rPr>
          <w:rFonts w:ascii="Times New Roman" w:eastAsia="Times New Roman" w:hAnsi="Times New Roman" w:cs="Times New Roman"/>
          <w:bCs/>
          <w:sz w:val="24"/>
          <w:szCs w:val="24"/>
        </w:rPr>
        <w:t xml:space="preserve"> ISSN: 0886-9367.</w:t>
      </w:r>
    </w:p>
    <w:p w:rsidR="00C76667" w:rsidRPr="000B07A7" w:rsidRDefault="00C76667" w:rsidP="00C76667">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Rao</w:t>
      </w:r>
      <w:proofErr w:type="spellEnd"/>
      <w:r w:rsidRPr="000B07A7">
        <w:rPr>
          <w:rFonts w:ascii="Times New Roman" w:hAnsi="Times New Roman" w:cs="Times New Roman"/>
          <w:sz w:val="24"/>
          <w:szCs w:val="24"/>
        </w:rPr>
        <w:t>, A. N. INTERRELATION BETWEEN EMPLOYEE ENGAGEMENT AND INTERNAL BRANDING AND ITS OUTCOMES (A study with reference to Employees from IT sector).</w:t>
      </w:r>
    </w:p>
    <w:p w:rsidR="00C76667" w:rsidRPr="000B07A7" w:rsidRDefault="00C76667" w:rsidP="00C76667">
      <w:pPr>
        <w:pStyle w:val="ListParagraph"/>
        <w:numPr>
          <w:ilvl w:val="0"/>
          <w:numId w:val="9"/>
        </w:numPr>
        <w:spacing w:after="160" w:line="279" w:lineRule="auto"/>
        <w:jc w:val="both"/>
        <w:rPr>
          <w:rFonts w:ascii="Times New Roman" w:hAnsi="Times New Roman" w:cs="Times New Roman"/>
          <w:sz w:val="24"/>
          <w:szCs w:val="24"/>
          <w:lang w:val="en-IN"/>
        </w:rPr>
      </w:pPr>
      <w:r w:rsidRPr="000B07A7">
        <w:rPr>
          <w:rFonts w:ascii="Times New Roman" w:hAnsi="Times New Roman" w:cs="Times New Roman"/>
          <w:sz w:val="24"/>
          <w:szCs w:val="24"/>
        </w:rPr>
        <w:t xml:space="preserve">TS </w:t>
      </w:r>
      <w:proofErr w:type="spellStart"/>
      <w:r w:rsidRPr="000B07A7">
        <w:rPr>
          <w:rFonts w:ascii="Times New Roman" w:hAnsi="Times New Roman" w:cs="Times New Roman"/>
          <w:sz w:val="24"/>
          <w:szCs w:val="24"/>
        </w:rPr>
        <w:t>Leelavati</w:t>
      </w:r>
      <w:proofErr w:type="spellEnd"/>
      <w:r w:rsidRPr="000B07A7">
        <w:rPr>
          <w:rFonts w:ascii="Times New Roman" w:hAnsi="Times New Roman" w:cs="Times New Roman"/>
          <w:sz w:val="24"/>
          <w:szCs w:val="24"/>
        </w:rPr>
        <w:t xml:space="preserve">, S </w:t>
      </w:r>
      <w:proofErr w:type="spellStart"/>
      <w:r w:rsidRPr="000B07A7">
        <w:rPr>
          <w:rFonts w:ascii="Times New Roman" w:hAnsi="Times New Roman" w:cs="Times New Roman"/>
          <w:sz w:val="24"/>
          <w:szCs w:val="24"/>
        </w:rPr>
        <w:t>Madhavi</w:t>
      </w:r>
      <w:proofErr w:type="spellEnd"/>
      <w:r w:rsidRPr="000B07A7">
        <w:rPr>
          <w:rFonts w:ascii="Times New Roman" w:hAnsi="Times New Roman" w:cs="Times New Roman"/>
          <w:sz w:val="24"/>
          <w:szCs w:val="24"/>
        </w:rPr>
        <w:t xml:space="preserve">, G </w:t>
      </w:r>
      <w:proofErr w:type="spellStart"/>
      <w:r w:rsidRPr="000B07A7">
        <w:rPr>
          <w:rFonts w:ascii="Times New Roman" w:hAnsi="Times New Roman" w:cs="Times New Roman"/>
          <w:sz w:val="24"/>
          <w:szCs w:val="24"/>
        </w:rPr>
        <w:t>Kamal</w:t>
      </w:r>
      <w:proofErr w:type="spellEnd"/>
      <w:r w:rsidRPr="000B07A7">
        <w:rPr>
          <w:rFonts w:ascii="Times New Roman" w:hAnsi="Times New Roman" w:cs="Times New Roman"/>
          <w:sz w:val="24"/>
          <w:szCs w:val="24"/>
        </w:rPr>
        <w:t xml:space="preserve">, PVM </w:t>
      </w:r>
      <w:proofErr w:type="spellStart"/>
      <w:r w:rsidRPr="000B07A7">
        <w:rPr>
          <w:rFonts w:ascii="Times New Roman" w:hAnsi="Times New Roman" w:cs="Times New Roman"/>
          <w:sz w:val="24"/>
          <w:szCs w:val="24"/>
        </w:rPr>
        <w:t>Raju</w:t>
      </w:r>
      <w:proofErr w:type="spellEnd"/>
      <w:r w:rsidRPr="000B07A7">
        <w:rPr>
          <w:rFonts w:ascii="Times New Roman" w:hAnsi="Times New Roman" w:cs="Times New Roman"/>
          <w:sz w:val="24"/>
          <w:szCs w:val="24"/>
        </w:rPr>
        <w:t xml:space="preserve">, K </w:t>
      </w:r>
      <w:proofErr w:type="spellStart"/>
      <w:r w:rsidRPr="000B07A7">
        <w:rPr>
          <w:rFonts w:ascii="Times New Roman" w:hAnsi="Times New Roman" w:cs="Times New Roman"/>
          <w:sz w:val="24"/>
          <w:szCs w:val="24"/>
        </w:rPr>
        <w:t>Susmitha</w:t>
      </w:r>
      <w:proofErr w:type="spellEnd"/>
      <w:r w:rsidRPr="000B07A7">
        <w:rPr>
          <w:rFonts w:ascii="Times New Roman" w:hAnsi="Times New Roman" w:cs="Times New Roman"/>
          <w:sz w:val="24"/>
          <w:szCs w:val="24"/>
        </w:rPr>
        <w:t xml:space="preserve">, M </w:t>
      </w:r>
      <w:proofErr w:type="spellStart"/>
      <w:r w:rsidRPr="000B07A7">
        <w:rPr>
          <w:rFonts w:ascii="Times New Roman" w:hAnsi="Times New Roman" w:cs="Times New Roman"/>
          <w:sz w:val="24"/>
          <w:szCs w:val="24"/>
        </w:rPr>
        <w:t>Vinod</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Shaik</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Aminabee</w:t>
      </w:r>
      <w:proofErr w:type="spellEnd"/>
      <w:r w:rsidRPr="000B07A7">
        <w:rPr>
          <w:rFonts w:ascii="Times New Roman" w:hAnsi="Times New Roman" w:cs="Times New Roman"/>
          <w:sz w:val="24"/>
          <w:szCs w:val="24"/>
        </w:rPr>
        <w:t xml:space="preserve">, Revolutionizing Healthcare Delivery: Telemedicine's Influence on Access and Patient Satisfaction, International Journal of Chemical and Biochemical Sciences, Vol.: 24, No. : 5, 2023, </w:t>
      </w:r>
      <w:r w:rsidRPr="000B07A7">
        <w:rPr>
          <w:rFonts w:ascii="Times New Roman" w:hAnsi="Times New Roman" w:cs="Times New Roman"/>
          <w:sz w:val="24"/>
          <w:szCs w:val="24"/>
          <w:lang w:val="en-IN"/>
        </w:rPr>
        <w:t xml:space="preserve">pp 106-115, </w:t>
      </w:r>
      <w:r w:rsidRPr="000B07A7">
        <w:rPr>
          <w:rFonts w:ascii="Times New Roman" w:hAnsi="Times New Roman" w:cs="Times New Roman"/>
          <w:sz w:val="24"/>
          <w:szCs w:val="24"/>
        </w:rPr>
        <w:t>ISSN 2226-9614</w:t>
      </w:r>
      <w:r w:rsidRPr="000B07A7">
        <w:rPr>
          <w:rFonts w:ascii="Times New Roman" w:hAnsi="Times New Roman" w:cs="Times New Roman"/>
          <w:sz w:val="24"/>
          <w:szCs w:val="24"/>
          <w:lang w:val="en-IN"/>
        </w:rPr>
        <w:t>.</w:t>
      </w:r>
    </w:p>
    <w:p w:rsidR="00C76667" w:rsidRPr="000B07A7" w:rsidRDefault="00C76667" w:rsidP="00C76667">
      <w:pPr>
        <w:pStyle w:val="ListParagraph"/>
        <w:numPr>
          <w:ilvl w:val="0"/>
          <w:numId w:val="9"/>
        </w:numPr>
        <w:spacing w:after="160" w:line="279" w:lineRule="auto"/>
        <w:jc w:val="both"/>
        <w:rPr>
          <w:rFonts w:ascii="Times New Roman" w:hAnsi="Times New Roman" w:cs="Times New Roman"/>
          <w:sz w:val="24"/>
          <w:szCs w:val="24"/>
          <w:lang w:val="en-IN"/>
        </w:rPr>
      </w:pPr>
      <w:proofErr w:type="spellStart"/>
      <w:r w:rsidRPr="000B07A7">
        <w:rPr>
          <w:rFonts w:ascii="Times New Roman" w:hAnsi="Times New Roman" w:cs="Times New Roman"/>
          <w:sz w:val="24"/>
          <w:szCs w:val="24"/>
          <w:lang w:val="en-IN"/>
        </w:rPr>
        <w:t>G.Kamal</w:t>
      </w:r>
      <w:proofErr w:type="spellEnd"/>
      <w:r w:rsidRPr="000B07A7">
        <w:rPr>
          <w:rFonts w:ascii="Times New Roman" w:hAnsi="Times New Roman" w:cs="Times New Roman"/>
          <w:sz w:val="24"/>
          <w:szCs w:val="24"/>
          <w:lang w:val="en-IN"/>
        </w:rPr>
        <w:t>, Role of SHGs in Empowering Women in Marine Fishing Community, International Journal of Emerging Technologies and Innovative Research (</w:t>
      </w:r>
      <w:hyperlink r:id="rId8" w:tgtFrame="_blank" w:history="1">
        <w:r w:rsidRPr="000B07A7">
          <w:rPr>
            <w:rStyle w:val="Hyperlink"/>
            <w:rFonts w:ascii="Times New Roman" w:eastAsia="Times New Roman" w:hAnsi="Times New Roman" w:cs="Times New Roman"/>
            <w:bCs/>
            <w:sz w:val="24"/>
            <w:szCs w:val="24"/>
            <w:lang w:val="en-IN"/>
          </w:rPr>
          <w:t>www.jetir.org</w:t>
        </w:r>
      </w:hyperlink>
      <w:r w:rsidRPr="000B07A7">
        <w:rPr>
          <w:rFonts w:ascii="Times New Roman" w:hAnsi="Times New Roman" w:cs="Times New Roman"/>
          <w:sz w:val="24"/>
          <w:szCs w:val="24"/>
          <w:lang w:val="en-IN"/>
        </w:rPr>
        <w:t>), ISSN:2349-5162, Vol.5, Issue:9, page no. 169-173, September-2018.</w:t>
      </w:r>
    </w:p>
    <w:p w:rsidR="002D1B3E" w:rsidRPr="000B07A7" w:rsidRDefault="002D1B3E" w:rsidP="002D1B3E">
      <w:pPr>
        <w:pStyle w:val="ListParagraph"/>
        <w:numPr>
          <w:ilvl w:val="0"/>
          <w:numId w:val="9"/>
        </w:numPr>
        <w:spacing w:before="43" w:after="0" w:line="240"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shd w:val="clear" w:color="auto" w:fill="FFFFFF"/>
        </w:rPr>
        <w:t>Kumari</w:t>
      </w:r>
      <w:proofErr w:type="spellEnd"/>
      <w:r w:rsidRPr="000B07A7">
        <w:rPr>
          <w:rFonts w:ascii="Times New Roman" w:hAnsi="Times New Roman" w:cs="Times New Roman"/>
          <w:sz w:val="24"/>
          <w:szCs w:val="24"/>
          <w:shd w:val="clear" w:color="auto" w:fill="FFFFFF"/>
        </w:rPr>
        <w:t xml:space="preserve">, M. Y. N., &amp; </w:t>
      </w:r>
      <w:proofErr w:type="spellStart"/>
      <w:r w:rsidRPr="000B07A7">
        <w:rPr>
          <w:rFonts w:ascii="Times New Roman" w:hAnsi="Times New Roman" w:cs="Times New Roman"/>
          <w:sz w:val="24"/>
          <w:szCs w:val="24"/>
          <w:shd w:val="clear" w:color="auto" w:fill="FFFFFF"/>
        </w:rPr>
        <w:t>Leelavati</w:t>
      </w:r>
      <w:proofErr w:type="spellEnd"/>
      <w:r w:rsidRPr="000B07A7">
        <w:rPr>
          <w:rFonts w:ascii="Times New Roman" w:hAnsi="Times New Roman" w:cs="Times New Roman"/>
          <w:sz w:val="24"/>
          <w:szCs w:val="24"/>
          <w:shd w:val="clear" w:color="auto" w:fill="FFFFFF"/>
        </w:rPr>
        <w:t>, M. T. GREEN HUMAN RESOURCE MANAGEMENT PRACTICES AND IMPLEMENTATION IN ORGANISATIONS.</w:t>
      </w:r>
    </w:p>
    <w:p w:rsidR="006C5BC8" w:rsidRPr="000B07A7" w:rsidRDefault="006C5BC8" w:rsidP="006C5BC8">
      <w:pPr>
        <w:pStyle w:val="ListParagraph"/>
        <w:numPr>
          <w:ilvl w:val="0"/>
          <w:numId w:val="9"/>
        </w:numPr>
        <w:spacing w:after="160" w:line="279" w:lineRule="auto"/>
        <w:jc w:val="both"/>
        <w:rPr>
          <w:rFonts w:ascii="Times New Roman" w:hAnsi="Times New Roman" w:cs="Times New Roman"/>
          <w:sz w:val="24"/>
          <w:szCs w:val="24"/>
          <w:lang w:val="en-IN"/>
        </w:rPr>
      </w:pPr>
      <w:proofErr w:type="spellStart"/>
      <w:r w:rsidRPr="000B07A7">
        <w:rPr>
          <w:rFonts w:ascii="Times New Roman" w:eastAsia="Times New Roman" w:hAnsi="Times New Roman" w:cs="Times New Roman"/>
          <w:bCs/>
          <w:sz w:val="24"/>
          <w:szCs w:val="24"/>
        </w:rPr>
        <w:t>G.Kamal</w:t>
      </w:r>
      <w:proofErr w:type="spellEnd"/>
      <w:r w:rsidRPr="000B07A7">
        <w:rPr>
          <w:rFonts w:ascii="Times New Roman" w:eastAsia="Times New Roman" w:hAnsi="Times New Roman" w:cs="Times New Roman"/>
          <w:bCs/>
          <w:sz w:val="24"/>
          <w:szCs w:val="24"/>
        </w:rPr>
        <w:t xml:space="preserve">, A Study on Financial Performance using Ratios of KCP Sugars and I C Limited, Andhra Pradesh”.  The International Journal of Analytical and Experimental Model Analysis. Volume XIII, Issue VIII, August/2021, </w:t>
      </w:r>
      <w:r w:rsidRPr="000B07A7">
        <w:rPr>
          <w:rFonts w:ascii="Times New Roman" w:eastAsia="Times New Roman" w:hAnsi="Times New Roman" w:cs="Times New Roman"/>
          <w:bCs/>
          <w:sz w:val="24"/>
          <w:szCs w:val="24"/>
          <w:lang w:val="en-IN"/>
        </w:rPr>
        <w:t>pp 1356-1363,</w:t>
      </w:r>
      <w:r w:rsidRPr="000B07A7">
        <w:rPr>
          <w:rFonts w:ascii="Times New Roman" w:eastAsia="Times New Roman" w:hAnsi="Times New Roman" w:cs="Times New Roman"/>
          <w:bCs/>
          <w:sz w:val="24"/>
          <w:szCs w:val="24"/>
        </w:rPr>
        <w:t xml:space="preserve"> ISSN: 0886-9367.</w:t>
      </w:r>
    </w:p>
    <w:p w:rsidR="006C5BC8" w:rsidRPr="000B07A7" w:rsidRDefault="006C5BC8" w:rsidP="006C5BC8">
      <w:pPr>
        <w:pStyle w:val="ListParagraph"/>
        <w:numPr>
          <w:ilvl w:val="0"/>
          <w:numId w:val="9"/>
        </w:numPr>
        <w:spacing w:after="160" w:line="279" w:lineRule="auto"/>
        <w:jc w:val="both"/>
        <w:rPr>
          <w:rFonts w:ascii="Times New Roman" w:hAnsi="Times New Roman" w:cs="Times New Roman"/>
          <w:sz w:val="24"/>
          <w:szCs w:val="24"/>
          <w:lang w:val="en-IN"/>
        </w:rPr>
      </w:pPr>
      <w:proofErr w:type="spellStart"/>
      <w:r w:rsidRPr="000B07A7">
        <w:rPr>
          <w:rFonts w:ascii="Times New Roman" w:eastAsia="Times New Roman" w:hAnsi="Times New Roman" w:cs="Times New Roman"/>
          <w:bCs/>
          <w:sz w:val="24"/>
          <w:szCs w:val="24"/>
        </w:rPr>
        <w:t>G.Kamal</w:t>
      </w:r>
      <w:proofErr w:type="spellEnd"/>
      <w:r w:rsidRPr="000B07A7">
        <w:rPr>
          <w:rFonts w:ascii="Times New Roman" w:eastAsia="Times New Roman" w:hAnsi="Times New Roman" w:cs="Times New Roman"/>
          <w:bCs/>
          <w:sz w:val="24"/>
          <w:szCs w:val="24"/>
        </w:rPr>
        <w:t xml:space="preserve">, A Study on Funds Flow Statement in and Organization using Data Analysis” Journal of Education: </w:t>
      </w:r>
      <w:proofErr w:type="spellStart"/>
      <w:r w:rsidRPr="000B07A7">
        <w:rPr>
          <w:rFonts w:ascii="Times New Roman" w:eastAsia="Times New Roman" w:hAnsi="Times New Roman" w:cs="Times New Roman"/>
          <w:bCs/>
          <w:sz w:val="24"/>
          <w:szCs w:val="24"/>
        </w:rPr>
        <w:t>Rabindrabharati</w:t>
      </w:r>
      <w:proofErr w:type="spellEnd"/>
      <w:r w:rsidRPr="000B07A7">
        <w:rPr>
          <w:rFonts w:ascii="Times New Roman" w:eastAsia="Times New Roman" w:hAnsi="Times New Roman" w:cs="Times New Roman"/>
          <w:bCs/>
          <w:sz w:val="24"/>
          <w:szCs w:val="24"/>
        </w:rPr>
        <w:t xml:space="preserve"> University, Vol.: XXIII, No. : 7, 2020– 2021, </w:t>
      </w:r>
      <w:r w:rsidRPr="000B07A7">
        <w:rPr>
          <w:rFonts w:ascii="Times New Roman" w:eastAsia="Times New Roman" w:hAnsi="Times New Roman" w:cs="Times New Roman"/>
          <w:bCs/>
          <w:sz w:val="24"/>
          <w:szCs w:val="24"/>
          <w:lang w:val="en-IN"/>
        </w:rPr>
        <w:t>pp 187-192</w:t>
      </w:r>
      <w:r w:rsidRPr="000B07A7">
        <w:rPr>
          <w:rFonts w:ascii="Times New Roman" w:eastAsia="Times New Roman" w:hAnsi="Times New Roman" w:cs="Times New Roman"/>
          <w:bCs/>
          <w:sz w:val="24"/>
          <w:szCs w:val="24"/>
        </w:rPr>
        <w:t>, ISSN: 0972-7175.</w:t>
      </w:r>
    </w:p>
    <w:p w:rsidR="00A931A1" w:rsidRPr="000B07A7" w:rsidRDefault="00A931A1" w:rsidP="00A931A1">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Mutyala</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Vinod</w:t>
      </w:r>
      <w:proofErr w:type="spellEnd"/>
      <w:r w:rsidRPr="000B07A7">
        <w:rPr>
          <w:rFonts w:ascii="Times New Roman" w:hAnsi="Times New Roman" w:cs="Times New Roman"/>
          <w:sz w:val="24"/>
          <w:szCs w:val="24"/>
        </w:rPr>
        <w:t xml:space="preserve"> &amp; </w:t>
      </w:r>
      <w:proofErr w:type="spellStart"/>
      <w:r w:rsidRPr="000B07A7">
        <w:rPr>
          <w:rFonts w:ascii="Times New Roman" w:hAnsi="Times New Roman" w:cs="Times New Roman"/>
          <w:sz w:val="24"/>
          <w:szCs w:val="24"/>
        </w:rPr>
        <w:t>Tummalapalli</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Hemanth</w:t>
      </w:r>
      <w:proofErr w:type="spellEnd"/>
      <w:r w:rsidRPr="000B07A7">
        <w:rPr>
          <w:rFonts w:ascii="Times New Roman" w:hAnsi="Times New Roman" w:cs="Times New Roman"/>
          <w:sz w:val="24"/>
          <w:szCs w:val="24"/>
        </w:rPr>
        <w:t>. (2018). Challenges of Recruitment and Selection in Indian Healthcare Industry. 4. 232-234. 10.18231/2454-9150.2018.0615.</w:t>
      </w:r>
    </w:p>
    <w:p w:rsidR="00A41DC4" w:rsidRPr="000B07A7" w:rsidRDefault="00A41DC4" w:rsidP="00A41DC4">
      <w:pPr>
        <w:pStyle w:val="ListParagraph"/>
        <w:numPr>
          <w:ilvl w:val="0"/>
          <w:numId w:val="9"/>
        </w:numPr>
        <w:spacing w:before="43" w:after="0" w:line="240" w:lineRule="auto"/>
        <w:jc w:val="both"/>
        <w:rPr>
          <w:rFonts w:ascii="Times New Roman" w:hAnsi="Times New Roman" w:cs="Times New Roman"/>
          <w:sz w:val="24"/>
          <w:szCs w:val="24"/>
        </w:rPr>
      </w:pPr>
      <w:r w:rsidRPr="000B07A7">
        <w:rPr>
          <w:rFonts w:ascii="Times New Roman" w:hAnsi="Times New Roman" w:cs="Times New Roman"/>
          <w:sz w:val="24"/>
          <w:szCs w:val="24"/>
          <w:shd w:val="clear" w:color="auto" w:fill="FFFFFF"/>
        </w:rPr>
        <w:t xml:space="preserve">Kumar, T. H., </w:t>
      </w:r>
      <w:proofErr w:type="spellStart"/>
      <w:r w:rsidRPr="000B07A7">
        <w:rPr>
          <w:rFonts w:ascii="Times New Roman" w:hAnsi="Times New Roman" w:cs="Times New Roman"/>
          <w:sz w:val="24"/>
          <w:szCs w:val="24"/>
          <w:shd w:val="clear" w:color="auto" w:fill="FFFFFF"/>
        </w:rPr>
        <w:t>Kumari</w:t>
      </w:r>
      <w:proofErr w:type="spellEnd"/>
      <w:r w:rsidRPr="000B07A7">
        <w:rPr>
          <w:rFonts w:ascii="Times New Roman" w:hAnsi="Times New Roman" w:cs="Times New Roman"/>
          <w:sz w:val="24"/>
          <w:szCs w:val="24"/>
          <w:shd w:val="clear" w:color="auto" w:fill="FFFFFF"/>
        </w:rPr>
        <w:t xml:space="preserve">, Y. N., </w:t>
      </w:r>
      <w:proofErr w:type="spellStart"/>
      <w:r w:rsidRPr="000B07A7">
        <w:rPr>
          <w:rFonts w:ascii="Times New Roman" w:hAnsi="Times New Roman" w:cs="Times New Roman"/>
          <w:sz w:val="24"/>
          <w:szCs w:val="24"/>
          <w:shd w:val="clear" w:color="auto" w:fill="FFFFFF"/>
        </w:rPr>
        <w:t>Rao</w:t>
      </w:r>
      <w:proofErr w:type="spellEnd"/>
      <w:r w:rsidRPr="000B07A7">
        <w:rPr>
          <w:rFonts w:ascii="Times New Roman" w:hAnsi="Times New Roman" w:cs="Times New Roman"/>
          <w:sz w:val="24"/>
          <w:szCs w:val="24"/>
          <w:shd w:val="clear" w:color="auto" w:fill="FFFFFF"/>
        </w:rPr>
        <w:t xml:space="preserve">, A. N., </w:t>
      </w:r>
      <w:proofErr w:type="spellStart"/>
      <w:r w:rsidRPr="000B07A7">
        <w:rPr>
          <w:rFonts w:ascii="Times New Roman" w:hAnsi="Times New Roman" w:cs="Times New Roman"/>
          <w:sz w:val="24"/>
          <w:szCs w:val="24"/>
          <w:shd w:val="clear" w:color="auto" w:fill="FFFFFF"/>
        </w:rPr>
        <w:t>Kumari</w:t>
      </w:r>
      <w:proofErr w:type="spellEnd"/>
      <w:r w:rsidRPr="000B07A7">
        <w:rPr>
          <w:rFonts w:ascii="Times New Roman" w:hAnsi="Times New Roman" w:cs="Times New Roman"/>
          <w:sz w:val="24"/>
          <w:szCs w:val="24"/>
          <w:shd w:val="clear" w:color="auto" w:fill="FFFFFF"/>
        </w:rPr>
        <w:t xml:space="preserve">, C. L. M., </w:t>
      </w:r>
      <w:proofErr w:type="spellStart"/>
      <w:r w:rsidRPr="000B07A7">
        <w:rPr>
          <w:rFonts w:ascii="Times New Roman" w:hAnsi="Times New Roman" w:cs="Times New Roman"/>
          <w:sz w:val="24"/>
          <w:szCs w:val="24"/>
          <w:shd w:val="clear" w:color="auto" w:fill="FFFFFF"/>
        </w:rPr>
        <w:t>Janaki</w:t>
      </w:r>
      <w:proofErr w:type="spellEnd"/>
      <w:r w:rsidRPr="000B07A7">
        <w:rPr>
          <w:rFonts w:ascii="Times New Roman" w:hAnsi="Times New Roman" w:cs="Times New Roman"/>
          <w:sz w:val="24"/>
          <w:szCs w:val="24"/>
          <w:shd w:val="clear" w:color="auto" w:fill="FFFFFF"/>
        </w:rPr>
        <w:t xml:space="preserve">, G., </w:t>
      </w:r>
      <w:proofErr w:type="spellStart"/>
      <w:r w:rsidRPr="000B07A7">
        <w:rPr>
          <w:rFonts w:ascii="Times New Roman" w:hAnsi="Times New Roman" w:cs="Times New Roman"/>
          <w:sz w:val="24"/>
          <w:szCs w:val="24"/>
          <w:shd w:val="clear" w:color="auto" w:fill="FFFFFF"/>
        </w:rPr>
        <w:t>Lakshmi</w:t>
      </w:r>
      <w:proofErr w:type="spellEnd"/>
      <w:r w:rsidRPr="000B07A7">
        <w:rPr>
          <w:rFonts w:ascii="Times New Roman" w:hAnsi="Times New Roman" w:cs="Times New Roman"/>
          <w:sz w:val="24"/>
          <w:szCs w:val="24"/>
          <w:shd w:val="clear" w:color="auto" w:fill="FFFFFF"/>
        </w:rPr>
        <w:t xml:space="preserve">, P. A., &amp; Krishna, J. S. S. (2022). HR Analytics as a </w:t>
      </w:r>
      <w:proofErr w:type="spellStart"/>
      <w:r w:rsidRPr="000B07A7">
        <w:rPr>
          <w:rFonts w:ascii="Times New Roman" w:hAnsi="Times New Roman" w:cs="Times New Roman"/>
          <w:sz w:val="24"/>
          <w:szCs w:val="24"/>
          <w:shd w:val="clear" w:color="auto" w:fill="FFFFFF"/>
        </w:rPr>
        <w:t>ModeratingRole</w:t>
      </w:r>
      <w:proofErr w:type="spellEnd"/>
      <w:r w:rsidRPr="000B07A7">
        <w:rPr>
          <w:rFonts w:ascii="Times New Roman" w:hAnsi="Times New Roman" w:cs="Times New Roman"/>
          <w:sz w:val="24"/>
          <w:szCs w:val="24"/>
          <w:shd w:val="clear" w:color="auto" w:fill="FFFFFF"/>
        </w:rPr>
        <w:t xml:space="preserve"> in Effective Employee Engagement and its Outcomes. </w:t>
      </w:r>
      <w:proofErr w:type="spellStart"/>
      <w:r w:rsidRPr="000B07A7">
        <w:rPr>
          <w:rFonts w:ascii="Times New Roman" w:hAnsi="Times New Roman" w:cs="Times New Roman"/>
          <w:iCs/>
          <w:sz w:val="24"/>
          <w:szCs w:val="24"/>
          <w:shd w:val="clear" w:color="auto" w:fill="FFFFFF"/>
        </w:rPr>
        <w:t>NeuroQuantology</w:t>
      </w:r>
      <w:proofErr w:type="spellEnd"/>
      <w:r w:rsidRPr="000B07A7">
        <w:rPr>
          <w:rFonts w:ascii="Times New Roman" w:hAnsi="Times New Roman" w:cs="Times New Roman"/>
          <w:sz w:val="24"/>
          <w:szCs w:val="24"/>
          <w:shd w:val="clear" w:color="auto" w:fill="FFFFFF"/>
        </w:rPr>
        <w:t>, </w:t>
      </w:r>
      <w:r w:rsidRPr="000B07A7">
        <w:rPr>
          <w:rFonts w:ascii="Times New Roman" w:hAnsi="Times New Roman" w:cs="Times New Roman"/>
          <w:iCs/>
          <w:sz w:val="24"/>
          <w:szCs w:val="24"/>
          <w:shd w:val="clear" w:color="auto" w:fill="FFFFFF"/>
        </w:rPr>
        <w:t>20</w:t>
      </w:r>
      <w:r w:rsidRPr="000B07A7">
        <w:rPr>
          <w:rFonts w:ascii="Times New Roman" w:hAnsi="Times New Roman" w:cs="Times New Roman"/>
          <w:sz w:val="24"/>
          <w:szCs w:val="24"/>
          <w:shd w:val="clear" w:color="auto" w:fill="FFFFFF"/>
        </w:rPr>
        <w:t>(8), 4913.</w:t>
      </w:r>
    </w:p>
    <w:p w:rsidR="000B07A7" w:rsidRPr="000B07A7" w:rsidRDefault="000B07A7" w:rsidP="000B07A7">
      <w:pPr>
        <w:pStyle w:val="ListParagraph"/>
        <w:numPr>
          <w:ilvl w:val="0"/>
          <w:numId w:val="9"/>
        </w:numPr>
        <w:spacing w:after="160" w:line="278" w:lineRule="auto"/>
        <w:jc w:val="both"/>
        <w:rPr>
          <w:rFonts w:ascii="Times New Roman" w:hAnsi="Times New Roman" w:cs="Times New Roman"/>
          <w:sz w:val="24"/>
          <w:szCs w:val="24"/>
        </w:rPr>
      </w:pPr>
      <w:proofErr w:type="spellStart"/>
      <w:r w:rsidRPr="000B07A7">
        <w:rPr>
          <w:rFonts w:ascii="Times New Roman" w:hAnsi="Times New Roman" w:cs="Times New Roman"/>
          <w:sz w:val="24"/>
          <w:szCs w:val="24"/>
        </w:rPr>
        <w:t>Rao</w:t>
      </w:r>
      <w:proofErr w:type="spellEnd"/>
      <w:r w:rsidRPr="000B07A7">
        <w:rPr>
          <w:rFonts w:ascii="Times New Roman" w:hAnsi="Times New Roman" w:cs="Times New Roman"/>
          <w:sz w:val="24"/>
          <w:szCs w:val="24"/>
        </w:rPr>
        <w:t>, A. N. INTERRELATION BETWEEN EMPLOYEE ENGAGEMENT AND INTERNAL BRANDING AND ITS OUTCOMES (A study with reference to Employees from IT sector).</w:t>
      </w:r>
    </w:p>
    <w:p w:rsidR="000B07A7" w:rsidRPr="000B07A7" w:rsidRDefault="000B07A7" w:rsidP="000B07A7">
      <w:pPr>
        <w:pStyle w:val="ListParagraph"/>
        <w:numPr>
          <w:ilvl w:val="0"/>
          <w:numId w:val="9"/>
        </w:numPr>
        <w:spacing w:after="160" w:line="279" w:lineRule="auto"/>
        <w:jc w:val="both"/>
        <w:rPr>
          <w:rFonts w:ascii="Times New Roman" w:hAnsi="Times New Roman" w:cs="Times New Roman"/>
          <w:sz w:val="24"/>
          <w:szCs w:val="24"/>
          <w:lang w:val="en-IN"/>
        </w:rPr>
      </w:pPr>
      <w:r w:rsidRPr="000B07A7">
        <w:rPr>
          <w:rFonts w:ascii="Times New Roman" w:hAnsi="Times New Roman" w:cs="Times New Roman"/>
          <w:sz w:val="24"/>
          <w:szCs w:val="24"/>
        </w:rPr>
        <w:t xml:space="preserve">TS </w:t>
      </w:r>
      <w:proofErr w:type="spellStart"/>
      <w:r w:rsidRPr="000B07A7">
        <w:rPr>
          <w:rFonts w:ascii="Times New Roman" w:hAnsi="Times New Roman" w:cs="Times New Roman"/>
          <w:sz w:val="24"/>
          <w:szCs w:val="24"/>
        </w:rPr>
        <w:t>Leelavati</w:t>
      </w:r>
      <w:proofErr w:type="spellEnd"/>
      <w:r w:rsidRPr="000B07A7">
        <w:rPr>
          <w:rFonts w:ascii="Times New Roman" w:hAnsi="Times New Roman" w:cs="Times New Roman"/>
          <w:sz w:val="24"/>
          <w:szCs w:val="24"/>
        </w:rPr>
        <w:t xml:space="preserve">, S </w:t>
      </w:r>
      <w:proofErr w:type="spellStart"/>
      <w:r w:rsidRPr="000B07A7">
        <w:rPr>
          <w:rFonts w:ascii="Times New Roman" w:hAnsi="Times New Roman" w:cs="Times New Roman"/>
          <w:sz w:val="24"/>
          <w:szCs w:val="24"/>
        </w:rPr>
        <w:t>Madhavi</w:t>
      </w:r>
      <w:proofErr w:type="spellEnd"/>
      <w:r w:rsidRPr="000B07A7">
        <w:rPr>
          <w:rFonts w:ascii="Times New Roman" w:hAnsi="Times New Roman" w:cs="Times New Roman"/>
          <w:sz w:val="24"/>
          <w:szCs w:val="24"/>
        </w:rPr>
        <w:t xml:space="preserve">, G </w:t>
      </w:r>
      <w:proofErr w:type="spellStart"/>
      <w:r w:rsidRPr="000B07A7">
        <w:rPr>
          <w:rFonts w:ascii="Times New Roman" w:hAnsi="Times New Roman" w:cs="Times New Roman"/>
          <w:sz w:val="24"/>
          <w:szCs w:val="24"/>
        </w:rPr>
        <w:t>Kamal</w:t>
      </w:r>
      <w:proofErr w:type="spellEnd"/>
      <w:r w:rsidRPr="000B07A7">
        <w:rPr>
          <w:rFonts w:ascii="Times New Roman" w:hAnsi="Times New Roman" w:cs="Times New Roman"/>
          <w:sz w:val="24"/>
          <w:szCs w:val="24"/>
        </w:rPr>
        <w:t xml:space="preserve">, PVM </w:t>
      </w:r>
      <w:proofErr w:type="spellStart"/>
      <w:r w:rsidRPr="000B07A7">
        <w:rPr>
          <w:rFonts w:ascii="Times New Roman" w:hAnsi="Times New Roman" w:cs="Times New Roman"/>
          <w:sz w:val="24"/>
          <w:szCs w:val="24"/>
        </w:rPr>
        <w:t>Raju</w:t>
      </w:r>
      <w:proofErr w:type="spellEnd"/>
      <w:r w:rsidRPr="000B07A7">
        <w:rPr>
          <w:rFonts w:ascii="Times New Roman" w:hAnsi="Times New Roman" w:cs="Times New Roman"/>
          <w:sz w:val="24"/>
          <w:szCs w:val="24"/>
        </w:rPr>
        <w:t xml:space="preserve">, K </w:t>
      </w:r>
      <w:proofErr w:type="spellStart"/>
      <w:r w:rsidRPr="000B07A7">
        <w:rPr>
          <w:rFonts w:ascii="Times New Roman" w:hAnsi="Times New Roman" w:cs="Times New Roman"/>
          <w:sz w:val="24"/>
          <w:szCs w:val="24"/>
        </w:rPr>
        <w:t>Susmitha</w:t>
      </w:r>
      <w:proofErr w:type="spellEnd"/>
      <w:r w:rsidRPr="000B07A7">
        <w:rPr>
          <w:rFonts w:ascii="Times New Roman" w:hAnsi="Times New Roman" w:cs="Times New Roman"/>
          <w:sz w:val="24"/>
          <w:szCs w:val="24"/>
        </w:rPr>
        <w:t xml:space="preserve">, M </w:t>
      </w:r>
      <w:proofErr w:type="spellStart"/>
      <w:r w:rsidRPr="000B07A7">
        <w:rPr>
          <w:rFonts w:ascii="Times New Roman" w:hAnsi="Times New Roman" w:cs="Times New Roman"/>
          <w:sz w:val="24"/>
          <w:szCs w:val="24"/>
        </w:rPr>
        <w:t>Vinod</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Shaik</w:t>
      </w:r>
      <w:proofErr w:type="spellEnd"/>
      <w:r w:rsidRPr="000B07A7">
        <w:rPr>
          <w:rFonts w:ascii="Times New Roman" w:hAnsi="Times New Roman" w:cs="Times New Roman"/>
          <w:sz w:val="24"/>
          <w:szCs w:val="24"/>
        </w:rPr>
        <w:t xml:space="preserve"> </w:t>
      </w:r>
      <w:proofErr w:type="spellStart"/>
      <w:r w:rsidRPr="000B07A7">
        <w:rPr>
          <w:rFonts w:ascii="Times New Roman" w:hAnsi="Times New Roman" w:cs="Times New Roman"/>
          <w:sz w:val="24"/>
          <w:szCs w:val="24"/>
        </w:rPr>
        <w:t>Aminabee</w:t>
      </w:r>
      <w:proofErr w:type="spellEnd"/>
      <w:r w:rsidRPr="000B07A7">
        <w:rPr>
          <w:rFonts w:ascii="Times New Roman" w:hAnsi="Times New Roman" w:cs="Times New Roman"/>
          <w:sz w:val="24"/>
          <w:szCs w:val="24"/>
        </w:rPr>
        <w:t xml:space="preserve">, Revolutionizing Healthcare Delivery: Telemedicine's Influence on Access and Patient Satisfaction, International Journal of Chemical and Biochemical Sciences, Vol.: 24, No. : 5, 2023, </w:t>
      </w:r>
      <w:r w:rsidRPr="000B07A7">
        <w:rPr>
          <w:rFonts w:ascii="Times New Roman" w:hAnsi="Times New Roman" w:cs="Times New Roman"/>
          <w:sz w:val="24"/>
          <w:szCs w:val="24"/>
          <w:lang w:val="en-IN"/>
        </w:rPr>
        <w:t xml:space="preserve">pp 106-115, </w:t>
      </w:r>
      <w:r w:rsidRPr="000B07A7">
        <w:rPr>
          <w:rFonts w:ascii="Times New Roman" w:hAnsi="Times New Roman" w:cs="Times New Roman"/>
          <w:sz w:val="24"/>
          <w:szCs w:val="24"/>
        </w:rPr>
        <w:t>ISSN 2226-9614</w:t>
      </w:r>
      <w:r w:rsidRPr="000B07A7">
        <w:rPr>
          <w:rFonts w:ascii="Times New Roman" w:hAnsi="Times New Roman" w:cs="Times New Roman"/>
          <w:sz w:val="24"/>
          <w:szCs w:val="24"/>
          <w:lang w:val="en-IN"/>
        </w:rPr>
        <w:t>.</w:t>
      </w:r>
    </w:p>
    <w:p w:rsidR="00532C89" w:rsidRPr="000B07A7" w:rsidRDefault="00532C89" w:rsidP="000B07A7">
      <w:pPr>
        <w:pStyle w:val="ListParagraph"/>
        <w:spacing w:after="160" w:line="279" w:lineRule="auto"/>
        <w:ind w:left="1170"/>
        <w:jc w:val="both"/>
        <w:rPr>
          <w:rFonts w:ascii="Times New Roman" w:hAnsi="Times New Roman" w:cs="Times New Roman"/>
          <w:sz w:val="24"/>
          <w:szCs w:val="24"/>
        </w:rPr>
      </w:pPr>
    </w:p>
    <w:sectPr w:rsidR="00532C89" w:rsidRPr="000B07A7" w:rsidSect="00D357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6E66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4183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F60A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D2E6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CCE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9C02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A0F60"/>
    <w:multiLevelType w:val="hybridMultilevel"/>
    <w:tmpl w:val="F3BA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55715"/>
    <w:multiLevelType w:val="hybridMultilevel"/>
    <w:tmpl w:val="F266F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538DC"/>
    <w:multiLevelType w:val="hybridMultilevel"/>
    <w:tmpl w:val="139EE986"/>
    <w:lvl w:ilvl="0" w:tplc="4424786E">
      <w:start w:val="1"/>
      <w:numFmt w:val="decimal"/>
      <w:lvlText w:val="%1."/>
      <w:lvlJc w:val="left"/>
      <w:pPr>
        <w:ind w:left="1170" w:hanging="360"/>
      </w:pPr>
      <w:rPr>
        <w:sz w:val="24"/>
        <w:szCs w:val="24"/>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D357EA"/>
    <w:rsid w:val="000B07A7"/>
    <w:rsid w:val="00276C17"/>
    <w:rsid w:val="002D1B3E"/>
    <w:rsid w:val="004008CA"/>
    <w:rsid w:val="00532C89"/>
    <w:rsid w:val="0060658F"/>
    <w:rsid w:val="00683B58"/>
    <w:rsid w:val="006C5BC8"/>
    <w:rsid w:val="00A41DC4"/>
    <w:rsid w:val="00A931A1"/>
    <w:rsid w:val="00AE370D"/>
    <w:rsid w:val="00C76667"/>
    <w:rsid w:val="00C95EB2"/>
    <w:rsid w:val="00D357EA"/>
    <w:rsid w:val="00E20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D357EA"/>
    <w:rPr>
      <w:b/>
      <w:bCs/>
      <w:i/>
      <w:iCs/>
      <w:color w:val="4F81BD"/>
    </w:rPr>
  </w:style>
  <w:style w:type="paragraph" w:styleId="NoSpacing">
    <w:name w:val="No Spacing"/>
    <w:uiPriority w:val="1"/>
    <w:qFormat/>
    <w:rsid w:val="00D357EA"/>
    <w:pPr>
      <w:spacing w:after="0" w:line="240" w:lineRule="auto"/>
    </w:pPr>
  </w:style>
  <w:style w:type="paragraph" w:styleId="ListParagraph">
    <w:name w:val="List Paragraph"/>
    <w:basedOn w:val="Normal"/>
    <w:uiPriority w:val="34"/>
    <w:qFormat/>
    <w:rsid w:val="00D357EA"/>
    <w:pPr>
      <w:ind w:left="720"/>
      <w:contextualSpacing/>
    </w:pPr>
  </w:style>
  <w:style w:type="table" w:styleId="TableGrid">
    <w:name w:val="Table Grid"/>
    <w:basedOn w:val="TableNormal"/>
    <w:uiPriority w:val="59"/>
    <w:rsid w:val="00D357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35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EA"/>
    <w:rPr>
      <w:b/>
      <w:bCs/>
    </w:rPr>
  </w:style>
  <w:style w:type="character" w:styleId="Hyperlink">
    <w:name w:val="Hyperlink"/>
    <w:basedOn w:val="DefaultParagraphFont"/>
    <w:uiPriority w:val="99"/>
    <w:unhideWhenUsed/>
    <w:rsid w:val="004008C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etir.org/" TargetMode="External"/><Relationship Id="rId3" Type="http://schemas.openxmlformats.org/officeDocument/2006/relationships/settings" Target="settings.xml"/><Relationship Id="rId7" Type="http://schemas.openxmlformats.org/officeDocument/2006/relationships/hyperlink" Target="http://dx.doi.org/10.2139/ssrn.4218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rn.com/abstract=4218617" TargetMode="External"/><Relationship Id="rId5" Type="http://schemas.openxmlformats.org/officeDocument/2006/relationships/hyperlink" Target="https://doi.org/10.1007/978-981-99-8745-0_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2482</Words>
  <Characters>14153</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2024-07-03T15:38:00Z</dcterms:created>
  <dcterms:modified xsi:type="dcterms:W3CDTF">2024-07-03T15:38:00Z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478b1675d567444bb2629c95868a1ac4</vt:lpwstr>
  </property>
</Properties>
</file>