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48" w:rsidRPr="001D0272" w:rsidRDefault="001D0272" w:rsidP="00FF4848">
      <w:pPr>
        <w:pStyle w:val="2"/>
        <w:spacing w:after="0" w:line="240" w:lineRule="auto"/>
        <w:ind w:firstLine="708"/>
        <w:contextualSpacing/>
        <w:mirrorIndents/>
        <w:jc w:val="center"/>
        <w:rPr>
          <w:rFonts w:ascii="Times New Roman" w:hAnsi="Times New Roman"/>
          <w:b/>
          <w:color w:val="000000" w:themeColor="text1"/>
          <w:spacing w:val="-4"/>
          <w:szCs w:val="28"/>
          <w:lang w:val="en-US"/>
        </w:rPr>
      </w:pPr>
      <w:r>
        <w:rPr>
          <w:rFonts w:ascii="Times New Roman" w:hAnsi="Times New Roman"/>
          <w:b/>
          <w:color w:val="000000" w:themeColor="text1"/>
          <w:spacing w:val="-4"/>
          <w:szCs w:val="28"/>
          <w:lang w:val="en-US"/>
        </w:rPr>
        <w:t xml:space="preserve">OPPORTUNITIES TO USE THE EXPERIENCE </w:t>
      </w:r>
      <w:r w:rsidR="00C61E2B">
        <w:rPr>
          <w:rFonts w:ascii="Times New Roman" w:hAnsi="Times New Roman"/>
          <w:b/>
          <w:color w:val="000000" w:themeColor="text1"/>
          <w:spacing w:val="-4"/>
          <w:szCs w:val="28"/>
          <w:lang w:val="uz-Cyrl-UZ"/>
        </w:rPr>
        <w:t>OF TURK</w:t>
      </w:r>
      <w:r w:rsidR="00C61E2B">
        <w:rPr>
          <w:rFonts w:ascii="Times New Roman" w:hAnsi="Times New Roman"/>
          <w:b/>
          <w:color w:val="000000" w:themeColor="text1"/>
          <w:spacing w:val="-4"/>
          <w:szCs w:val="28"/>
          <w:lang w:val="en-US"/>
        </w:rPr>
        <w:t>I</w:t>
      </w:r>
      <w:r w:rsidRPr="00FF4848">
        <w:rPr>
          <w:rFonts w:ascii="Times New Roman" w:hAnsi="Times New Roman"/>
          <w:b/>
          <w:color w:val="000000" w:themeColor="text1"/>
          <w:spacing w:val="-4"/>
          <w:szCs w:val="28"/>
          <w:lang w:val="uz-Cyrl-UZ"/>
        </w:rPr>
        <w:t>Y</w:t>
      </w:r>
      <w:r w:rsidR="00C61E2B">
        <w:rPr>
          <w:rFonts w:ascii="Times New Roman" w:hAnsi="Times New Roman"/>
          <w:b/>
          <w:color w:val="000000" w:themeColor="text1"/>
          <w:spacing w:val="-4"/>
          <w:szCs w:val="28"/>
          <w:lang w:val="en-US"/>
        </w:rPr>
        <w:t>E</w:t>
      </w:r>
      <w:r w:rsidRPr="00FF4848">
        <w:rPr>
          <w:rFonts w:ascii="Times New Roman" w:hAnsi="Times New Roman"/>
          <w:b/>
          <w:color w:val="000000" w:themeColor="text1"/>
          <w:spacing w:val="-4"/>
          <w:szCs w:val="28"/>
          <w:lang w:val="uz-Cyrl-UZ"/>
        </w:rPr>
        <w:t xml:space="preserve"> </w:t>
      </w:r>
      <w:r>
        <w:rPr>
          <w:rFonts w:ascii="Times New Roman" w:hAnsi="Times New Roman"/>
          <w:b/>
          <w:color w:val="000000" w:themeColor="text1"/>
          <w:spacing w:val="-4"/>
          <w:szCs w:val="28"/>
          <w:lang w:val="en-US"/>
        </w:rPr>
        <w:t xml:space="preserve">IN ISSUING ISLAMIC SECURITIES - SUKUK </w:t>
      </w:r>
      <w:r>
        <w:rPr>
          <w:rFonts w:ascii="Times New Roman" w:hAnsi="Times New Roman"/>
          <w:b/>
          <w:color w:val="000000" w:themeColor="text1"/>
          <w:spacing w:val="-4"/>
          <w:szCs w:val="28"/>
          <w:lang w:val="uz-Cyrl-UZ"/>
        </w:rPr>
        <w:t>IN UZBEKISTAN</w:t>
      </w:r>
    </w:p>
    <w:p w:rsidR="00FF4848" w:rsidRPr="00FF4848" w:rsidRDefault="00FF4848" w:rsidP="00FF4848">
      <w:pPr>
        <w:pStyle w:val="2"/>
        <w:spacing w:after="0" w:line="240" w:lineRule="auto"/>
        <w:ind w:firstLine="708"/>
        <w:contextualSpacing/>
        <w:mirrorIndents/>
        <w:jc w:val="center"/>
        <w:rPr>
          <w:rFonts w:ascii="Times New Roman" w:hAnsi="Times New Roman"/>
          <w:b/>
          <w:color w:val="000000" w:themeColor="text1"/>
          <w:spacing w:val="-4"/>
          <w:szCs w:val="28"/>
          <w:lang w:val="uz-Cyrl-UZ"/>
        </w:rPr>
      </w:pPr>
    </w:p>
    <w:p w:rsidR="001C2014" w:rsidRDefault="00FF4848" w:rsidP="001C2014">
      <w:pPr>
        <w:pStyle w:val="2"/>
        <w:spacing w:after="0" w:line="240" w:lineRule="auto"/>
        <w:ind w:firstLine="708"/>
        <w:contextualSpacing/>
        <w:mirrorIndents/>
        <w:jc w:val="center"/>
        <w:rPr>
          <w:rFonts w:ascii="Times New Roman" w:hAnsi="Times New Roman"/>
          <w:b/>
          <w:color w:val="000000" w:themeColor="text1"/>
          <w:spacing w:val="-4"/>
          <w:szCs w:val="28"/>
          <w:lang w:val="uz-Cyrl-UZ"/>
        </w:rPr>
      </w:pPr>
      <w:r w:rsidRPr="00FF4848">
        <w:rPr>
          <w:rFonts w:ascii="Times New Roman" w:hAnsi="Times New Roman"/>
          <w:b/>
          <w:color w:val="000000" w:themeColor="text1"/>
          <w:spacing w:val="-4"/>
          <w:szCs w:val="28"/>
          <w:lang w:val="uz-Cyrl-UZ"/>
        </w:rPr>
        <w:t>Ru</w:t>
      </w:r>
      <w:r w:rsidR="00C61E2B">
        <w:rPr>
          <w:rFonts w:ascii="Times New Roman" w:hAnsi="Times New Roman"/>
          <w:b/>
          <w:color w:val="000000" w:themeColor="text1"/>
          <w:spacing w:val="-4"/>
          <w:szCs w:val="28"/>
          <w:lang w:val="en-US"/>
        </w:rPr>
        <w:t>k</w:t>
      </w:r>
      <w:r w:rsidRPr="00FF4848">
        <w:rPr>
          <w:rFonts w:ascii="Times New Roman" w:hAnsi="Times New Roman"/>
          <w:b/>
          <w:color w:val="000000" w:themeColor="text1"/>
          <w:spacing w:val="-4"/>
          <w:szCs w:val="28"/>
          <w:lang w:val="uz-Cyrl-UZ"/>
        </w:rPr>
        <w:t>hiddin</w:t>
      </w:r>
      <w:r w:rsidR="001C2014">
        <w:rPr>
          <w:rFonts w:ascii="Times New Roman" w:hAnsi="Times New Roman"/>
          <w:b/>
          <w:color w:val="000000" w:themeColor="text1"/>
          <w:spacing w:val="-4"/>
          <w:szCs w:val="28"/>
          <w:lang w:val="en-US"/>
        </w:rPr>
        <w:t xml:space="preserve"> </w:t>
      </w:r>
      <w:r w:rsidR="001C2014" w:rsidRPr="00FF4848">
        <w:rPr>
          <w:rFonts w:ascii="Times New Roman" w:hAnsi="Times New Roman"/>
          <w:b/>
          <w:color w:val="000000" w:themeColor="text1"/>
          <w:spacing w:val="-4"/>
          <w:szCs w:val="28"/>
          <w:lang w:val="uz-Cyrl-UZ"/>
        </w:rPr>
        <w:t>Zayniddinov</w:t>
      </w:r>
    </w:p>
    <w:p w:rsidR="00FF4848" w:rsidRPr="00FF4848" w:rsidRDefault="002618C5" w:rsidP="001C2014">
      <w:pPr>
        <w:pStyle w:val="2"/>
        <w:spacing w:after="0" w:line="240" w:lineRule="auto"/>
        <w:ind w:firstLine="708"/>
        <w:contextualSpacing/>
        <w:mirrorIndents/>
        <w:jc w:val="center"/>
        <w:rPr>
          <w:rFonts w:ascii="Times New Roman" w:hAnsi="Times New Roman"/>
          <w:color w:val="000000" w:themeColor="text1"/>
          <w:spacing w:val="-4"/>
          <w:szCs w:val="28"/>
          <w:lang w:val="en-US"/>
        </w:rPr>
      </w:pPr>
      <w:r>
        <w:rPr>
          <w:rFonts w:ascii="Times New Roman" w:hAnsi="Times New Roman"/>
          <w:color w:val="000000" w:themeColor="text1"/>
          <w:spacing w:val="-4"/>
          <w:szCs w:val="28"/>
          <w:lang w:val="en-US"/>
        </w:rPr>
        <w:t xml:space="preserve">PhD candidate </w:t>
      </w:r>
      <w:r w:rsidR="00FF4848" w:rsidRPr="00FF4848">
        <w:rPr>
          <w:rFonts w:ascii="Times New Roman" w:hAnsi="Times New Roman"/>
          <w:color w:val="000000" w:themeColor="text1"/>
          <w:spacing w:val="-4"/>
          <w:szCs w:val="28"/>
          <w:lang w:val="uz-Cyrl-UZ"/>
        </w:rPr>
        <w:t xml:space="preserve">of Tashkent State University of Economics, </w:t>
      </w:r>
      <w:r w:rsidR="001C2014">
        <w:rPr>
          <w:rFonts w:ascii="Times New Roman" w:hAnsi="Times New Roman"/>
          <w:color w:val="000000" w:themeColor="text1"/>
          <w:spacing w:val="-4"/>
          <w:szCs w:val="28"/>
          <w:lang w:val="en-US"/>
        </w:rPr>
        <w:t xml:space="preserve">Uzbekistan, </w:t>
      </w:r>
      <w:r w:rsidR="00FF4848" w:rsidRPr="00FF4848">
        <w:rPr>
          <w:rFonts w:ascii="Times New Roman" w:hAnsi="Times New Roman"/>
          <w:color w:val="000000" w:themeColor="text1"/>
          <w:spacing w:val="-4"/>
          <w:szCs w:val="28"/>
          <w:lang w:val="uz-Cyrl-UZ"/>
        </w:rPr>
        <w:t xml:space="preserve">r.zayniddinov@tsue.uz, </w:t>
      </w:r>
      <w:hyperlink r:id="rId8" w:history="1">
        <w:r w:rsidR="00FF4848" w:rsidRPr="00372EDD">
          <w:rPr>
            <w:rStyle w:val="a8"/>
            <w:rFonts w:ascii="Times New Roman" w:hAnsi="Times New Roman"/>
            <w:spacing w:val="-4"/>
            <w:szCs w:val="28"/>
            <w:lang w:val="uz-Cyrl-UZ"/>
          </w:rPr>
          <w:t>zayniddinovrukhiddin@gmail.com</w:t>
        </w:r>
      </w:hyperlink>
      <w:r w:rsidR="00FF4848">
        <w:rPr>
          <w:rFonts w:ascii="Times New Roman" w:hAnsi="Times New Roman"/>
          <w:color w:val="000000" w:themeColor="text1"/>
          <w:spacing w:val="-4"/>
          <w:szCs w:val="28"/>
          <w:lang w:val="en-US"/>
        </w:rPr>
        <w:t xml:space="preserve"> </w:t>
      </w:r>
    </w:p>
    <w:p w:rsidR="00FF4848" w:rsidRPr="001C2014" w:rsidRDefault="00FF4848" w:rsidP="00FF4848">
      <w:pPr>
        <w:pStyle w:val="2"/>
        <w:spacing w:after="0" w:line="240" w:lineRule="auto"/>
        <w:ind w:firstLine="708"/>
        <w:contextualSpacing/>
        <w:mirrorIndents/>
        <w:jc w:val="right"/>
        <w:rPr>
          <w:rFonts w:ascii="Times New Roman" w:hAnsi="Times New Roman"/>
          <w:color w:val="000000" w:themeColor="text1"/>
          <w:spacing w:val="-4"/>
          <w:szCs w:val="28"/>
          <w:lang w:val="en-US"/>
        </w:rPr>
      </w:pPr>
    </w:p>
    <w:p w:rsidR="001C2014" w:rsidRDefault="001C2014" w:rsidP="001C2014">
      <w:pPr>
        <w:pStyle w:val="2"/>
        <w:spacing w:after="0" w:line="240" w:lineRule="auto"/>
        <w:contextualSpacing/>
        <w:mirrorIndents/>
        <w:jc w:val="center"/>
        <w:rPr>
          <w:rFonts w:ascii="Times New Roman" w:hAnsi="Times New Roman"/>
          <w:b/>
          <w:color w:val="000000" w:themeColor="text1"/>
          <w:spacing w:val="-4"/>
          <w:szCs w:val="28"/>
          <w:lang w:val="uz-Cyrl-UZ"/>
        </w:rPr>
      </w:pPr>
      <w:r>
        <w:rPr>
          <w:rFonts w:ascii="Times New Roman" w:hAnsi="Times New Roman"/>
          <w:b/>
          <w:color w:val="000000" w:themeColor="text1"/>
          <w:spacing w:val="-4"/>
          <w:szCs w:val="28"/>
          <w:lang w:val="uz-Cyrl-UZ"/>
        </w:rPr>
        <w:t>ABSTRACT</w:t>
      </w:r>
    </w:p>
    <w:p w:rsidR="00FF4848" w:rsidRPr="00FF4848" w:rsidRDefault="001C2014" w:rsidP="0089737C">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b/>
          <w:color w:val="000000" w:themeColor="text1"/>
          <w:spacing w:val="-4"/>
          <w:szCs w:val="28"/>
          <w:lang w:val="en-US"/>
        </w:rPr>
        <w:t xml:space="preserve">        </w:t>
      </w:r>
      <w:r w:rsidR="00FF4848" w:rsidRPr="00FF4848">
        <w:rPr>
          <w:rFonts w:ascii="Times New Roman" w:hAnsi="Times New Roman"/>
          <w:color w:val="000000" w:themeColor="text1"/>
          <w:spacing w:val="-4"/>
          <w:szCs w:val="28"/>
          <w:lang w:val="uz-Cyrl-UZ"/>
        </w:rPr>
        <w:t xml:space="preserve">The purpose of this article is to study the experience of the development of the Islamic finance system in </w:t>
      </w:r>
      <w:r w:rsidR="00AF6972">
        <w:rPr>
          <w:rFonts w:ascii="Times New Roman" w:hAnsi="Times New Roman"/>
          <w:color w:val="000000" w:themeColor="text1"/>
          <w:spacing w:val="-4"/>
          <w:szCs w:val="28"/>
          <w:lang w:val="uz-Cyrl-UZ"/>
        </w:rPr>
        <w:t>Turkiye</w:t>
      </w:r>
      <w:r w:rsidR="00FF4848" w:rsidRPr="00FF4848">
        <w:rPr>
          <w:rFonts w:ascii="Times New Roman" w:hAnsi="Times New Roman"/>
          <w:color w:val="000000" w:themeColor="text1"/>
          <w:spacing w:val="-4"/>
          <w:szCs w:val="28"/>
          <w:lang w:val="uz-Cyrl-UZ"/>
        </w:rPr>
        <w:t xml:space="preserve">, in particular, the history of the development of Islamic finance (participation finance), the formation of the infrastructure for the establishment of the Islamic capital market, and the analysis of the obstacles to the development of the Islamic capital market and the reforms carried out in order to eliminate them. A quantitative approach was used to achieve these objectives. Also, directions </w:t>
      </w:r>
      <w:r w:rsidR="0089737C">
        <w:rPr>
          <w:rFonts w:ascii="Times New Roman" w:hAnsi="Times New Roman"/>
          <w:color w:val="000000" w:themeColor="text1"/>
          <w:spacing w:val="-4"/>
          <w:szCs w:val="28"/>
          <w:lang w:val="uz-Cyrl-UZ"/>
        </w:rPr>
        <w:t>of using Turki</w:t>
      </w:r>
      <w:r w:rsidR="00FF4848" w:rsidRPr="00FF4848">
        <w:rPr>
          <w:rFonts w:ascii="Times New Roman" w:hAnsi="Times New Roman"/>
          <w:color w:val="000000" w:themeColor="text1"/>
          <w:spacing w:val="-4"/>
          <w:szCs w:val="28"/>
          <w:lang w:val="uz-Cyrl-UZ"/>
        </w:rPr>
        <w:t>y</w:t>
      </w:r>
      <w:r w:rsidR="0089737C">
        <w:rPr>
          <w:rFonts w:ascii="Times New Roman" w:hAnsi="Times New Roman"/>
          <w:color w:val="000000" w:themeColor="text1"/>
          <w:spacing w:val="-4"/>
          <w:szCs w:val="28"/>
          <w:lang w:val="en-US"/>
        </w:rPr>
        <w:t>e</w:t>
      </w:r>
      <w:r w:rsidR="00FF4848" w:rsidRPr="00FF4848">
        <w:rPr>
          <w:rFonts w:ascii="Times New Roman" w:hAnsi="Times New Roman"/>
          <w:color w:val="000000" w:themeColor="text1"/>
          <w:spacing w:val="-4"/>
          <w:szCs w:val="28"/>
          <w:lang w:val="uz-Cyrl-UZ"/>
        </w:rPr>
        <w:t>'s experience in Uzbekistan were considered.</w:t>
      </w:r>
    </w:p>
    <w:p w:rsidR="001C2014" w:rsidRDefault="0089737C" w:rsidP="0089737C">
      <w:pPr>
        <w:pStyle w:val="2"/>
        <w:spacing w:after="0" w:line="240" w:lineRule="auto"/>
        <w:contextualSpacing/>
        <w:mirrorIndents/>
        <w:jc w:val="both"/>
        <w:rPr>
          <w:rFonts w:ascii="Times New Roman" w:hAnsi="Times New Roman"/>
          <w:b/>
          <w:color w:val="000000" w:themeColor="text1"/>
          <w:spacing w:val="-4"/>
          <w:szCs w:val="28"/>
          <w:lang w:val="en-US"/>
        </w:rPr>
      </w:pPr>
      <w:r>
        <w:rPr>
          <w:rFonts w:ascii="Times New Roman" w:hAnsi="Times New Roman"/>
          <w:b/>
          <w:color w:val="000000" w:themeColor="text1"/>
          <w:spacing w:val="-4"/>
          <w:szCs w:val="28"/>
          <w:lang w:val="en-US"/>
        </w:rPr>
        <w:t xml:space="preserve">       </w:t>
      </w:r>
    </w:p>
    <w:p w:rsidR="001C2014" w:rsidRDefault="001C2014" w:rsidP="001C2014">
      <w:pPr>
        <w:pStyle w:val="2"/>
        <w:spacing w:after="0" w:line="240" w:lineRule="auto"/>
        <w:contextualSpacing/>
        <w:mirrorIndents/>
        <w:jc w:val="center"/>
        <w:rPr>
          <w:rFonts w:ascii="Times New Roman" w:hAnsi="Times New Roman"/>
          <w:b/>
          <w:color w:val="000000" w:themeColor="text1"/>
          <w:spacing w:val="-4"/>
          <w:szCs w:val="28"/>
          <w:lang w:val="uz-Cyrl-UZ"/>
        </w:rPr>
      </w:pPr>
      <w:r>
        <w:rPr>
          <w:rFonts w:ascii="Times New Roman" w:hAnsi="Times New Roman"/>
          <w:b/>
          <w:color w:val="000000" w:themeColor="text1"/>
          <w:spacing w:val="-4"/>
          <w:szCs w:val="28"/>
          <w:lang w:val="uz-Cyrl-UZ"/>
        </w:rPr>
        <w:t>KEYWORDS</w:t>
      </w:r>
    </w:p>
    <w:p w:rsidR="00141449" w:rsidRPr="0089737C" w:rsidRDefault="001C2014" w:rsidP="0089737C">
      <w:pPr>
        <w:pStyle w:val="2"/>
        <w:spacing w:after="0" w:line="240" w:lineRule="auto"/>
        <w:contextualSpacing/>
        <w:mirrorIndents/>
        <w:jc w:val="both"/>
        <w:rPr>
          <w:rFonts w:ascii="Times New Roman" w:hAnsi="Times New Roman"/>
          <w:color w:val="000000" w:themeColor="text1"/>
          <w:spacing w:val="-4"/>
          <w:szCs w:val="28"/>
          <w:lang w:val="en-US"/>
        </w:rPr>
      </w:pPr>
      <w:r>
        <w:rPr>
          <w:rFonts w:ascii="Times New Roman" w:hAnsi="Times New Roman"/>
          <w:color w:val="000000" w:themeColor="text1"/>
          <w:spacing w:val="-4"/>
          <w:szCs w:val="28"/>
          <w:lang w:val="en-US"/>
        </w:rPr>
        <w:t xml:space="preserve">        Islamic</w:t>
      </w:r>
      <w:r w:rsidR="00FF4848" w:rsidRPr="00FF4848">
        <w:rPr>
          <w:rFonts w:ascii="Times New Roman" w:hAnsi="Times New Roman"/>
          <w:color w:val="000000" w:themeColor="text1"/>
          <w:spacing w:val="-4"/>
          <w:szCs w:val="28"/>
          <w:lang w:val="uz-Cyrl-UZ"/>
        </w:rPr>
        <w:t xml:space="preserve"> finance industry, regulatory framework, Isl</w:t>
      </w:r>
      <w:r w:rsidR="0089737C">
        <w:rPr>
          <w:rFonts w:ascii="Times New Roman" w:hAnsi="Times New Roman"/>
          <w:color w:val="000000" w:themeColor="text1"/>
          <w:spacing w:val="-4"/>
          <w:szCs w:val="28"/>
          <w:lang w:val="uz-Cyrl-UZ"/>
        </w:rPr>
        <w:t>amic financial institutions</w:t>
      </w:r>
      <w:r w:rsidR="00FF4848" w:rsidRPr="00FF4848">
        <w:rPr>
          <w:rFonts w:ascii="Times New Roman" w:hAnsi="Times New Roman"/>
          <w:color w:val="000000" w:themeColor="text1"/>
          <w:spacing w:val="-4"/>
          <w:szCs w:val="28"/>
          <w:lang w:val="uz-Cyrl-UZ"/>
        </w:rPr>
        <w:t>, sukuk</w:t>
      </w:r>
      <w:r w:rsidR="0089737C">
        <w:rPr>
          <w:rFonts w:ascii="Times New Roman" w:hAnsi="Times New Roman"/>
          <w:color w:val="000000" w:themeColor="text1"/>
          <w:spacing w:val="-4"/>
          <w:szCs w:val="28"/>
          <w:lang w:val="en-US"/>
        </w:rPr>
        <w:t>, ijara</w:t>
      </w:r>
      <w:r w:rsidR="00CE4143">
        <w:rPr>
          <w:rFonts w:ascii="Times New Roman" w:hAnsi="Times New Roman"/>
          <w:color w:val="000000" w:themeColor="text1"/>
          <w:spacing w:val="-4"/>
          <w:szCs w:val="28"/>
          <w:lang w:val="en-US"/>
        </w:rPr>
        <w:t xml:space="preserve"> (lease)</w:t>
      </w:r>
      <w:r w:rsidR="0089737C">
        <w:rPr>
          <w:rFonts w:ascii="Times New Roman" w:hAnsi="Times New Roman"/>
          <w:color w:val="000000" w:themeColor="text1"/>
          <w:spacing w:val="-4"/>
          <w:szCs w:val="28"/>
          <w:lang w:val="en-US"/>
        </w:rPr>
        <w:t>, wakala, murobaha</w:t>
      </w:r>
    </w:p>
    <w:p w:rsidR="001C2014" w:rsidRDefault="001C2014" w:rsidP="00264A4E">
      <w:pPr>
        <w:pStyle w:val="2"/>
        <w:spacing w:after="0" w:line="240" w:lineRule="auto"/>
        <w:ind w:firstLine="708"/>
        <w:contextualSpacing/>
        <w:mirrorIndents/>
        <w:jc w:val="both"/>
        <w:rPr>
          <w:rFonts w:ascii="Times New Roman" w:hAnsi="Times New Roman"/>
          <w:b/>
          <w:color w:val="000000" w:themeColor="text1"/>
          <w:spacing w:val="-4"/>
          <w:szCs w:val="28"/>
          <w:lang w:val="en-US"/>
        </w:rPr>
      </w:pPr>
    </w:p>
    <w:p w:rsidR="00264A4E" w:rsidRPr="002618C5" w:rsidRDefault="001C2014" w:rsidP="00264A4E">
      <w:pPr>
        <w:pStyle w:val="2"/>
        <w:spacing w:after="0" w:line="240" w:lineRule="auto"/>
        <w:ind w:firstLine="708"/>
        <w:contextualSpacing/>
        <w:mirrorIndents/>
        <w:jc w:val="both"/>
        <w:rPr>
          <w:rFonts w:ascii="Times New Roman" w:hAnsi="Times New Roman"/>
          <w:b/>
          <w:color w:val="000000" w:themeColor="text1"/>
          <w:spacing w:val="-4"/>
          <w:szCs w:val="28"/>
          <w:lang w:val="en-US"/>
        </w:rPr>
      </w:pPr>
      <w:r>
        <w:rPr>
          <w:rFonts w:ascii="Times New Roman" w:hAnsi="Times New Roman"/>
          <w:b/>
          <w:color w:val="000000" w:themeColor="text1"/>
          <w:spacing w:val="-4"/>
          <w:szCs w:val="28"/>
          <w:lang w:val="en-US"/>
        </w:rPr>
        <w:t>1. INTRODUCTION</w:t>
      </w:r>
    </w:p>
    <w:p w:rsidR="00264A4E" w:rsidRPr="00264A4E" w:rsidRDefault="002618C5" w:rsidP="002618C5">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Islamic finance is seen as a rapidly growing part of the global financial industry and has already become a global phenomenon. The process of accepting Islamic finance into their financial portfolio is expanding year by year, not only in Muslim countries, but also in countries where Muslims are a minority.</w:t>
      </w:r>
    </w:p>
    <w:p w:rsidR="00264A4E" w:rsidRPr="00264A4E" w:rsidRDefault="002618C5" w:rsidP="00264A4E">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264A4E" w:rsidRPr="00264A4E">
        <w:rPr>
          <w:rFonts w:ascii="Times New Roman" w:hAnsi="Times New Roman"/>
          <w:color w:val="000000" w:themeColor="text1"/>
          <w:spacing w:val="-4"/>
          <w:szCs w:val="28"/>
          <w:lang w:val="uz-Cyrl-UZ"/>
        </w:rPr>
        <w:t>By the end of 2022, the total assets of this network amounted to 4.5 trillion US dollars and is growing by an average of 15-20% per year. Also, today, 47 countries around the world have created a legal framework for the application of Islamic financial relations, and in these countries there are about 1,600 Islamic financial institutions offering a wide range of financial services.</w:t>
      </w:r>
    </w:p>
    <w:p w:rsidR="00264A4E" w:rsidRPr="00264A4E" w:rsidRDefault="0089737C" w:rsidP="00264A4E">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The </w:t>
      </w:r>
      <w:r w:rsidR="00264A4E" w:rsidRPr="00264A4E">
        <w:rPr>
          <w:rFonts w:ascii="Times New Roman" w:hAnsi="Times New Roman"/>
          <w:color w:val="000000" w:themeColor="text1"/>
          <w:spacing w:val="-4"/>
          <w:szCs w:val="28"/>
          <w:lang w:val="uz-Cyrl-UZ"/>
        </w:rPr>
        <w:t xml:space="preserve">President of the Republic of Uzbekistan Sh.M. </w:t>
      </w:r>
      <w:r>
        <w:rPr>
          <w:rFonts w:ascii="Times New Roman" w:hAnsi="Times New Roman"/>
          <w:color w:val="000000" w:themeColor="text1"/>
          <w:spacing w:val="-4"/>
          <w:szCs w:val="28"/>
          <w:lang w:val="en-US"/>
        </w:rPr>
        <w:t xml:space="preserve">Mirziyoev </w:t>
      </w:r>
      <w:r w:rsidRPr="0089737C">
        <w:rPr>
          <w:rFonts w:ascii="Times New Roman" w:hAnsi="Times New Roman"/>
          <w:color w:val="000000" w:themeColor="text1"/>
          <w:spacing w:val="-4"/>
          <w:szCs w:val="28"/>
          <w:lang w:val="en-US"/>
        </w:rPr>
        <w:t>emphasized</w:t>
      </w:r>
      <w:r w:rsidR="00264A4E" w:rsidRPr="00264A4E">
        <w:rPr>
          <w:rFonts w:ascii="Times New Roman" w:hAnsi="Times New Roman"/>
          <w:color w:val="000000" w:themeColor="text1"/>
          <w:spacing w:val="-4"/>
          <w:szCs w:val="28"/>
          <w:lang w:val="uz-Cyrl-UZ"/>
        </w:rPr>
        <w:t xml:space="preserve"> at the opening ceremon</w:t>
      </w:r>
      <w:r>
        <w:rPr>
          <w:rFonts w:ascii="Times New Roman" w:hAnsi="Times New Roman"/>
          <w:color w:val="000000" w:themeColor="text1"/>
          <w:spacing w:val="-4"/>
          <w:szCs w:val="28"/>
          <w:lang w:val="uz-Cyrl-UZ"/>
        </w:rPr>
        <w:t xml:space="preserve">y of the 43rd session of the </w:t>
      </w:r>
      <w:r>
        <w:rPr>
          <w:rFonts w:ascii="Times New Roman" w:hAnsi="Times New Roman"/>
          <w:color w:val="000000" w:themeColor="text1"/>
          <w:spacing w:val="-4"/>
          <w:szCs w:val="28"/>
          <w:lang w:val="en-US"/>
        </w:rPr>
        <w:t>OIC FAM</w:t>
      </w:r>
      <w:r>
        <w:rPr>
          <w:rFonts w:ascii="Times New Roman" w:hAnsi="Times New Roman"/>
          <w:color w:val="000000" w:themeColor="text1"/>
          <w:spacing w:val="-4"/>
          <w:szCs w:val="28"/>
          <w:lang w:val="uz-Cyrl-UZ"/>
        </w:rPr>
        <w:t xml:space="preserve"> Council</w:t>
      </w:r>
      <w:r w:rsidR="00264A4E" w:rsidRPr="00264A4E">
        <w:rPr>
          <w:rFonts w:ascii="Times New Roman" w:hAnsi="Times New Roman"/>
          <w:color w:val="000000" w:themeColor="text1"/>
          <w:spacing w:val="-4"/>
          <w:szCs w:val="28"/>
          <w:lang w:val="uz-Cyrl-UZ"/>
        </w:rPr>
        <w:t>, "The Islamic world has enormous economic, investment potential, and energy resources. Proper use of them, expansion of international trade-economic, financial, investment cooperation of the member states of the Organization of Islamic Cooperation, organization of transport routes connecting our countries will allow to achieve high indicators of economic development, and this will ultimately serve as a basis for the developm</w:t>
      </w:r>
      <w:r>
        <w:rPr>
          <w:rFonts w:ascii="Times New Roman" w:hAnsi="Times New Roman"/>
          <w:color w:val="000000" w:themeColor="text1"/>
          <w:spacing w:val="-4"/>
          <w:szCs w:val="28"/>
          <w:lang w:val="uz-Cyrl-UZ"/>
        </w:rPr>
        <w:t>ent of all other areas.</w:t>
      </w:r>
    </w:p>
    <w:p w:rsidR="0089737C" w:rsidRPr="001C2014" w:rsidRDefault="0089737C" w:rsidP="001C2014">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Attracting the funds of existing banks, investment funds and companies operating in Muslim countries based on Islamic financing to Uzbekistan will lead to an increase in the flow of foreign investments to the country. This shows the relevance of our scientific article to study the problems o</w:t>
      </w:r>
      <w:r>
        <w:rPr>
          <w:rFonts w:ascii="Times New Roman" w:hAnsi="Times New Roman"/>
          <w:color w:val="000000" w:themeColor="text1"/>
          <w:spacing w:val="-4"/>
          <w:szCs w:val="28"/>
          <w:lang w:val="uz-Cyrl-UZ"/>
        </w:rPr>
        <w:t xml:space="preserve">f </w:t>
      </w:r>
      <w:r>
        <w:rPr>
          <w:rFonts w:ascii="Times New Roman" w:hAnsi="Times New Roman"/>
          <w:color w:val="000000" w:themeColor="text1"/>
          <w:spacing w:val="-4"/>
          <w:szCs w:val="28"/>
          <w:lang w:val="en-US"/>
        </w:rPr>
        <w:t>issuing sukuk</w:t>
      </w:r>
      <w:r w:rsidR="00866118" w:rsidRPr="00866118">
        <w:rPr>
          <w:rFonts w:ascii="Times New Roman" w:hAnsi="Times New Roman"/>
          <w:color w:val="000000" w:themeColor="text1"/>
          <w:spacing w:val="-4"/>
          <w:szCs w:val="28"/>
          <w:lang w:val="uz-Cyrl-UZ"/>
        </w:rPr>
        <w:t xml:space="preserve"> in Uzbekistan, </w:t>
      </w:r>
      <w:r>
        <w:rPr>
          <w:rFonts w:ascii="Times New Roman" w:hAnsi="Times New Roman"/>
          <w:color w:val="000000" w:themeColor="text1"/>
          <w:spacing w:val="-4"/>
          <w:szCs w:val="28"/>
          <w:lang w:val="uz-Cyrl-UZ"/>
        </w:rPr>
        <w:t>to study the experience of Turk</w:t>
      </w:r>
      <w:r>
        <w:rPr>
          <w:rFonts w:ascii="Times New Roman" w:hAnsi="Times New Roman"/>
          <w:color w:val="000000" w:themeColor="text1"/>
          <w:spacing w:val="-4"/>
          <w:szCs w:val="28"/>
          <w:lang w:val="en-US"/>
        </w:rPr>
        <w:t>i</w:t>
      </w:r>
      <w:r w:rsidR="00866118" w:rsidRPr="00866118">
        <w:rPr>
          <w:rFonts w:ascii="Times New Roman" w:hAnsi="Times New Roman"/>
          <w:color w:val="000000" w:themeColor="text1"/>
          <w:spacing w:val="-4"/>
          <w:szCs w:val="28"/>
          <w:lang w:val="uz-Cyrl-UZ"/>
        </w:rPr>
        <w:t>y</w:t>
      </w:r>
      <w:r>
        <w:rPr>
          <w:rFonts w:ascii="Times New Roman" w:hAnsi="Times New Roman"/>
          <w:color w:val="000000" w:themeColor="text1"/>
          <w:spacing w:val="-4"/>
          <w:szCs w:val="28"/>
          <w:lang w:val="en-US"/>
        </w:rPr>
        <w:t>e</w:t>
      </w:r>
      <w:r w:rsidR="00866118" w:rsidRPr="00866118">
        <w:rPr>
          <w:rFonts w:ascii="Times New Roman" w:hAnsi="Times New Roman"/>
          <w:color w:val="000000" w:themeColor="text1"/>
          <w:spacing w:val="-4"/>
          <w:szCs w:val="28"/>
          <w:lang w:val="uz-Cyrl-UZ"/>
        </w:rPr>
        <w:t xml:space="preserve">, which has made great progress in the development of Islamic finance, and to consider the possibilities of its introduction in Uzbekistan, to develop a scientific conclusion and recommendations on this issue. This study not only helps to </w:t>
      </w:r>
      <w:r w:rsidR="00866118" w:rsidRPr="00866118">
        <w:rPr>
          <w:rFonts w:ascii="Times New Roman" w:hAnsi="Times New Roman"/>
          <w:color w:val="000000" w:themeColor="text1"/>
          <w:spacing w:val="-4"/>
          <w:szCs w:val="28"/>
          <w:lang w:val="uz-Cyrl-UZ"/>
        </w:rPr>
        <w:lastRenderedPageBreak/>
        <w:t>fill the literature on the s</w:t>
      </w:r>
      <w:r>
        <w:rPr>
          <w:rFonts w:ascii="Times New Roman" w:hAnsi="Times New Roman"/>
          <w:color w:val="000000" w:themeColor="text1"/>
          <w:spacing w:val="-4"/>
          <w:szCs w:val="28"/>
          <w:lang w:val="uz-Cyrl-UZ"/>
        </w:rPr>
        <w:t>tudy of Islamic finance in Turk</w:t>
      </w:r>
      <w:r>
        <w:rPr>
          <w:rFonts w:ascii="Times New Roman" w:hAnsi="Times New Roman"/>
          <w:color w:val="000000" w:themeColor="text1"/>
          <w:spacing w:val="-4"/>
          <w:szCs w:val="28"/>
          <w:lang w:val="en-US"/>
        </w:rPr>
        <w:t>i</w:t>
      </w:r>
      <w:r w:rsidR="00866118" w:rsidRPr="00866118">
        <w:rPr>
          <w:rFonts w:ascii="Times New Roman" w:hAnsi="Times New Roman"/>
          <w:color w:val="000000" w:themeColor="text1"/>
          <w:spacing w:val="-4"/>
          <w:szCs w:val="28"/>
          <w:lang w:val="uz-Cyrl-UZ"/>
        </w:rPr>
        <w:t>y</w:t>
      </w:r>
      <w:r>
        <w:rPr>
          <w:rFonts w:ascii="Times New Roman" w:hAnsi="Times New Roman"/>
          <w:color w:val="000000" w:themeColor="text1"/>
          <w:spacing w:val="-4"/>
          <w:szCs w:val="28"/>
          <w:lang w:val="en-US"/>
        </w:rPr>
        <w:t>e</w:t>
      </w:r>
      <w:r w:rsidR="00866118" w:rsidRPr="00866118">
        <w:rPr>
          <w:rFonts w:ascii="Times New Roman" w:hAnsi="Times New Roman"/>
          <w:color w:val="000000" w:themeColor="text1"/>
          <w:spacing w:val="-4"/>
          <w:szCs w:val="28"/>
          <w:lang w:val="uz-Cyrl-UZ"/>
        </w:rPr>
        <w:t xml:space="preserve">, mainly sukuk, </w:t>
      </w:r>
      <w:r w:rsidR="00264A4E" w:rsidRPr="00264A4E">
        <w:rPr>
          <w:rFonts w:ascii="Times New Roman" w:hAnsi="Times New Roman"/>
          <w:color w:val="000000" w:themeColor="text1"/>
          <w:spacing w:val="-4"/>
          <w:szCs w:val="28"/>
          <w:lang w:val="uz-Cyrl-UZ"/>
        </w:rPr>
        <w:t>and based on the results of this study, suggestions for implementing the experience of this country in Uzbekistan can be used as a roadmap for further research in this field.</w:t>
      </w:r>
    </w:p>
    <w:p w:rsidR="008B58E1" w:rsidRPr="008B58E1" w:rsidRDefault="001C2014" w:rsidP="008B58E1">
      <w:pPr>
        <w:pStyle w:val="2"/>
        <w:spacing w:after="0" w:line="240" w:lineRule="auto"/>
        <w:ind w:firstLine="708"/>
        <w:contextualSpacing/>
        <w:mirrorIndents/>
        <w:jc w:val="both"/>
        <w:rPr>
          <w:rFonts w:ascii="Times New Roman" w:hAnsi="Times New Roman"/>
          <w:b/>
          <w:color w:val="000000" w:themeColor="text1"/>
          <w:spacing w:val="-4"/>
          <w:szCs w:val="28"/>
          <w:lang w:val="uz-Cyrl-UZ"/>
        </w:rPr>
      </w:pPr>
      <w:r>
        <w:rPr>
          <w:rFonts w:ascii="Times New Roman" w:hAnsi="Times New Roman"/>
          <w:b/>
          <w:color w:val="000000" w:themeColor="text1"/>
          <w:spacing w:val="-4"/>
          <w:szCs w:val="28"/>
          <w:lang w:val="en-US"/>
        </w:rPr>
        <w:t xml:space="preserve">2. </w:t>
      </w:r>
      <w:r w:rsidRPr="008B58E1">
        <w:rPr>
          <w:rFonts w:ascii="Times New Roman" w:hAnsi="Times New Roman"/>
          <w:b/>
          <w:color w:val="000000" w:themeColor="text1"/>
          <w:spacing w:val="-4"/>
          <w:szCs w:val="28"/>
          <w:lang w:val="uz-Cyrl-UZ"/>
        </w:rPr>
        <w:t>LITERATURE REVIEW</w:t>
      </w:r>
    </w:p>
    <w:p w:rsidR="008B58E1" w:rsidRPr="008B58E1" w:rsidRDefault="008A1F7C" w:rsidP="00866118">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Along with the rapid growth of Islamic finance, the interest of many specialists, scientists and researchers in this field is also increasing, and many scientific researches are being conducted worldwide on this financial industry.</w:t>
      </w:r>
    </w:p>
    <w:p w:rsidR="008B58E1" w:rsidRPr="008B58E1" w:rsidRDefault="008A1F7C" w:rsidP="00866118">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Many foreign, CIS and Uzbek scientists have conducted scientific research on Islamic finance. For example, from foreign scholars (Shaykh Muhammad Taqi Usmani, 2011) in his introductory book to Islamic finance, he provided basic information about the principles and rules of Islamic finance with special reference to the methods of financing used by Islamic banks and non-banking financial institutions, and today it is used all over the world</w:t>
      </w:r>
      <w:r>
        <w:rPr>
          <w:rFonts w:ascii="Times New Roman" w:hAnsi="Times New Roman"/>
          <w:color w:val="000000" w:themeColor="text1"/>
          <w:spacing w:val="-4"/>
          <w:szCs w:val="28"/>
          <w:lang w:val="uz-Cyrl-UZ"/>
        </w:rPr>
        <w:t xml:space="preserve">. </w:t>
      </w:r>
      <w:r>
        <w:rPr>
          <w:rFonts w:ascii="Times New Roman" w:hAnsi="Times New Roman"/>
          <w:color w:val="000000" w:themeColor="text1"/>
          <w:spacing w:val="-4"/>
          <w:szCs w:val="28"/>
          <w:lang w:val="en-US"/>
        </w:rPr>
        <w:t>T</w:t>
      </w:r>
      <w:r w:rsidR="00866118" w:rsidRPr="00866118">
        <w:rPr>
          <w:rFonts w:ascii="Times New Roman" w:hAnsi="Times New Roman"/>
          <w:color w:val="000000" w:themeColor="text1"/>
          <w:spacing w:val="-4"/>
          <w:szCs w:val="28"/>
          <w:lang w:val="uz-Cyrl-UZ"/>
        </w:rPr>
        <w:t>his book is widely used among scientists, experts and researchers of this field. In addition, scientist</w:t>
      </w:r>
      <w:r>
        <w:rPr>
          <w:rFonts w:ascii="Times New Roman" w:hAnsi="Times New Roman"/>
          <w:color w:val="000000" w:themeColor="text1"/>
          <w:spacing w:val="-4"/>
          <w:szCs w:val="28"/>
          <w:lang w:val="uz-Cyrl-UZ"/>
        </w:rPr>
        <w:t>s from the CIS countries (E. Bau</w:t>
      </w:r>
      <w:r w:rsidR="00866118" w:rsidRPr="00866118">
        <w:rPr>
          <w:rFonts w:ascii="Times New Roman" w:hAnsi="Times New Roman"/>
          <w:color w:val="000000" w:themeColor="text1"/>
          <w:spacing w:val="-4"/>
          <w:szCs w:val="28"/>
          <w:lang w:val="uz-Cyrl-UZ"/>
        </w:rPr>
        <w:t xml:space="preserve">davlat, 2019) explained Islamic finance using high potential and modern research methods in the book called Islamic finance basics. </w:t>
      </w:r>
      <w:r w:rsidRPr="008B58E1">
        <w:rPr>
          <w:rFonts w:ascii="Times New Roman" w:hAnsi="Times New Roman"/>
          <w:color w:val="000000" w:themeColor="text1"/>
          <w:spacing w:val="-4"/>
          <w:szCs w:val="28"/>
          <w:lang w:val="uz-Cyrl-UZ"/>
        </w:rPr>
        <w:t>Mokina</w:t>
      </w:r>
      <w:r w:rsidRPr="00866118">
        <w:rPr>
          <w:rFonts w:ascii="Times New Roman" w:hAnsi="Times New Roman"/>
          <w:color w:val="000000" w:themeColor="text1"/>
          <w:spacing w:val="-4"/>
          <w:szCs w:val="28"/>
          <w:lang w:val="uz-Cyrl-UZ"/>
        </w:rPr>
        <w:t xml:space="preserve"> </w:t>
      </w:r>
      <w:r w:rsidR="00866118" w:rsidRPr="00866118">
        <w:rPr>
          <w:rFonts w:ascii="Times New Roman" w:hAnsi="Times New Roman"/>
          <w:color w:val="000000" w:themeColor="text1"/>
          <w:spacing w:val="-4"/>
          <w:szCs w:val="28"/>
          <w:lang w:val="uz-Cyrl-UZ"/>
        </w:rPr>
        <w:t>L</w:t>
      </w:r>
      <w:r>
        <w:rPr>
          <w:rFonts w:ascii="Times New Roman" w:hAnsi="Times New Roman"/>
          <w:color w:val="000000" w:themeColor="text1"/>
          <w:spacing w:val="-4"/>
          <w:szCs w:val="28"/>
          <w:lang w:val="en-US"/>
        </w:rPr>
        <w:t>.</w:t>
      </w:r>
      <w:r w:rsidR="00866118" w:rsidRPr="00866118">
        <w:rPr>
          <w:rFonts w:ascii="Times New Roman" w:hAnsi="Times New Roman"/>
          <w:color w:val="000000" w:themeColor="text1"/>
          <w:spacing w:val="-4"/>
          <w:szCs w:val="28"/>
          <w:lang w:val="uz-Cyrl-UZ"/>
        </w:rPr>
        <w:t>S</w:t>
      </w:r>
      <w:r>
        <w:rPr>
          <w:rFonts w:ascii="Times New Roman" w:hAnsi="Times New Roman"/>
          <w:color w:val="000000" w:themeColor="text1"/>
          <w:spacing w:val="-4"/>
          <w:szCs w:val="28"/>
          <w:lang w:val="en-US"/>
        </w:rPr>
        <w:t>.</w:t>
      </w:r>
      <w:r w:rsidR="00866118" w:rsidRPr="00866118">
        <w:rPr>
          <w:rFonts w:ascii="Times New Roman" w:hAnsi="Times New Roman"/>
          <w:color w:val="000000" w:themeColor="text1"/>
          <w:spacing w:val="-4"/>
          <w:szCs w:val="28"/>
          <w:lang w:val="uz-Cyrl-UZ"/>
        </w:rPr>
        <w:t>, (2017) conducted scientific work on Islamic securities as a source of financing investment projects and the prospects of their placement in the Russian financial market, revealed the essence of Islamic securities (sukuk), the difference from traditional securities, the Russian capital market and analyzed the situation and presented his scientific and practical proposals and conclusions on the prospects of introducing sukuk. In addition, the book "Islamic economic model and time" by R</w:t>
      </w:r>
      <w:r>
        <w:rPr>
          <w:rFonts w:ascii="Times New Roman" w:hAnsi="Times New Roman"/>
          <w:color w:val="000000" w:themeColor="text1"/>
          <w:spacing w:val="-4"/>
          <w:szCs w:val="28"/>
          <w:lang w:val="en-US"/>
        </w:rPr>
        <w:t>.</w:t>
      </w:r>
      <w:r w:rsidR="00866118" w:rsidRPr="00866118">
        <w:rPr>
          <w:rFonts w:ascii="Times New Roman" w:hAnsi="Times New Roman"/>
          <w:color w:val="000000" w:themeColor="text1"/>
          <w:spacing w:val="-4"/>
          <w:szCs w:val="28"/>
          <w:lang w:val="uz-Cyrl-UZ"/>
        </w:rPr>
        <w:t>I</w:t>
      </w:r>
      <w:r>
        <w:rPr>
          <w:rFonts w:ascii="Times New Roman" w:hAnsi="Times New Roman"/>
          <w:color w:val="000000" w:themeColor="text1"/>
          <w:spacing w:val="-4"/>
          <w:szCs w:val="28"/>
          <w:lang w:val="en-US"/>
        </w:rPr>
        <w:t>.</w:t>
      </w:r>
      <w:r w:rsidR="00866118" w:rsidRPr="00866118">
        <w:rPr>
          <w:rFonts w:ascii="Times New Roman" w:hAnsi="Times New Roman"/>
          <w:color w:val="000000" w:themeColor="text1"/>
          <w:spacing w:val="-4"/>
          <w:szCs w:val="28"/>
          <w:lang w:val="uz-Cyrl-UZ"/>
        </w:rPr>
        <w:t xml:space="preserve"> Bekkin</w:t>
      </w:r>
      <w:r>
        <w:rPr>
          <w:rFonts w:ascii="Times New Roman" w:hAnsi="Times New Roman"/>
          <w:color w:val="000000" w:themeColor="text1"/>
          <w:spacing w:val="-4"/>
          <w:szCs w:val="28"/>
          <w:lang w:val="en-US"/>
        </w:rPr>
        <w:t xml:space="preserve"> (2019)</w:t>
      </w:r>
      <w:r w:rsidR="00866118" w:rsidRPr="00866118">
        <w:rPr>
          <w:rFonts w:ascii="Times New Roman" w:hAnsi="Times New Roman"/>
          <w:color w:val="000000" w:themeColor="text1"/>
          <w:spacing w:val="-4"/>
          <w:szCs w:val="28"/>
          <w:lang w:val="uz-Cyrl-UZ"/>
        </w:rPr>
        <w:t>, which is one of the valuable literature on Islamic economy and finance among the CIS c</w:t>
      </w:r>
      <w:r>
        <w:rPr>
          <w:rFonts w:ascii="Times New Roman" w:hAnsi="Times New Roman"/>
          <w:color w:val="000000" w:themeColor="text1"/>
          <w:spacing w:val="-4"/>
          <w:szCs w:val="28"/>
          <w:lang w:val="uz-Cyrl-UZ"/>
        </w:rPr>
        <w:t>ountries</w:t>
      </w:r>
      <w:r w:rsidR="00866118" w:rsidRPr="00866118">
        <w:rPr>
          <w:rFonts w:ascii="Times New Roman" w:hAnsi="Times New Roman"/>
          <w:color w:val="000000" w:themeColor="text1"/>
          <w:spacing w:val="-4"/>
          <w:szCs w:val="28"/>
          <w:lang w:val="uz-Cyrl-UZ"/>
        </w:rPr>
        <w:t>. In this book, not only the theoretical aspects of Islamic economy and finance are revealed, but also its practical aspects are studied on the example of several selected countries, in par</w:t>
      </w:r>
      <w:r>
        <w:rPr>
          <w:rFonts w:ascii="Times New Roman" w:hAnsi="Times New Roman"/>
          <w:color w:val="000000" w:themeColor="text1"/>
          <w:spacing w:val="-4"/>
          <w:szCs w:val="28"/>
          <w:lang w:val="uz-Cyrl-UZ"/>
        </w:rPr>
        <w:t>ticular, the experience of Turk</w:t>
      </w:r>
      <w:r>
        <w:rPr>
          <w:rFonts w:ascii="Times New Roman" w:hAnsi="Times New Roman"/>
          <w:color w:val="000000" w:themeColor="text1"/>
          <w:spacing w:val="-4"/>
          <w:szCs w:val="28"/>
          <w:lang w:val="en-US"/>
        </w:rPr>
        <w:t>i</w:t>
      </w:r>
      <w:r w:rsidR="00866118" w:rsidRPr="00866118">
        <w:rPr>
          <w:rFonts w:ascii="Times New Roman" w:hAnsi="Times New Roman"/>
          <w:color w:val="000000" w:themeColor="text1"/>
          <w:spacing w:val="-4"/>
          <w:szCs w:val="28"/>
          <w:lang w:val="uz-Cyrl-UZ"/>
        </w:rPr>
        <w:t>y</w:t>
      </w:r>
      <w:r>
        <w:rPr>
          <w:rFonts w:ascii="Times New Roman" w:hAnsi="Times New Roman"/>
          <w:color w:val="000000" w:themeColor="text1"/>
          <w:spacing w:val="-4"/>
          <w:szCs w:val="28"/>
          <w:lang w:val="en-US"/>
        </w:rPr>
        <w:t>e</w:t>
      </w:r>
      <w:r>
        <w:rPr>
          <w:rFonts w:ascii="Times New Roman" w:hAnsi="Times New Roman"/>
          <w:color w:val="000000" w:themeColor="text1"/>
          <w:spacing w:val="-4"/>
          <w:szCs w:val="28"/>
          <w:lang w:val="uz-Cyrl-UZ"/>
        </w:rPr>
        <w:t xml:space="preserve"> </w:t>
      </w:r>
      <w:r>
        <w:rPr>
          <w:rFonts w:ascii="Times New Roman" w:hAnsi="Times New Roman"/>
          <w:color w:val="000000" w:themeColor="text1"/>
          <w:spacing w:val="-4"/>
          <w:szCs w:val="28"/>
          <w:lang w:val="en-US"/>
        </w:rPr>
        <w:t>has been</w:t>
      </w:r>
      <w:r w:rsidR="00866118" w:rsidRPr="00866118">
        <w:rPr>
          <w:rFonts w:ascii="Times New Roman" w:hAnsi="Times New Roman"/>
          <w:color w:val="000000" w:themeColor="text1"/>
          <w:spacing w:val="-4"/>
          <w:szCs w:val="28"/>
          <w:lang w:val="uz-Cyrl-UZ"/>
        </w:rPr>
        <w:t xml:space="preserve"> studied.</w:t>
      </w:r>
    </w:p>
    <w:p w:rsidR="008B58E1" w:rsidRDefault="008A1F7C" w:rsidP="00E8786F">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E8786F" w:rsidRPr="00E8786F">
        <w:rPr>
          <w:rFonts w:ascii="Times New Roman" w:hAnsi="Times New Roman"/>
          <w:color w:val="000000" w:themeColor="text1"/>
          <w:spacing w:val="-4"/>
          <w:szCs w:val="28"/>
          <w:lang w:val="uz-Cyrl-UZ"/>
        </w:rPr>
        <w:t>In addition, Uzbek scientists and researchers are conducting scientific research aimed at the obstacles to the development of Islamic finance in Uzbekistan and solutio</w:t>
      </w:r>
      <w:r w:rsidR="00AF6972">
        <w:rPr>
          <w:rFonts w:ascii="Times New Roman" w:hAnsi="Times New Roman"/>
          <w:color w:val="000000" w:themeColor="text1"/>
          <w:spacing w:val="-4"/>
          <w:szCs w:val="28"/>
          <w:lang w:val="uz-Cyrl-UZ"/>
        </w:rPr>
        <w:t>ns to overcome them. For instance</w:t>
      </w:r>
      <w:r w:rsidR="00E8786F" w:rsidRPr="00E8786F">
        <w:rPr>
          <w:rFonts w:ascii="Times New Roman" w:hAnsi="Times New Roman"/>
          <w:color w:val="000000" w:themeColor="text1"/>
          <w:spacing w:val="-4"/>
          <w:szCs w:val="28"/>
          <w:lang w:val="uz-Cyrl-UZ"/>
        </w:rPr>
        <w:t>, one of the Uzbek research scientists (K</w:t>
      </w:r>
      <w:r w:rsidR="00F74568">
        <w:rPr>
          <w:rFonts w:ascii="Times New Roman" w:hAnsi="Times New Roman"/>
          <w:color w:val="000000" w:themeColor="text1"/>
          <w:spacing w:val="-4"/>
          <w:szCs w:val="28"/>
          <w:lang w:val="en-US"/>
        </w:rPr>
        <w:t>h</w:t>
      </w:r>
      <w:r w:rsidR="00E8786F" w:rsidRPr="00E8786F">
        <w:rPr>
          <w:rFonts w:ascii="Times New Roman" w:hAnsi="Times New Roman"/>
          <w:color w:val="000000" w:themeColor="text1"/>
          <w:spacing w:val="-4"/>
          <w:szCs w:val="28"/>
          <w:lang w:val="uz-Cyrl-UZ"/>
        </w:rPr>
        <w:t>. Khasanov, 2017) in his article entitled Ethical (Islamic) financing system as an innovative financing tool, analyzed the advantages of the Isl</w:t>
      </w:r>
      <w:r w:rsidR="00AF6972">
        <w:rPr>
          <w:rFonts w:ascii="Times New Roman" w:hAnsi="Times New Roman"/>
          <w:color w:val="000000" w:themeColor="text1"/>
          <w:spacing w:val="-4"/>
          <w:szCs w:val="28"/>
          <w:lang w:val="uz-Cyrl-UZ"/>
        </w:rPr>
        <w:t>amic financing system, its role</w:t>
      </w:r>
      <w:r w:rsidR="00E8786F" w:rsidRPr="00E8786F">
        <w:rPr>
          <w:rFonts w:ascii="Times New Roman" w:hAnsi="Times New Roman"/>
          <w:color w:val="000000" w:themeColor="text1"/>
          <w:spacing w:val="-4"/>
          <w:szCs w:val="28"/>
          <w:lang w:val="uz-Cyrl-UZ"/>
        </w:rPr>
        <w:t xml:space="preserve"> as an innovative financing product, as well as its practical aspects, analyzing the practices of U</w:t>
      </w:r>
      <w:r w:rsidR="00AF6972">
        <w:rPr>
          <w:rFonts w:ascii="Times New Roman" w:hAnsi="Times New Roman"/>
          <w:color w:val="000000" w:themeColor="text1"/>
          <w:spacing w:val="-4"/>
          <w:szCs w:val="28"/>
          <w:lang w:val="uz-Cyrl-UZ"/>
        </w:rPr>
        <w:t xml:space="preserve">zbekistan and the CIS countries </w:t>
      </w:r>
      <w:r w:rsidR="00AF6972">
        <w:rPr>
          <w:rFonts w:ascii="Times New Roman" w:hAnsi="Times New Roman"/>
          <w:color w:val="000000" w:themeColor="text1"/>
          <w:spacing w:val="-4"/>
          <w:szCs w:val="28"/>
          <w:lang w:val="en-US"/>
        </w:rPr>
        <w:t>have been</w:t>
      </w:r>
      <w:r w:rsidR="00E8786F" w:rsidRPr="00E8786F">
        <w:rPr>
          <w:rFonts w:ascii="Times New Roman" w:hAnsi="Times New Roman"/>
          <w:color w:val="000000" w:themeColor="text1"/>
          <w:spacing w:val="-4"/>
          <w:szCs w:val="28"/>
          <w:lang w:val="uz-Cyrl-UZ"/>
        </w:rPr>
        <w:t xml:space="preserve"> also researched</w:t>
      </w:r>
      <w:r w:rsidR="00AF6972">
        <w:rPr>
          <w:rFonts w:ascii="Times New Roman" w:hAnsi="Times New Roman"/>
          <w:color w:val="000000" w:themeColor="text1"/>
          <w:spacing w:val="-4"/>
          <w:szCs w:val="28"/>
          <w:lang w:val="uz-Cyrl-UZ"/>
        </w:rPr>
        <w:t xml:space="preserve">. </w:t>
      </w:r>
      <w:r w:rsidR="00AF6972">
        <w:rPr>
          <w:rFonts w:ascii="Times New Roman" w:hAnsi="Times New Roman"/>
          <w:color w:val="000000" w:themeColor="text1"/>
          <w:spacing w:val="-4"/>
          <w:szCs w:val="28"/>
          <w:lang w:val="en-US"/>
        </w:rPr>
        <w:t>Moreover</w:t>
      </w:r>
      <w:r w:rsidR="00E8786F" w:rsidRPr="00E8786F">
        <w:rPr>
          <w:rFonts w:ascii="Times New Roman" w:hAnsi="Times New Roman"/>
          <w:color w:val="000000" w:themeColor="text1"/>
          <w:spacing w:val="-4"/>
          <w:szCs w:val="28"/>
          <w:lang w:val="uz-Cyrl-UZ"/>
        </w:rPr>
        <w:t>, (S</w:t>
      </w:r>
      <w:r w:rsidR="00AF6972">
        <w:rPr>
          <w:rFonts w:ascii="Times New Roman" w:hAnsi="Times New Roman"/>
          <w:color w:val="000000" w:themeColor="text1"/>
          <w:spacing w:val="-4"/>
          <w:szCs w:val="28"/>
          <w:lang w:val="en-US"/>
        </w:rPr>
        <w:t>.</w:t>
      </w:r>
      <w:r w:rsidR="00E8786F" w:rsidRPr="00E8786F">
        <w:rPr>
          <w:rFonts w:ascii="Times New Roman" w:hAnsi="Times New Roman"/>
          <w:color w:val="000000" w:themeColor="text1"/>
          <w:spacing w:val="-4"/>
          <w:szCs w:val="28"/>
          <w:lang w:val="uz-Cyrl-UZ"/>
        </w:rPr>
        <w:t>Z</w:t>
      </w:r>
      <w:r w:rsidR="00AF6972">
        <w:rPr>
          <w:rFonts w:ascii="Times New Roman" w:hAnsi="Times New Roman"/>
          <w:color w:val="000000" w:themeColor="text1"/>
          <w:spacing w:val="-4"/>
          <w:szCs w:val="28"/>
          <w:lang w:val="en-US"/>
        </w:rPr>
        <w:t>.</w:t>
      </w:r>
      <w:r w:rsidR="00E8786F" w:rsidRPr="00E8786F">
        <w:rPr>
          <w:rFonts w:ascii="Times New Roman" w:hAnsi="Times New Roman"/>
          <w:color w:val="000000" w:themeColor="text1"/>
          <w:spacing w:val="-4"/>
          <w:szCs w:val="28"/>
          <w:lang w:val="uz-Cyrl-UZ"/>
        </w:rPr>
        <w:t xml:space="preserve"> Abrorov 2020) conducted a scientific research work focused on the prospects of introducing sukuk Islamic securities in Uzbekistan, including studying the experience of Malaysia, which has achieved high achievements in this direction, and gave his suggestions and recommendations aimed at introducing </w:t>
      </w:r>
      <w:r w:rsidR="00AF6972">
        <w:rPr>
          <w:rFonts w:ascii="Times New Roman" w:hAnsi="Times New Roman"/>
          <w:color w:val="000000" w:themeColor="text1"/>
          <w:spacing w:val="-4"/>
          <w:szCs w:val="28"/>
          <w:lang w:val="uz-Cyrl-UZ"/>
        </w:rPr>
        <w:t xml:space="preserve">sukuk in Uzbekistan. </w:t>
      </w:r>
      <w:r w:rsidR="00AF6972">
        <w:rPr>
          <w:rFonts w:ascii="Times New Roman" w:hAnsi="Times New Roman"/>
          <w:color w:val="000000" w:themeColor="text1"/>
          <w:spacing w:val="-4"/>
          <w:szCs w:val="28"/>
          <w:lang w:val="en-US"/>
        </w:rPr>
        <w:t>Furthermore</w:t>
      </w:r>
      <w:r w:rsidR="00E8786F" w:rsidRPr="00E8786F">
        <w:rPr>
          <w:rFonts w:ascii="Times New Roman" w:hAnsi="Times New Roman"/>
          <w:color w:val="000000" w:themeColor="text1"/>
          <w:spacing w:val="-4"/>
          <w:szCs w:val="28"/>
          <w:lang w:val="uz-Cyrl-UZ"/>
        </w:rPr>
        <w:t xml:space="preserve">, (G. Irgasheva, 2023) </w:t>
      </w:r>
      <w:r w:rsidR="008B58E1" w:rsidRPr="008B58E1">
        <w:rPr>
          <w:rFonts w:ascii="Times New Roman" w:hAnsi="Times New Roman"/>
          <w:color w:val="000000" w:themeColor="text1"/>
          <w:spacing w:val="-4"/>
          <w:szCs w:val="28"/>
          <w:lang w:val="uz-Cyrl-UZ"/>
        </w:rPr>
        <w:t xml:space="preserve">defined the directions of using Malaysian experience in the development of Islamic finance in Uzbekistan. However, research on Islamic finance has been carried out by a small number of researchers in Uzbekistan, and </w:t>
      </w:r>
      <w:r w:rsidR="00391A47" w:rsidRPr="00391A47">
        <w:rPr>
          <w:rFonts w:ascii="Times New Roman" w:hAnsi="Times New Roman"/>
          <w:color w:val="000000" w:themeColor="text1"/>
          <w:spacing w:val="-4"/>
          <w:szCs w:val="28"/>
          <w:lang w:val="uz-Cyrl-UZ"/>
        </w:rPr>
        <w:t>scientific research focused on the study of the I</w:t>
      </w:r>
      <w:r w:rsidR="00AF6972">
        <w:rPr>
          <w:rFonts w:ascii="Times New Roman" w:hAnsi="Times New Roman"/>
          <w:color w:val="000000" w:themeColor="text1"/>
          <w:spacing w:val="-4"/>
          <w:szCs w:val="28"/>
          <w:lang w:val="uz-Cyrl-UZ"/>
        </w:rPr>
        <w:t>slamic financial system of Turki</w:t>
      </w:r>
      <w:r w:rsidR="00391A47" w:rsidRPr="00391A47">
        <w:rPr>
          <w:rFonts w:ascii="Times New Roman" w:hAnsi="Times New Roman"/>
          <w:color w:val="000000" w:themeColor="text1"/>
          <w:spacing w:val="-4"/>
          <w:szCs w:val="28"/>
          <w:lang w:val="uz-Cyrl-UZ"/>
        </w:rPr>
        <w:t>y</w:t>
      </w:r>
      <w:r w:rsidR="00AF6972">
        <w:rPr>
          <w:rFonts w:ascii="Times New Roman" w:hAnsi="Times New Roman"/>
          <w:color w:val="000000" w:themeColor="text1"/>
          <w:spacing w:val="-4"/>
          <w:szCs w:val="28"/>
          <w:lang w:val="en-US"/>
        </w:rPr>
        <w:t>e</w:t>
      </w:r>
      <w:r w:rsidR="00391A47" w:rsidRPr="00391A47">
        <w:rPr>
          <w:rFonts w:ascii="Times New Roman" w:hAnsi="Times New Roman"/>
          <w:color w:val="000000" w:themeColor="text1"/>
          <w:spacing w:val="-4"/>
          <w:szCs w:val="28"/>
          <w:lang w:val="uz-Cyrl-UZ"/>
        </w:rPr>
        <w:t xml:space="preserve"> and the development o</w:t>
      </w:r>
      <w:r w:rsidR="00AF6972">
        <w:rPr>
          <w:rFonts w:ascii="Times New Roman" w:hAnsi="Times New Roman"/>
          <w:color w:val="000000" w:themeColor="text1"/>
          <w:spacing w:val="-4"/>
          <w:szCs w:val="28"/>
          <w:lang w:val="uz-Cyrl-UZ"/>
        </w:rPr>
        <w:t>f the Islamic capital market as well as</w:t>
      </w:r>
      <w:r w:rsidR="00391A47" w:rsidRPr="00391A47">
        <w:rPr>
          <w:rFonts w:ascii="Times New Roman" w:hAnsi="Times New Roman"/>
          <w:color w:val="000000" w:themeColor="text1"/>
          <w:spacing w:val="-4"/>
          <w:szCs w:val="28"/>
          <w:lang w:val="uz-Cyrl-UZ"/>
        </w:rPr>
        <w:t xml:space="preserve"> the implementation of this country's experience in the national economy is rare. </w:t>
      </w:r>
      <w:r w:rsidR="00AF6972">
        <w:rPr>
          <w:rFonts w:ascii="Times New Roman" w:hAnsi="Times New Roman"/>
          <w:color w:val="000000" w:themeColor="text1"/>
          <w:spacing w:val="-4"/>
          <w:szCs w:val="28"/>
          <w:lang w:val="en-US"/>
        </w:rPr>
        <w:t>Therefore, t</w:t>
      </w:r>
      <w:r w:rsidR="00391A47" w:rsidRPr="00391A47">
        <w:rPr>
          <w:rFonts w:ascii="Times New Roman" w:hAnsi="Times New Roman"/>
          <w:color w:val="000000" w:themeColor="text1"/>
          <w:spacing w:val="-4"/>
          <w:szCs w:val="28"/>
          <w:lang w:val="uz-Cyrl-UZ"/>
        </w:rPr>
        <w:t xml:space="preserve">he purpose of this article, as we have mentioned above, is to determine the directions for the introduction of Islamic securities-sukuk in Uzbekistan based on the experience of the country under </w:t>
      </w:r>
      <w:r w:rsidR="00391A47" w:rsidRPr="00391A47">
        <w:rPr>
          <w:rFonts w:ascii="Times New Roman" w:hAnsi="Times New Roman"/>
          <w:color w:val="000000" w:themeColor="text1"/>
          <w:spacing w:val="-4"/>
          <w:szCs w:val="28"/>
          <w:lang w:val="uz-Cyrl-UZ"/>
        </w:rPr>
        <w:lastRenderedPageBreak/>
        <w:t>study. The method and the object used in my scientific research are not observed in the works of t</w:t>
      </w:r>
      <w:r w:rsidR="00AF6972">
        <w:rPr>
          <w:rFonts w:ascii="Times New Roman" w:hAnsi="Times New Roman"/>
          <w:color w:val="000000" w:themeColor="text1"/>
          <w:spacing w:val="-4"/>
          <w:szCs w:val="28"/>
          <w:lang w:val="uz-Cyrl-UZ"/>
        </w:rPr>
        <w:t xml:space="preserve">he above-mentioned </w:t>
      </w:r>
      <w:r w:rsidR="00AF6972">
        <w:rPr>
          <w:rFonts w:ascii="Times New Roman" w:hAnsi="Times New Roman"/>
          <w:color w:val="000000" w:themeColor="text1"/>
          <w:spacing w:val="-4"/>
          <w:szCs w:val="28"/>
          <w:lang w:val="en-US"/>
        </w:rPr>
        <w:t>articles</w:t>
      </w:r>
      <w:r w:rsidR="00391A47" w:rsidRPr="00391A47">
        <w:rPr>
          <w:rFonts w:ascii="Times New Roman" w:hAnsi="Times New Roman"/>
          <w:color w:val="000000" w:themeColor="text1"/>
          <w:spacing w:val="-4"/>
          <w:szCs w:val="28"/>
          <w:lang w:val="uz-Cyrl-UZ"/>
        </w:rPr>
        <w:t xml:space="preserve"> and show the different aspects of our scientific work.</w:t>
      </w:r>
    </w:p>
    <w:p w:rsidR="008B58E1" w:rsidRPr="001C2014" w:rsidRDefault="001C2014" w:rsidP="008B58E1">
      <w:pPr>
        <w:pStyle w:val="2"/>
        <w:spacing w:after="0" w:line="240" w:lineRule="auto"/>
        <w:ind w:firstLine="708"/>
        <w:contextualSpacing/>
        <w:mirrorIndents/>
        <w:jc w:val="both"/>
        <w:rPr>
          <w:rFonts w:ascii="Times New Roman" w:hAnsi="Times New Roman"/>
          <w:b/>
          <w:color w:val="000000" w:themeColor="text1"/>
          <w:spacing w:val="-4"/>
          <w:szCs w:val="28"/>
          <w:lang w:val="en-US"/>
        </w:rPr>
      </w:pPr>
      <w:r>
        <w:rPr>
          <w:rFonts w:ascii="Times New Roman" w:hAnsi="Times New Roman"/>
          <w:b/>
          <w:color w:val="000000" w:themeColor="text1"/>
          <w:spacing w:val="-4"/>
          <w:szCs w:val="28"/>
          <w:lang w:val="en-US"/>
        </w:rPr>
        <w:t>3. METHODS</w:t>
      </w:r>
    </w:p>
    <w:p w:rsidR="008B58E1" w:rsidRPr="008B58E1" w:rsidRDefault="00AF6972" w:rsidP="008B58E1">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B58E1" w:rsidRPr="008B58E1">
        <w:rPr>
          <w:rFonts w:ascii="Times New Roman" w:hAnsi="Times New Roman"/>
          <w:color w:val="000000" w:themeColor="text1"/>
          <w:spacing w:val="-4"/>
          <w:szCs w:val="28"/>
          <w:lang w:val="uz-Cyrl-UZ"/>
        </w:rPr>
        <w:t>Quantitative research method was widely used in our article. Also, methods such as systematic and comparative analysis, graphic representation, expert assessment, and economic statistics were effectively used.</w:t>
      </w:r>
    </w:p>
    <w:p w:rsidR="008B58E1" w:rsidRPr="00FF4848" w:rsidRDefault="00AF6972" w:rsidP="008B58E1">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B58E1" w:rsidRPr="008B58E1">
        <w:rPr>
          <w:rFonts w:ascii="Times New Roman" w:hAnsi="Times New Roman"/>
          <w:color w:val="000000" w:themeColor="text1"/>
          <w:spacing w:val="-4"/>
          <w:szCs w:val="28"/>
          <w:lang w:val="uz-Cyrl-UZ"/>
        </w:rPr>
        <w:t>Based on the results of quantitative data, this study aims to investigate the development practice of the I</w:t>
      </w:r>
      <w:r>
        <w:rPr>
          <w:rFonts w:ascii="Times New Roman" w:hAnsi="Times New Roman"/>
          <w:color w:val="000000" w:themeColor="text1"/>
          <w:spacing w:val="-4"/>
          <w:szCs w:val="28"/>
          <w:lang w:val="uz-Cyrl-UZ"/>
        </w:rPr>
        <w:t>slamic finance industry in Turki</w:t>
      </w:r>
      <w:r w:rsidR="008B58E1" w:rsidRPr="008B58E1">
        <w:rPr>
          <w:rFonts w:ascii="Times New Roman" w:hAnsi="Times New Roman"/>
          <w:color w:val="000000" w:themeColor="text1"/>
          <w:spacing w:val="-4"/>
          <w:szCs w:val="28"/>
          <w:lang w:val="uz-Cyrl-UZ"/>
        </w:rPr>
        <w:t>y</w:t>
      </w:r>
      <w:r>
        <w:rPr>
          <w:rFonts w:ascii="Times New Roman" w:hAnsi="Times New Roman"/>
          <w:color w:val="000000" w:themeColor="text1"/>
          <w:spacing w:val="-4"/>
          <w:szCs w:val="28"/>
          <w:lang w:val="en-US"/>
        </w:rPr>
        <w:t>e</w:t>
      </w:r>
      <w:r w:rsidR="008B58E1" w:rsidRPr="008B58E1">
        <w:rPr>
          <w:rFonts w:ascii="Times New Roman" w:hAnsi="Times New Roman"/>
          <w:color w:val="000000" w:themeColor="text1"/>
          <w:spacing w:val="-4"/>
          <w:szCs w:val="28"/>
          <w:lang w:val="uz-Cyrl-UZ"/>
        </w:rPr>
        <w:t>, including the history of its establishment, obstacles to development, measures taken by the government, and the possibilities of using the experience of this country in Uzbekistan.</w:t>
      </w:r>
    </w:p>
    <w:p w:rsidR="00141449" w:rsidRPr="00FF4848" w:rsidRDefault="001C2014" w:rsidP="00141449">
      <w:pPr>
        <w:pStyle w:val="2"/>
        <w:spacing w:after="0" w:line="240" w:lineRule="auto"/>
        <w:ind w:firstLine="708"/>
        <w:contextualSpacing/>
        <w:mirrorIndents/>
        <w:jc w:val="both"/>
        <w:rPr>
          <w:rFonts w:ascii="Times New Roman" w:hAnsi="Times New Roman"/>
          <w:b/>
          <w:color w:val="000000" w:themeColor="text1"/>
          <w:spacing w:val="-4"/>
          <w:szCs w:val="28"/>
          <w:lang w:val="uz-Cyrl-UZ"/>
        </w:rPr>
      </w:pPr>
      <w:r>
        <w:rPr>
          <w:rFonts w:ascii="Times New Roman" w:hAnsi="Times New Roman"/>
          <w:b/>
          <w:color w:val="000000" w:themeColor="text1"/>
          <w:spacing w:val="-4"/>
          <w:szCs w:val="28"/>
          <w:lang w:val="en-US"/>
        </w:rPr>
        <w:t>4. RESULTS</w:t>
      </w:r>
      <w:r>
        <w:rPr>
          <w:rFonts w:ascii="Times New Roman" w:hAnsi="Times New Roman"/>
          <w:b/>
          <w:color w:val="000000" w:themeColor="text1"/>
          <w:spacing w:val="-4"/>
          <w:szCs w:val="28"/>
          <w:lang w:val="uz-Cyrl-UZ"/>
        </w:rPr>
        <w:t xml:space="preserve"> AND DISCUSSION</w:t>
      </w:r>
    </w:p>
    <w:p w:rsidR="003763D2" w:rsidRDefault="00AF6972" w:rsidP="00866118">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 xml:space="preserve">Since 1984, Islamic finance has been active in </w:t>
      </w:r>
      <w:r>
        <w:rPr>
          <w:rFonts w:ascii="Times New Roman" w:hAnsi="Times New Roman"/>
          <w:color w:val="000000" w:themeColor="text1"/>
          <w:spacing w:val="-4"/>
          <w:szCs w:val="28"/>
          <w:lang w:val="uz-Cyrl-UZ"/>
        </w:rPr>
        <w:t>Turkiye</w:t>
      </w:r>
      <w:r w:rsidR="00866118" w:rsidRPr="00866118">
        <w:rPr>
          <w:rFonts w:ascii="Times New Roman" w:hAnsi="Times New Roman"/>
          <w:color w:val="000000" w:themeColor="text1"/>
          <w:spacing w:val="-4"/>
          <w:szCs w:val="28"/>
          <w:lang w:val="uz-Cyrl-UZ"/>
        </w:rPr>
        <w:t>, and Special Finance Houses</w:t>
      </w:r>
      <w:r w:rsidR="0061095F">
        <w:rPr>
          <w:rFonts w:ascii="Times New Roman" w:hAnsi="Times New Roman"/>
          <w:color w:val="000000" w:themeColor="text1"/>
          <w:spacing w:val="-4"/>
          <w:szCs w:val="28"/>
          <w:lang w:val="en-US"/>
        </w:rPr>
        <w:t xml:space="preserve"> (SFH)</w:t>
      </w:r>
      <w:r w:rsidR="00866118" w:rsidRPr="00866118">
        <w:rPr>
          <w:rFonts w:ascii="Times New Roman" w:hAnsi="Times New Roman"/>
          <w:color w:val="000000" w:themeColor="text1"/>
          <w:spacing w:val="-4"/>
          <w:szCs w:val="28"/>
          <w:lang w:val="uz-Cyrl-UZ"/>
        </w:rPr>
        <w:t xml:space="preserve"> were the first Islamic finance institutions, which were transformed into Participatory Banks in 2005 by the new banking law. Although more than 95% of the population is Muslim, participating banks account for only 7-8% of the total market share of the banking sector. Compared to many Arab countries and Malaysia, the use of Islamic banking and finance products in </w:t>
      </w:r>
      <w:r>
        <w:rPr>
          <w:rFonts w:ascii="Times New Roman" w:hAnsi="Times New Roman"/>
          <w:color w:val="000000" w:themeColor="text1"/>
          <w:spacing w:val="-4"/>
          <w:szCs w:val="28"/>
          <w:lang w:val="uz-Cyrl-UZ"/>
        </w:rPr>
        <w:t>Turkiye</w:t>
      </w:r>
      <w:r w:rsidR="00866118" w:rsidRPr="00866118">
        <w:rPr>
          <w:rFonts w:ascii="Times New Roman" w:hAnsi="Times New Roman"/>
          <w:color w:val="000000" w:themeColor="text1"/>
          <w:spacing w:val="-4"/>
          <w:szCs w:val="28"/>
          <w:lang w:val="uz-Cyrl-UZ"/>
        </w:rPr>
        <w:t xml:space="preserve"> started very late, as Islamic banking was introduced in the country in the 1980s. However, as a result of the support of the country's government and leadership and the growing need for Islamic banking and financial services in the country, as a result of efforts to develop this sector, it began to develop rapidly since 2005.</w:t>
      </w:r>
    </w:p>
    <w:p w:rsidR="00821FF1" w:rsidRPr="003763D2" w:rsidRDefault="00AF6972" w:rsidP="00866118">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866118" w:rsidRPr="00866118">
        <w:rPr>
          <w:rFonts w:ascii="Times New Roman" w:hAnsi="Times New Roman"/>
          <w:color w:val="000000" w:themeColor="text1"/>
          <w:spacing w:val="-4"/>
          <w:szCs w:val="28"/>
          <w:lang w:val="uz-Cyrl-UZ"/>
        </w:rPr>
        <w:t xml:space="preserve">To date, </w:t>
      </w:r>
      <w:r>
        <w:rPr>
          <w:rFonts w:ascii="Times New Roman" w:hAnsi="Times New Roman"/>
          <w:color w:val="000000" w:themeColor="text1"/>
          <w:spacing w:val="-4"/>
          <w:szCs w:val="28"/>
          <w:lang w:val="uz-Cyrl-UZ"/>
        </w:rPr>
        <w:t>Turkiye</w:t>
      </w:r>
      <w:r w:rsidR="00866118" w:rsidRPr="00866118">
        <w:rPr>
          <w:rFonts w:ascii="Times New Roman" w:hAnsi="Times New Roman"/>
          <w:color w:val="000000" w:themeColor="text1"/>
          <w:spacing w:val="-4"/>
          <w:szCs w:val="28"/>
          <w:lang w:val="uz-Cyrl-UZ"/>
        </w:rPr>
        <w:t xml:space="preserve"> ranks 9th in the world in terms of total assets of the Islamic finance industry (Figure 1), and ranks 8th in terms of Islamic banking assets. Also, extensive work has been done to develop a legal and regulatory framework to support the Islamic finance industry in </w:t>
      </w:r>
      <w:r>
        <w:rPr>
          <w:rFonts w:ascii="Times New Roman" w:hAnsi="Times New Roman"/>
          <w:color w:val="000000" w:themeColor="text1"/>
          <w:spacing w:val="-4"/>
          <w:szCs w:val="28"/>
          <w:lang w:val="uz-Cyrl-UZ"/>
        </w:rPr>
        <w:t>Turkiye</w:t>
      </w:r>
      <w:r w:rsidR="00866118" w:rsidRPr="00866118">
        <w:rPr>
          <w:rFonts w:ascii="Times New Roman" w:hAnsi="Times New Roman"/>
          <w:color w:val="000000" w:themeColor="text1"/>
          <w:spacing w:val="-4"/>
          <w:szCs w:val="28"/>
          <w:lang w:val="uz-Cyrl-UZ"/>
        </w:rPr>
        <w:t>, and in particular, the adoption of the Participating Bank Law in 1983 has provided a solid foundation for Islamic banking practices.</w:t>
      </w:r>
    </w:p>
    <w:p w:rsidR="00141449" w:rsidRPr="002A607D" w:rsidRDefault="00141449" w:rsidP="00AF6972">
      <w:pPr>
        <w:spacing w:after="0" w:line="240" w:lineRule="auto"/>
        <w:ind w:firstLine="709"/>
        <w:jc w:val="center"/>
        <w:rPr>
          <w:rFonts w:ascii="Times New Roman" w:hAnsi="Times New Roman" w:cs="Times New Roman"/>
          <w:color w:val="000000" w:themeColor="text1"/>
          <w:sz w:val="28"/>
          <w:szCs w:val="28"/>
        </w:rPr>
      </w:pPr>
      <w:r w:rsidRPr="002A607D">
        <w:rPr>
          <w:rFonts w:ascii="Times New Roman" w:hAnsi="Times New Roman" w:cs="Times New Roman"/>
          <w:noProof/>
          <w:color w:val="000000" w:themeColor="text1"/>
          <w:sz w:val="28"/>
          <w:szCs w:val="28"/>
          <w:lang w:val="ru-RU" w:eastAsia="ru-RU"/>
        </w:rPr>
        <w:drawing>
          <wp:inline distT="0" distB="0" distL="0" distR="0" wp14:anchorId="2ED41336" wp14:editId="18F1CE6B">
            <wp:extent cx="5156200" cy="2514600"/>
            <wp:effectExtent l="0" t="0" r="63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1449" w:rsidRPr="00A24C79" w:rsidRDefault="00AF6972" w:rsidP="00141449">
      <w:pPr>
        <w:spacing w:after="0" w:line="240" w:lineRule="auto"/>
        <w:ind w:firstLine="709"/>
        <w:jc w:val="center"/>
        <w:rPr>
          <w:rFonts w:ascii="Times New Roman" w:hAnsi="Times New Roman" w:cs="Times New Roman"/>
          <w:b/>
          <w:color w:val="000000" w:themeColor="text1"/>
          <w:sz w:val="28"/>
          <w:szCs w:val="28"/>
          <w:lang w:val="uz-Cyrl-UZ"/>
        </w:rPr>
      </w:pPr>
      <w:r>
        <w:rPr>
          <w:rFonts w:ascii="Times New Roman" w:hAnsi="Times New Roman" w:cs="Times New Roman"/>
          <w:b/>
          <w:color w:val="000000" w:themeColor="text1"/>
          <w:sz w:val="28"/>
          <w:szCs w:val="28"/>
          <w:lang w:val="en-US"/>
        </w:rPr>
        <w:t>Figure</w:t>
      </w:r>
      <w:r w:rsidR="000E7B40">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uz-Cyrl-UZ"/>
        </w:rPr>
        <w:t>1</w:t>
      </w:r>
      <w:r>
        <w:rPr>
          <w:rFonts w:ascii="Times New Roman" w:hAnsi="Times New Roman" w:cs="Times New Roman"/>
          <w:b/>
          <w:color w:val="000000" w:themeColor="text1"/>
          <w:sz w:val="28"/>
          <w:szCs w:val="28"/>
          <w:lang w:val="en-US"/>
        </w:rPr>
        <w:t>. Turkiye,</w:t>
      </w:r>
      <w:r w:rsidR="000E7B40" w:rsidRPr="000E7B40">
        <w:rPr>
          <w:rFonts w:ascii="Times New Roman" w:hAnsi="Times New Roman" w:cs="Times New Roman"/>
          <w:b/>
          <w:color w:val="000000" w:themeColor="text1"/>
          <w:sz w:val="28"/>
          <w:szCs w:val="28"/>
          <w:lang w:val="en-US"/>
        </w:rPr>
        <w:t xml:space="preserve"> </w:t>
      </w:r>
      <w:r w:rsidR="000E7B40">
        <w:rPr>
          <w:rFonts w:ascii="Times New Roman" w:hAnsi="Times New Roman" w:cs="Times New Roman"/>
          <w:b/>
          <w:color w:val="000000" w:themeColor="text1"/>
          <w:sz w:val="28"/>
          <w:szCs w:val="28"/>
          <w:lang w:val="en-US"/>
        </w:rPr>
        <w:t>total</w:t>
      </w:r>
      <w:r w:rsidR="000E7B40" w:rsidRPr="000E7B40">
        <w:rPr>
          <w:rFonts w:ascii="Times New Roman" w:hAnsi="Times New Roman" w:cs="Times New Roman"/>
          <w:b/>
          <w:color w:val="000000" w:themeColor="text1"/>
          <w:sz w:val="28"/>
          <w:szCs w:val="28"/>
          <w:lang w:val="en-US"/>
        </w:rPr>
        <w:t xml:space="preserve"> </w:t>
      </w:r>
      <w:r w:rsidR="000E7B40">
        <w:rPr>
          <w:rFonts w:ascii="Times New Roman" w:hAnsi="Times New Roman" w:cs="Times New Roman"/>
          <w:b/>
          <w:color w:val="000000" w:themeColor="text1"/>
          <w:sz w:val="28"/>
          <w:szCs w:val="28"/>
          <w:lang w:val="en-US"/>
        </w:rPr>
        <w:t xml:space="preserve">Islam finance assets amount in </w:t>
      </w:r>
      <w:r w:rsidR="00141449" w:rsidRPr="000E7B40">
        <w:rPr>
          <w:rFonts w:ascii="Times New Roman" w:hAnsi="Times New Roman" w:cs="Times New Roman"/>
          <w:b/>
          <w:color w:val="000000" w:themeColor="text1"/>
          <w:sz w:val="28"/>
          <w:szCs w:val="28"/>
          <w:lang w:val="en-US"/>
        </w:rPr>
        <w:t>the period 2011-2023</w:t>
      </w:r>
    </w:p>
    <w:p w:rsidR="00141449" w:rsidRPr="00617AE0" w:rsidRDefault="0061095F" w:rsidP="00406EEC">
      <w:pPr>
        <w:pStyle w:val="2"/>
        <w:spacing w:after="0" w:line="240" w:lineRule="auto"/>
        <w:contextualSpacing/>
        <w:mirrorIndents/>
        <w:jc w:val="both"/>
        <w:rPr>
          <w:rFonts w:ascii="Times New Roman" w:hAnsi="Times New Roman"/>
          <w:color w:val="000000" w:themeColor="text1"/>
          <w:spacing w:val="-4"/>
          <w:szCs w:val="28"/>
          <w:lang w:val="uz-Cyrl-UZ"/>
        </w:rPr>
      </w:pPr>
      <w:r>
        <w:rPr>
          <w:rFonts w:ascii="Times New Roman" w:hAnsi="Times New Roman"/>
          <w:color w:val="000000" w:themeColor="text1"/>
          <w:spacing w:val="-4"/>
          <w:szCs w:val="28"/>
          <w:lang w:val="en-US"/>
        </w:rPr>
        <w:t xml:space="preserve">      </w:t>
      </w:r>
      <w:r w:rsidR="00406EEC" w:rsidRPr="00406EEC">
        <w:rPr>
          <w:rFonts w:ascii="Times New Roman" w:hAnsi="Times New Roman"/>
          <w:color w:val="000000" w:themeColor="text1"/>
          <w:spacing w:val="-4"/>
          <w:szCs w:val="28"/>
          <w:lang w:val="uz-Cyrl-UZ"/>
        </w:rPr>
        <w:t xml:space="preserve">Recent economic development and a number of regulatory changes have accelerated the growth of the Islamic finance sector in </w:t>
      </w:r>
      <w:r w:rsidR="00AF6972">
        <w:rPr>
          <w:rFonts w:ascii="Times New Roman" w:hAnsi="Times New Roman"/>
          <w:color w:val="000000" w:themeColor="text1"/>
          <w:spacing w:val="-4"/>
          <w:szCs w:val="28"/>
          <w:lang w:val="uz-Cyrl-UZ"/>
        </w:rPr>
        <w:t>Turkiye</w:t>
      </w:r>
      <w:r w:rsidR="00406EEC" w:rsidRPr="00406EEC">
        <w:rPr>
          <w:rFonts w:ascii="Times New Roman" w:hAnsi="Times New Roman"/>
          <w:color w:val="000000" w:themeColor="text1"/>
          <w:spacing w:val="-4"/>
          <w:szCs w:val="28"/>
          <w:lang w:val="uz-Cyrl-UZ"/>
        </w:rPr>
        <w:t xml:space="preserve">. For example, sovereign </w:t>
      </w:r>
      <w:r w:rsidR="00406EEC" w:rsidRPr="00406EEC">
        <w:rPr>
          <w:rFonts w:ascii="Times New Roman" w:hAnsi="Times New Roman"/>
          <w:color w:val="000000" w:themeColor="text1"/>
          <w:spacing w:val="-4"/>
          <w:szCs w:val="28"/>
          <w:lang w:val="uz-Cyrl-UZ"/>
        </w:rPr>
        <w:lastRenderedPageBreak/>
        <w:t xml:space="preserve">sukuk and participation bank sukuk were issued, Islamic private pension and takaful (Islamic insurance) companies were established. In </w:t>
      </w:r>
      <w:r w:rsidR="00AF6972">
        <w:rPr>
          <w:rFonts w:ascii="Times New Roman" w:hAnsi="Times New Roman"/>
          <w:color w:val="000000" w:themeColor="text1"/>
          <w:spacing w:val="-4"/>
          <w:szCs w:val="28"/>
          <w:lang w:val="uz-Cyrl-UZ"/>
        </w:rPr>
        <w:t>Turkiye</w:t>
      </w:r>
      <w:r w:rsidR="00406EEC" w:rsidRPr="00406EEC">
        <w:rPr>
          <w:rFonts w:ascii="Times New Roman" w:hAnsi="Times New Roman"/>
          <w:color w:val="000000" w:themeColor="text1"/>
          <w:spacing w:val="-4"/>
          <w:szCs w:val="28"/>
          <w:lang w:val="uz-Cyrl-UZ"/>
        </w:rPr>
        <w:t xml:space="preserve">, the Islamic finance industry is supervised and regulated by the Banking Regulation and Supervision </w:t>
      </w:r>
      <w:r>
        <w:rPr>
          <w:rFonts w:ascii="Times New Roman" w:hAnsi="Times New Roman"/>
          <w:color w:val="000000" w:themeColor="text1"/>
          <w:spacing w:val="-4"/>
          <w:szCs w:val="28"/>
          <w:lang w:val="uz-Cyrl-UZ"/>
        </w:rPr>
        <w:t>Agency (B</w:t>
      </w:r>
      <w:r>
        <w:rPr>
          <w:rFonts w:ascii="Times New Roman" w:hAnsi="Times New Roman"/>
          <w:color w:val="000000" w:themeColor="text1"/>
          <w:spacing w:val="-4"/>
          <w:szCs w:val="28"/>
          <w:lang w:val="en-US"/>
        </w:rPr>
        <w:t>R</w:t>
      </w:r>
      <w:r>
        <w:rPr>
          <w:rFonts w:ascii="Times New Roman" w:hAnsi="Times New Roman"/>
          <w:color w:val="000000" w:themeColor="text1"/>
          <w:spacing w:val="-4"/>
          <w:szCs w:val="28"/>
          <w:lang w:val="uz-Cyrl-UZ"/>
        </w:rPr>
        <w:t>SA</w:t>
      </w:r>
      <w:r w:rsidR="00406EEC" w:rsidRPr="00406EEC">
        <w:rPr>
          <w:rFonts w:ascii="Times New Roman" w:hAnsi="Times New Roman"/>
          <w:color w:val="000000" w:themeColor="text1"/>
          <w:spacing w:val="-4"/>
          <w:szCs w:val="28"/>
          <w:lang w:val="uz-Cyrl-UZ"/>
        </w:rPr>
        <w:t>) a</w:t>
      </w:r>
      <w:r>
        <w:rPr>
          <w:rFonts w:ascii="Times New Roman" w:hAnsi="Times New Roman"/>
          <w:color w:val="000000" w:themeColor="text1"/>
          <w:spacing w:val="-4"/>
          <w:szCs w:val="28"/>
          <w:lang w:val="uz-Cyrl-UZ"/>
        </w:rPr>
        <w:t>nd the Capital Market Board (CMB</w:t>
      </w:r>
      <w:r w:rsidR="00406EEC" w:rsidRPr="00406EEC">
        <w:rPr>
          <w:rFonts w:ascii="Times New Roman" w:hAnsi="Times New Roman"/>
          <w:color w:val="000000" w:themeColor="text1"/>
          <w:spacing w:val="-4"/>
          <w:szCs w:val="28"/>
          <w:lang w:val="uz-Cyrl-UZ"/>
        </w:rPr>
        <w:t>). Currently, the number of participating banks in the country has reached 6 (Table 1).</w:t>
      </w:r>
    </w:p>
    <w:p w:rsidR="00141449" w:rsidRPr="00C87FD6" w:rsidRDefault="00141449" w:rsidP="00406EEC">
      <w:pPr>
        <w:pStyle w:val="a4"/>
        <w:spacing w:after="0" w:line="240" w:lineRule="auto"/>
        <w:ind w:left="0"/>
        <w:jc w:val="center"/>
        <w:rPr>
          <w:rFonts w:ascii="Times New Roman" w:hAnsi="Times New Roman" w:cs="Times New Roman"/>
          <w:b/>
          <w:color w:val="000000" w:themeColor="text1"/>
          <w:sz w:val="28"/>
          <w:szCs w:val="28"/>
          <w:lang w:val="uz-Cyrl-UZ"/>
        </w:rPr>
      </w:pPr>
      <w:r w:rsidRPr="00C87FD6">
        <w:rPr>
          <w:rFonts w:ascii="Times New Roman" w:hAnsi="Times New Roman" w:cs="Times New Roman"/>
          <w:b/>
          <w:color w:val="000000" w:themeColor="text1"/>
          <w:sz w:val="28"/>
          <w:szCs w:val="28"/>
          <w:lang w:val="uz-Cyrl-UZ"/>
        </w:rPr>
        <w:t>Table 1. Brief information about participating banks (as of June 2022)</w:t>
      </w:r>
    </w:p>
    <w:tbl>
      <w:tblPr>
        <w:tblStyle w:val="a3"/>
        <w:tblW w:w="0" w:type="auto"/>
        <w:tblLook w:val="04A0" w:firstRow="1" w:lastRow="0" w:firstColumn="1" w:lastColumn="0" w:noHBand="0" w:noVBand="1"/>
      </w:tblPr>
      <w:tblGrid>
        <w:gridCol w:w="1555"/>
        <w:gridCol w:w="1572"/>
        <w:gridCol w:w="1541"/>
        <w:gridCol w:w="1594"/>
        <w:gridCol w:w="1541"/>
        <w:gridCol w:w="1542"/>
      </w:tblGrid>
      <w:tr w:rsidR="00E77273" w:rsidRPr="00622E81" w:rsidTr="00CA05B9">
        <w:tc>
          <w:tcPr>
            <w:tcW w:w="1586" w:type="dxa"/>
            <w:vAlign w:val="center"/>
          </w:tcPr>
          <w:p w:rsidR="00141449" w:rsidRPr="00E77273" w:rsidRDefault="00E77273" w:rsidP="00CA05B9">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Name of the bank</w:t>
            </w:r>
          </w:p>
        </w:tc>
        <w:tc>
          <w:tcPr>
            <w:tcW w:w="1588" w:type="dxa"/>
            <w:vAlign w:val="center"/>
          </w:tcPr>
          <w:p w:rsidR="00141449" w:rsidRPr="00622E81" w:rsidRDefault="0061095F"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Established</w:t>
            </w:r>
            <w:r w:rsidR="00E77273">
              <w:rPr>
                <w:rFonts w:ascii="Times New Roman" w:hAnsi="Times New Roman" w:cs="Times New Roman"/>
                <w:color w:val="000000" w:themeColor="text1"/>
                <w:sz w:val="24"/>
                <w:szCs w:val="24"/>
                <w:lang w:val="en-US"/>
              </w:rPr>
              <w:t xml:space="preserve"> date</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Legal status</w:t>
            </w:r>
          </w:p>
        </w:tc>
        <w:tc>
          <w:tcPr>
            <w:tcW w:w="1643" w:type="dxa"/>
            <w:vAlign w:val="center"/>
          </w:tcPr>
          <w:p w:rsidR="00141449" w:rsidRPr="00E77273" w:rsidRDefault="00E77273" w:rsidP="00E7727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Paid capital </w:t>
            </w:r>
            <w:r w:rsidR="00141449" w:rsidRPr="00622E81">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 xml:space="preserve">Paid-in capital </w:t>
            </w:r>
            <w:r w:rsidR="00141449" w:rsidRPr="00E77273">
              <w:rPr>
                <w:rFonts w:ascii="Times New Roman" w:hAnsi="Times New Roman" w:cs="Times New Roman"/>
                <w:color w:val="000000" w:themeColor="text1"/>
                <w:sz w:val="24"/>
                <w:szCs w:val="24"/>
                <w:lang w:val="en-US"/>
              </w:rPr>
              <w:t xml:space="preserve">), ( </w:t>
            </w:r>
            <w:r>
              <w:rPr>
                <w:rFonts w:ascii="Times New Roman" w:hAnsi="Times New Roman" w:cs="Times New Roman"/>
                <w:color w:val="000000" w:themeColor="text1"/>
                <w:sz w:val="24"/>
                <w:szCs w:val="24"/>
                <w:lang w:val="en-US"/>
              </w:rPr>
              <w:t xml:space="preserve">billion </w:t>
            </w:r>
            <w:r w:rsidR="00141449" w:rsidRPr="00622E81">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TRY))</w:t>
            </w:r>
          </w:p>
        </w:tc>
        <w:tc>
          <w:tcPr>
            <w:tcW w:w="1583" w:type="dxa"/>
            <w:vAlign w:val="center"/>
          </w:tcPr>
          <w:p w:rsidR="00141449" w:rsidRPr="00622E81" w:rsidRDefault="00E77273" w:rsidP="00E7727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Capital</w:t>
            </w:r>
            <w:r w:rsidR="00141449" w:rsidRPr="00622E81">
              <w:rPr>
                <w:rFonts w:ascii="Times New Roman" w:hAnsi="Times New Roman" w:cs="Times New Roman"/>
                <w:color w:val="000000" w:themeColor="text1"/>
                <w:sz w:val="24"/>
                <w:szCs w:val="24"/>
                <w:lang w:val="uz-Cyrl-UZ"/>
              </w:rPr>
              <w:t xml:space="preserve"> </w:t>
            </w:r>
            <w:r w:rsidR="00141449" w:rsidRPr="00622E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billion </w:t>
            </w:r>
            <w:r w:rsidR="00141449" w:rsidRPr="00622E81">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TRY))</w:t>
            </w:r>
          </w:p>
        </w:tc>
        <w:tc>
          <w:tcPr>
            <w:tcW w:w="1587" w:type="dxa"/>
            <w:vAlign w:val="center"/>
          </w:tcPr>
          <w:p w:rsidR="00141449" w:rsidRPr="00622E81" w:rsidRDefault="00E77273" w:rsidP="00E7727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Assets</w:t>
            </w:r>
            <w:r w:rsidR="00141449" w:rsidRPr="00622E81">
              <w:rPr>
                <w:rFonts w:ascii="Times New Roman" w:hAnsi="Times New Roman" w:cs="Times New Roman"/>
                <w:color w:val="000000" w:themeColor="text1"/>
                <w:sz w:val="24"/>
                <w:szCs w:val="24"/>
                <w:lang w:val="uz-Cyrl-UZ"/>
              </w:rPr>
              <w:t xml:space="preserve"> </w:t>
            </w:r>
            <w:r w:rsidR="00141449" w:rsidRPr="00622E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billion </w:t>
            </w:r>
            <w:r w:rsidR="00141449" w:rsidRPr="00622E81">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TRY))</w:t>
            </w:r>
          </w:p>
        </w:tc>
      </w:tr>
      <w:tr w:rsidR="00E77273" w:rsidRPr="00622E81" w:rsidTr="00CA05B9">
        <w:tc>
          <w:tcPr>
            <w:tcW w:w="1586" w:type="dxa"/>
          </w:tcPr>
          <w:p w:rsidR="00141449" w:rsidRPr="00622E81" w:rsidRDefault="0061095F"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Albaraka</w:t>
            </w:r>
            <w:r w:rsidR="00141449" w:rsidRPr="00622E81">
              <w:rPr>
                <w:rFonts w:ascii="Times New Roman" w:hAnsi="Times New Roman" w:cs="Times New Roman"/>
                <w:color w:val="000000" w:themeColor="text1"/>
                <w:sz w:val="24"/>
                <w:szCs w:val="24"/>
                <w:lang w:val="uz-Cyrl-UZ"/>
              </w:rPr>
              <w:t xml:space="preserve"> </w:t>
            </w:r>
            <w:r w:rsidR="00E77273">
              <w:rPr>
                <w:rFonts w:ascii="Times New Roman" w:hAnsi="Times New Roman" w:cs="Times New Roman"/>
                <w:color w:val="000000" w:themeColor="text1"/>
                <w:sz w:val="24"/>
                <w:szCs w:val="24"/>
                <w:lang w:val="en-US"/>
              </w:rPr>
              <w:t>Turk</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22.11.1983</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Private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2.5</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7.2</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131.7</w:t>
            </w:r>
          </w:p>
        </w:tc>
      </w:tr>
      <w:tr w:rsidR="00E77273" w:rsidRPr="00622E81" w:rsidTr="00CA05B9">
        <w:tc>
          <w:tcPr>
            <w:tcW w:w="1586" w:type="dxa"/>
          </w:tcPr>
          <w:p w:rsidR="00141449" w:rsidRPr="00622E81" w:rsidRDefault="00E77273"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Kuwait Turk</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22.01.1988</w:t>
            </w:r>
          </w:p>
        </w:tc>
        <w:tc>
          <w:tcPr>
            <w:tcW w:w="1584" w:type="dxa"/>
            <w:vAlign w:val="center"/>
          </w:tcPr>
          <w:p w:rsidR="00141449" w:rsidRPr="00622E81" w:rsidRDefault="00E77273" w:rsidP="00E77273">
            <w:pPr>
              <w:jc w:val="center"/>
              <w:rPr>
                <w:rFonts w:ascii="Times New Roman" w:hAnsi="Times New Roman" w:cs="Times New Roman"/>
                <w:sz w:val="24"/>
                <w:szCs w:val="24"/>
              </w:rPr>
            </w:pPr>
            <w:r>
              <w:rPr>
                <w:rFonts w:ascii="Times New Roman" w:hAnsi="Times New Roman" w:cs="Times New Roman"/>
                <w:sz w:val="24"/>
                <w:szCs w:val="24"/>
                <w:lang w:val="en-US"/>
              </w:rPr>
              <w:t>Private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4.6</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20.9</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329.6</w:t>
            </w:r>
          </w:p>
        </w:tc>
      </w:tr>
      <w:tr w:rsidR="00E77273" w:rsidRPr="00622E81" w:rsidTr="00CA05B9">
        <w:tc>
          <w:tcPr>
            <w:tcW w:w="1586" w:type="dxa"/>
          </w:tcPr>
          <w:p w:rsidR="00141449" w:rsidRPr="00622E81" w:rsidRDefault="00AF6972"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Turkiye</w:t>
            </w:r>
            <w:r w:rsidR="00E77273">
              <w:rPr>
                <w:rFonts w:ascii="Times New Roman" w:hAnsi="Times New Roman" w:cs="Times New Roman"/>
                <w:color w:val="000000" w:themeColor="text1"/>
                <w:sz w:val="24"/>
                <w:szCs w:val="24"/>
                <w:lang w:val="en-US"/>
              </w:rPr>
              <w:t xml:space="preserve"> Finance</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28.12.2005</w:t>
            </w:r>
          </w:p>
        </w:tc>
        <w:tc>
          <w:tcPr>
            <w:tcW w:w="1584" w:type="dxa"/>
            <w:vAlign w:val="center"/>
          </w:tcPr>
          <w:p w:rsidR="00141449" w:rsidRPr="00622E81" w:rsidRDefault="00E77273" w:rsidP="00E77273">
            <w:pPr>
              <w:jc w:val="center"/>
              <w:rPr>
                <w:rFonts w:ascii="Times New Roman" w:hAnsi="Times New Roman" w:cs="Times New Roman"/>
                <w:sz w:val="24"/>
                <w:szCs w:val="24"/>
              </w:rPr>
            </w:pPr>
            <w:r>
              <w:rPr>
                <w:rFonts w:ascii="Times New Roman" w:hAnsi="Times New Roman" w:cs="Times New Roman"/>
                <w:sz w:val="24"/>
                <w:szCs w:val="24"/>
                <w:lang w:val="en-US"/>
              </w:rPr>
              <w:t>Private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2.6</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8.9</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141.8</w:t>
            </w:r>
          </w:p>
        </w:tc>
      </w:tr>
      <w:tr w:rsidR="00E77273" w:rsidRPr="00622E81" w:rsidTr="00CA05B9">
        <w:tc>
          <w:tcPr>
            <w:tcW w:w="1586" w:type="dxa"/>
          </w:tcPr>
          <w:p w:rsidR="00141449" w:rsidRPr="00622E81" w:rsidRDefault="0061095F"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Ziraat Katilim</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29.05.2015</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State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2.6</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8.2</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151.6</w:t>
            </w:r>
          </w:p>
        </w:tc>
      </w:tr>
      <w:tr w:rsidR="00E77273" w:rsidRPr="00622E81" w:rsidTr="00CA05B9">
        <w:tc>
          <w:tcPr>
            <w:tcW w:w="1586" w:type="dxa"/>
          </w:tcPr>
          <w:p w:rsidR="00141449" w:rsidRPr="00622E81" w:rsidRDefault="0061095F"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Vakif Katilim</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26.02.2016</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State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9.6</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14.9</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142.3</w:t>
            </w:r>
          </w:p>
        </w:tc>
      </w:tr>
      <w:tr w:rsidR="00E77273" w:rsidRPr="00622E81" w:rsidTr="00CA05B9">
        <w:tc>
          <w:tcPr>
            <w:tcW w:w="1586" w:type="dxa"/>
          </w:tcPr>
          <w:p w:rsidR="00141449" w:rsidRPr="00622E81" w:rsidRDefault="0061095F"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Emlak Katilim</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27.02.2019</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State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1.0</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3.2</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59.6</w:t>
            </w:r>
          </w:p>
        </w:tc>
      </w:tr>
      <w:tr w:rsidR="00E77273" w:rsidRPr="00622E81" w:rsidTr="00CA05B9">
        <w:tc>
          <w:tcPr>
            <w:tcW w:w="1586" w:type="dxa"/>
          </w:tcPr>
          <w:p w:rsidR="00141449" w:rsidRPr="00622E81" w:rsidRDefault="00E77273" w:rsidP="00E77273">
            <w:p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Golden</w:t>
            </w:r>
            <w:r w:rsidR="00141449" w:rsidRPr="00622E81">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 xml:space="preserve">Global </w:t>
            </w:r>
            <w:r w:rsidR="00141449" w:rsidRPr="00622E81">
              <w:rPr>
                <w:rFonts w:ascii="Times New Roman" w:hAnsi="Times New Roman" w:cs="Times New Roman"/>
                <w:color w:val="000000" w:themeColor="text1"/>
                <w:sz w:val="24"/>
                <w:szCs w:val="24"/>
                <w:lang w:val="uz-Cyrl-UZ"/>
              </w:rPr>
              <w:t>*</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15.10.2019</w:t>
            </w:r>
          </w:p>
        </w:tc>
        <w:tc>
          <w:tcPr>
            <w:tcW w:w="1584" w:type="dxa"/>
            <w:vAlign w:val="center"/>
          </w:tcPr>
          <w:p w:rsidR="00141449" w:rsidRPr="00622E81" w:rsidRDefault="00E77273" w:rsidP="00E7727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Private</w:t>
            </w: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0.2</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0.2</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0.7</w:t>
            </w:r>
          </w:p>
        </w:tc>
      </w:tr>
      <w:tr w:rsidR="00E77273" w:rsidRPr="00622E81" w:rsidTr="00CA05B9">
        <w:tc>
          <w:tcPr>
            <w:tcW w:w="1586" w:type="dxa"/>
          </w:tcPr>
          <w:p w:rsidR="00141449" w:rsidRPr="00E77273" w:rsidRDefault="00E77273" w:rsidP="00CA05B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Total</w:t>
            </w:r>
          </w:p>
        </w:tc>
        <w:tc>
          <w:tcPr>
            <w:tcW w:w="1588" w:type="dxa"/>
            <w:vAlign w:val="center"/>
          </w:tcPr>
          <w:p w:rsidR="00141449" w:rsidRPr="00622E81" w:rsidRDefault="00141449" w:rsidP="00CA05B9">
            <w:pPr>
              <w:jc w:val="center"/>
              <w:rPr>
                <w:rFonts w:ascii="Times New Roman" w:hAnsi="Times New Roman" w:cs="Times New Roman"/>
                <w:color w:val="000000" w:themeColor="text1"/>
                <w:sz w:val="24"/>
                <w:szCs w:val="24"/>
                <w:lang w:val="en-US"/>
              </w:rPr>
            </w:pPr>
          </w:p>
        </w:tc>
        <w:tc>
          <w:tcPr>
            <w:tcW w:w="1584" w:type="dxa"/>
            <w:vAlign w:val="center"/>
          </w:tcPr>
          <w:p w:rsidR="00141449" w:rsidRPr="00622E81" w:rsidRDefault="00141449" w:rsidP="00CA05B9">
            <w:pPr>
              <w:jc w:val="center"/>
              <w:rPr>
                <w:rFonts w:ascii="Times New Roman" w:hAnsi="Times New Roman" w:cs="Times New Roman"/>
                <w:color w:val="000000" w:themeColor="text1"/>
                <w:sz w:val="24"/>
                <w:szCs w:val="24"/>
                <w:lang w:val="en-US"/>
              </w:rPr>
            </w:pPr>
          </w:p>
        </w:tc>
        <w:tc>
          <w:tcPr>
            <w:tcW w:w="164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23.1</w:t>
            </w:r>
          </w:p>
        </w:tc>
        <w:tc>
          <w:tcPr>
            <w:tcW w:w="1583"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63.4</w:t>
            </w:r>
          </w:p>
        </w:tc>
        <w:tc>
          <w:tcPr>
            <w:tcW w:w="1587" w:type="dxa"/>
            <w:vAlign w:val="center"/>
          </w:tcPr>
          <w:p w:rsidR="00141449" w:rsidRPr="00622E81" w:rsidRDefault="00141449" w:rsidP="00CA05B9">
            <w:pPr>
              <w:jc w:val="center"/>
              <w:rPr>
                <w:rFonts w:ascii="Times New Roman" w:hAnsi="Times New Roman" w:cs="Times New Roman"/>
                <w:color w:val="000000" w:themeColor="text1"/>
                <w:sz w:val="24"/>
                <w:szCs w:val="24"/>
                <w:lang w:val="uz-Cyrl-UZ"/>
              </w:rPr>
            </w:pPr>
            <w:r w:rsidRPr="00622E81">
              <w:rPr>
                <w:rFonts w:ascii="Times New Roman" w:hAnsi="Times New Roman" w:cs="Times New Roman"/>
                <w:color w:val="000000" w:themeColor="text1"/>
                <w:sz w:val="24"/>
                <w:szCs w:val="24"/>
                <w:lang w:val="uz-Cyrl-UZ"/>
              </w:rPr>
              <w:t>957.3</w:t>
            </w:r>
          </w:p>
        </w:tc>
      </w:tr>
    </w:tbl>
    <w:p w:rsidR="00141449" w:rsidRDefault="00141449" w:rsidP="00141449">
      <w:pPr>
        <w:spacing w:after="0" w:line="240" w:lineRule="auto"/>
        <w:ind w:firstLine="709"/>
        <w:jc w:val="both"/>
        <w:rPr>
          <w:rFonts w:ascii="Times New Roman" w:hAnsi="Times New Roman" w:cs="Times New Roman"/>
          <w:color w:val="000000" w:themeColor="text1"/>
          <w:sz w:val="28"/>
          <w:szCs w:val="28"/>
          <w:lang w:val="uz-Cyrl-UZ"/>
        </w:rPr>
      </w:pPr>
      <w:r w:rsidRPr="002A607D">
        <w:rPr>
          <w:rFonts w:ascii="Times New Roman" w:hAnsi="Times New Roman" w:cs="Times New Roman"/>
          <w:color w:val="000000" w:themeColor="text1"/>
          <w:sz w:val="28"/>
          <w:szCs w:val="28"/>
          <w:lang w:val="uz-Cyrl-UZ"/>
        </w:rPr>
        <w:t xml:space="preserve">* </w:t>
      </w:r>
      <w:r w:rsidR="00E77273">
        <w:rPr>
          <w:rFonts w:ascii="Times New Roman" w:hAnsi="Times New Roman" w:cs="Times New Roman"/>
          <w:color w:val="000000" w:themeColor="text1"/>
          <w:sz w:val="28"/>
          <w:szCs w:val="28"/>
          <w:lang w:val="en-US"/>
        </w:rPr>
        <w:t>As a</w:t>
      </w:r>
      <w:r w:rsidR="0061095F">
        <w:rPr>
          <w:rFonts w:ascii="Times New Roman" w:hAnsi="Times New Roman" w:cs="Times New Roman"/>
          <w:color w:val="000000" w:themeColor="text1"/>
          <w:sz w:val="28"/>
          <w:szCs w:val="28"/>
          <w:lang w:val="en-US"/>
        </w:rPr>
        <w:t>n investment bank.</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Interest-free financing was recognized in the financial system for the first time in 2005 when it was reflected in the legislati</w:t>
      </w:r>
      <w:r w:rsidR="0061095F">
        <w:rPr>
          <w:rFonts w:ascii="Times New Roman" w:hAnsi="Times New Roman" w:cs="Times New Roman"/>
          <w:color w:val="000000" w:themeColor="text1"/>
          <w:sz w:val="28"/>
          <w:szCs w:val="28"/>
          <w:lang w:val="uz-Cyrl-UZ"/>
        </w:rPr>
        <w:t xml:space="preserve">on as participating banks of </w:t>
      </w:r>
      <w:r w:rsidR="0061095F">
        <w:rPr>
          <w:rFonts w:ascii="Times New Roman" w:hAnsi="Times New Roman" w:cs="Times New Roman"/>
          <w:color w:val="000000" w:themeColor="text1"/>
          <w:sz w:val="28"/>
          <w:szCs w:val="28"/>
          <w:lang w:val="en-US"/>
        </w:rPr>
        <w:t>SFH</w:t>
      </w:r>
      <w:r w:rsidRPr="001701FD">
        <w:rPr>
          <w:rFonts w:ascii="Times New Roman" w:hAnsi="Times New Roman" w:cs="Times New Roman"/>
          <w:color w:val="000000" w:themeColor="text1"/>
          <w:sz w:val="28"/>
          <w:szCs w:val="28"/>
          <w:lang w:val="uz-Cyrl-UZ"/>
        </w:rPr>
        <w:t>s. Important events such as the establishment of participation insurance companies, the establishment of the legal basis for lease certificates (sukuk), according to the SPK Communiqué, the issuance of the first lease certificate in international markets by the private sector and the issuance of the first national currency lease certificate by the sovereign were also carried out during the Prudential Development stage.</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Participating banks operate in accordance with the Law "On Banks". In the form of Law No. 5411, there are no separate legal documents specific to participation banks. According to Law No. 5411, participating banks can perform almost all activities performed b</w:t>
      </w:r>
      <w:r w:rsidR="00560D76">
        <w:rPr>
          <w:rFonts w:ascii="Times New Roman" w:hAnsi="Times New Roman" w:cs="Times New Roman"/>
          <w:color w:val="000000" w:themeColor="text1"/>
          <w:sz w:val="28"/>
          <w:szCs w:val="28"/>
          <w:lang w:val="uz-Cyrl-UZ"/>
        </w:rPr>
        <w:t xml:space="preserve">y depository banks. </w:t>
      </w:r>
      <w:r w:rsidR="00560D76">
        <w:rPr>
          <w:rFonts w:ascii="Times New Roman" w:hAnsi="Times New Roman" w:cs="Times New Roman"/>
          <w:color w:val="000000" w:themeColor="text1"/>
          <w:sz w:val="28"/>
          <w:szCs w:val="28"/>
          <w:lang w:val="en-US"/>
        </w:rPr>
        <w:t>Regarding</w:t>
      </w:r>
      <w:r w:rsidRPr="001701FD">
        <w:rPr>
          <w:rFonts w:ascii="Times New Roman" w:hAnsi="Times New Roman" w:cs="Times New Roman"/>
          <w:color w:val="000000" w:themeColor="text1"/>
          <w:sz w:val="28"/>
          <w:szCs w:val="28"/>
          <w:lang w:val="uz-Cyrl-UZ"/>
        </w:rPr>
        <w:t xml:space="preserve"> the third article of the law, in accordance with the Regulation published in the "Official Gazette" No. 3 of 25.01.2019, participating banks can collect funds through current and participation accounts and finance them by sales</w:t>
      </w:r>
      <w:r w:rsidR="00560D76">
        <w:rPr>
          <w:rFonts w:ascii="Times New Roman" w:hAnsi="Times New Roman" w:cs="Times New Roman"/>
          <w:color w:val="000000" w:themeColor="text1"/>
          <w:sz w:val="28"/>
          <w:szCs w:val="28"/>
          <w:lang w:val="en-US"/>
        </w:rPr>
        <w:t xml:space="preserve"> (murobaha)</w:t>
      </w:r>
      <w:r w:rsidR="00560D76">
        <w:rPr>
          <w:rFonts w:ascii="Times New Roman" w:hAnsi="Times New Roman" w:cs="Times New Roman"/>
          <w:color w:val="000000" w:themeColor="text1"/>
          <w:sz w:val="28"/>
          <w:szCs w:val="28"/>
          <w:lang w:val="uz-Cyrl-UZ"/>
        </w:rPr>
        <w:t xml:space="preserve">, </w:t>
      </w:r>
      <w:r w:rsidR="00560D76">
        <w:rPr>
          <w:rFonts w:ascii="Times New Roman" w:hAnsi="Times New Roman" w:cs="Times New Roman"/>
          <w:color w:val="000000" w:themeColor="text1"/>
          <w:sz w:val="28"/>
          <w:szCs w:val="28"/>
          <w:lang w:val="en-US"/>
        </w:rPr>
        <w:t>ijara</w:t>
      </w:r>
      <w:r w:rsidRPr="001701FD">
        <w:rPr>
          <w:rFonts w:ascii="Times New Roman" w:hAnsi="Times New Roman" w:cs="Times New Roman"/>
          <w:color w:val="000000" w:themeColor="text1"/>
          <w:sz w:val="28"/>
          <w:szCs w:val="28"/>
          <w:lang w:val="uz-Cyrl-UZ"/>
        </w:rPr>
        <w:t>, partnership</w:t>
      </w:r>
      <w:r w:rsidR="00560D76">
        <w:rPr>
          <w:rFonts w:ascii="Times New Roman" w:hAnsi="Times New Roman" w:cs="Times New Roman"/>
          <w:color w:val="000000" w:themeColor="text1"/>
          <w:sz w:val="28"/>
          <w:szCs w:val="28"/>
          <w:lang w:val="en-US"/>
        </w:rPr>
        <w:t xml:space="preserve"> (mushoraka and mudoraba)</w:t>
      </w:r>
      <w:r w:rsidRPr="001701FD">
        <w:rPr>
          <w:rFonts w:ascii="Times New Roman" w:hAnsi="Times New Roman" w:cs="Times New Roman"/>
          <w:color w:val="000000" w:themeColor="text1"/>
          <w:sz w:val="28"/>
          <w:szCs w:val="28"/>
          <w:lang w:val="uz-Cyrl-UZ"/>
        </w:rPr>
        <w:t xml:space="preserve">, wakala and other methods, and this </w:t>
      </w:r>
      <w:r w:rsidR="00560D76">
        <w:rPr>
          <w:rFonts w:ascii="Times New Roman" w:hAnsi="Times New Roman" w:cs="Times New Roman"/>
          <w:color w:val="000000" w:themeColor="text1"/>
          <w:sz w:val="28"/>
          <w:szCs w:val="28"/>
          <w:lang w:val="uz-Cyrl-UZ"/>
        </w:rPr>
        <w:t xml:space="preserve">30666 numbered in the form. </w:t>
      </w:r>
      <w:r w:rsidR="00560D76">
        <w:rPr>
          <w:rFonts w:ascii="Times New Roman" w:hAnsi="Times New Roman" w:cs="Times New Roman"/>
          <w:color w:val="000000" w:themeColor="text1"/>
          <w:sz w:val="28"/>
          <w:szCs w:val="28"/>
          <w:lang w:val="en-US"/>
        </w:rPr>
        <w:t>Moreover</w:t>
      </w:r>
      <w:r w:rsidRPr="001701FD">
        <w:rPr>
          <w:rFonts w:ascii="Times New Roman" w:hAnsi="Times New Roman" w:cs="Times New Roman"/>
          <w:color w:val="000000" w:themeColor="text1"/>
          <w:sz w:val="28"/>
          <w:szCs w:val="28"/>
          <w:lang w:val="uz-Cyrl-UZ"/>
        </w:rPr>
        <w:t>, the amendment to Article 77 of the Law "On Banks" in 2020 No. 5411 opened the way for participating banks to carry out business activities based on cooperation with the real sector. Another amendment to the same article exempted participating banks from Article 57, which restricts the purchase and sale of real estate if the financing is provided through interest-free financing methods.</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 xml:space="preserve">Uniformity was ensured in the internal control and control structures of the participating banks with the provisions of the Protocol on compliance with the </w:t>
      </w:r>
      <w:r w:rsidRPr="001701FD">
        <w:rPr>
          <w:rFonts w:ascii="Times New Roman" w:hAnsi="Times New Roman" w:cs="Times New Roman"/>
          <w:color w:val="000000" w:themeColor="text1"/>
          <w:sz w:val="28"/>
          <w:szCs w:val="28"/>
          <w:lang w:val="uz-Cyrl-UZ"/>
        </w:rPr>
        <w:lastRenderedPageBreak/>
        <w:t>principles and standards of interest-free banking, published in the Official Gazette No. 30888 of 09/14/2019.</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Based on the decision of the Council, Deci</w:t>
      </w:r>
      <w:r w:rsidR="00560D76">
        <w:rPr>
          <w:rFonts w:ascii="Times New Roman" w:hAnsi="Times New Roman" w:cs="Times New Roman"/>
          <w:color w:val="000000" w:themeColor="text1"/>
          <w:sz w:val="28"/>
          <w:szCs w:val="28"/>
          <w:lang w:val="uz-Cyrl-UZ"/>
        </w:rPr>
        <w:t>sion No. 7736 issued by the B</w:t>
      </w:r>
      <w:r w:rsidR="00560D76">
        <w:rPr>
          <w:rFonts w:ascii="Times New Roman" w:hAnsi="Times New Roman" w:cs="Times New Roman"/>
          <w:color w:val="000000" w:themeColor="text1"/>
          <w:sz w:val="28"/>
          <w:szCs w:val="28"/>
          <w:lang w:val="en-US"/>
        </w:rPr>
        <w:t>RSA</w:t>
      </w:r>
      <w:r w:rsidRPr="001701FD">
        <w:rPr>
          <w:rFonts w:ascii="Times New Roman" w:hAnsi="Times New Roman" w:cs="Times New Roman"/>
          <w:color w:val="000000" w:themeColor="text1"/>
          <w:sz w:val="28"/>
          <w:szCs w:val="28"/>
          <w:lang w:val="uz-Cyrl-UZ"/>
        </w:rPr>
        <w:t xml:space="preserve"> in 2018 in order to define professional principles and standards for the activity of the Participation Bank, the Centralized Advisory Council began to operate within the TKBB in 2019. The board sets standards for products and services offered by participating banks. The Board has published four standards (Kafala Standard, Murobaha Standard, Tawarruq Standard and Share Certificate Issuance and Trading Standard).</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 xml:space="preserve">Participating capital market products were first regulated in </w:t>
      </w:r>
      <w:r w:rsidR="00AF6972">
        <w:rPr>
          <w:rFonts w:ascii="Times New Roman" w:hAnsi="Times New Roman" w:cs="Times New Roman"/>
          <w:color w:val="000000" w:themeColor="text1"/>
          <w:sz w:val="28"/>
          <w:szCs w:val="28"/>
          <w:lang w:val="uz-Cyrl-UZ"/>
        </w:rPr>
        <w:t>Turkiye</w:t>
      </w:r>
      <w:r w:rsidRPr="001701FD">
        <w:rPr>
          <w:rFonts w:ascii="Times New Roman" w:hAnsi="Times New Roman" w:cs="Times New Roman"/>
          <w:color w:val="000000" w:themeColor="text1"/>
          <w:sz w:val="28"/>
          <w:szCs w:val="28"/>
          <w:lang w:val="uz-Cyrl-UZ"/>
        </w:rPr>
        <w:t xml:space="preserve"> in 2010 with the Declaration on the Principles of Leasing Certificates and Asset Leasing Companies. The statement described the lease sukuk as "a certificate of ownership-based lease." In 2012, the Capital Market Law No. 6362 introduced the definition of participation capital market products into law for the first time.</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Secondary regulation related to taxation and market practices was introduced after 2016, following legislative changes aimed at developing the legal framework and infrastructure of capital market products. In this regard, tax incentives and regulations have largely removed the barriers to issuing rental certificates. Later, participation-based repo and reverse repo markets were established in 2018.</w:t>
      </w:r>
    </w:p>
    <w:p w:rsidR="001701FD" w:rsidRPr="001701FD" w:rsidRDefault="001701FD" w:rsidP="001701FD">
      <w:pPr>
        <w:spacing w:after="0" w:line="240" w:lineRule="auto"/>
        <w:ind w:firstLine="709"/>
        <w:jc w:val="both"/>
        <w:rPr>
          <w:rFonts w:ascii="Times New Roman" w:hAnsi="Times New Roman" w:cs="Times New Roman"/>
          <w:color w:val="000000" w:themeColor="text1"/>
          <w:sz w:val="28"/>
          <w:szCs w:val="28"/>
          <w:lang w:val="uz-Cyrl-UZ"/>
        </w:rPr>
      </w:pPr>
      <w:r w:rsidRPr="001701FD">
        <w:rPr>
          <w:rFonts w:ascii="Times New Roman" w:hAnsi="Times New Roman" w:cs="Times New Roman"/>
          <w:color w:val="000000" w:themeColor="text1"/>
          <w:sz w:val="28"/>
          <w:szCs w:val="28"/>
          <w:lang w:val="uz-Cyrl-UZ"/>
        </w:rPr>
        <w:t>In 2021, the market share of leased certificates expanded with the adoption of the decision of the Capital Market Council to allow the holding of leased certificates in the portfolio of debt securities umbrella funds.</w:t>
      </w:r>
    </w:p>
    <w:p w:rsidR="001701FD" w:rsidRDefault="00CE4143" w:rsidP="001701FD">
      <w:pPr>
        <w:spacing w:after="0" w:line="240" w:lineRule="auto"/>
        <w:ind w:firstLine="709"/>
        <w:jc w:val="both"/>
        <w:rPr>
          <w:rFonts w:ascii="Times New Roman" w:hAnsi="Times New Roman" w:cs="Times New Roman"/>
          <w:color w:val="000000" w:themeColor="text1"/>
          <w:sz w:val="28"/>
          <w:szCs w:val="28"/>
          <w:lang w:val="uz-Cyrl-UZ"/>
        </w:rPr>
      </w:pPr>
      <w:r>
        <w:rPr>
          <w:rFonts w:ascii="Times New Roman" w:hAnsi="Times New Roman" w:cs="Times New Roman"/>
          <w:color w:val="000000" w:themeColor="text1"/>
          <w:sz w:val="28"/>
          <w:szCs w:val="28"/>
          <w:lang w:val="uz-Cyrl-UZ"/>
        </w:rPr>
        <w:t xml:space="preserve">In February 2022, </w:t>
      </w:r>
      <w:r>
        <w:rPr>
          <w:rFonts w:ascii="Times New Roman" w:hAnsi="Times New Roman" w:cs="Times New Roman"/>
          <w:color w:val="000000" w:themeColor="text1"/>
          <w:sz w:val="28"/>
          <w:szCs w:val="28"/>
          <w:lang w:val="en-US"/>
        </w:rPr>
        <w:t>CMC</w:t>
      </w:r>
      <w:r w:rsidR="001701FD" w:rsidRPr="001701FD">
        <w:rPr>
          <w:rFonts w:ascii="Times New Roman" w:hAnsi="Times New Roman" w:cs="Times New Roman"/>
          <w:color w:val="000000" w:themeColor="text1"/>
          <w:sz w:val="28"/>
          <w:szCs w:val="28"/>
          <w:lang w:val="uz-Cyrl-UZ"/>
        </w:rPr>
        <w:t xml:space="preserve"> published guidance on Green Debt Instruments, Sustainable Debt Instruments, Green Lease Certificates and Sustainable Lease Certificates for green bonds and green lease certificates that are used only to finance or refinance favorable green projects. In the following months, the TKBB Advisory Board published two manuals on the rules for identifying companies to be included in participating indices and the securities clearance procedures.</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Islamic capital markets have grown rapidly since the world's first global corporate sukuk was issued in 2001.</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 xml:space="preserve">Participation capital markets in </w:t>
      </w:r>
      <w:r w:rsidR="00AF6972">
        <w:rPr>
          <w:rFonts w:ascii="Times New Roman" w:hAnsi="Times New Roman" w:cs="Times New Roman"/>
          <w:color w:val="000000" w:themeColor="text1"/>
          <w:sz w:val="28"/>
          <w:szCs w:val="28"/>
          <w:lang w:val="uz-Cyrl-UZ"/>
        </w:rPr>
        <w:t>Turkiye</w:t>
      </w:r>
      <w:r w:rsidRPr="00B27A0B">
        <w:rPr>
          <w:rFonts w:ascii="Times New Roman" w:hAnsi="Times New Roman" w:cs="Times New Roman"/>
          <w:color w:val="000000" w:themeColor="text1"/>
          <w:sz w:val="28"/>
          <w:szCs w:val="28"/>
          <w:lang w:val="uz-Cyrl-UZ"/>
        </w:rPr>
        <w:t xml:space="preserve"> have been operating since 2008, which is much earlier than the emergence of participation banking in 1984 and the launch of the Participation 30 index.</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 xml:space="preserve">In recent years, the market share of rental certificates (sukuk) in capital markets has been increasing in </w:t>
      </w:r>
      <w:r w:rsidR="00AF6972">
        <w:rPr>
          <w:rFonts w:ascii="Times New Roman" w:hAnsi="Times New Roman" w:cs="Times New Roman"/>
          <w:color w:val="000000" w:themeColor="text1"/>
          <w:sz w:val="28"/>
          <w:szCs w:val="28"/>
          <w:lang w:val="uz-Cyrl-UZ"/>
        </w:rPr>
        <w:t>Turkiye</w:t>
      </w:r>
      <w:r w:rsidRPr="00B27A0B">
        <w:rPr>
          <w:rFonts w:ascii="Times New Roman" w:hAnsi="Times New Roman" w:cs="Times New Roman"/>
          <w:color w:val="000000" w:themeColor="text1"/>
          <w:sz w:val="28"/>
          <w:szCs w:val="28"/>
          <w:lang w:val="uz-Cyrl-UZ"/>
        </w:rPr>
        <w:t>. Lease certificates were first mentioned in the legislation in 2010 in the Communication "On lease certificates and the principles of activity of asset leasing companies" published by the Capital Market Cou</w:t>
      </w:r>
      <w:r w:rsidR="00CE4143">
        <w:rPr>
          <w:rFonts w:ascii="Times New Roman" w:hAnsi="Times New Roman" w:cs="Times New Roman"/>
          <w:color w:val="000000" w:themeColor="text1"/>
          <w:sz w:val="28"/>
          <w:szCs w:val="28"/>
          <w:lang w:val="uz-Cyrl-UZ"/>
        </w:rPr>
        <w:t>ncil (</w:t>
      </w:r>
      <w:r w:rsidR="00CE4143">
        <w:rPr>
          <w:rFonts w:ascii="Times New Roman" w:hAnsi="Times New Roman" w:cs="Times New Roman"/>
          <w:color w:val="000000" w:themeColor="text1"/>
          <w:sz w:val="28"/>
          <w:szCs w:val="28"/>
          <w:lang w:val="en-US"/>
        </w:rPr>
        <w:t>CMC</w:t>
      </w:r>
      <w:r w:rsidRPr="00B27A0B">
        <w:rPr>
          <w:rFonts w:ascii="Times New Roman" w:hAnsi="Times New Roman" w:cs="Times New Roman"/>
          <w:color w:val="000000" w:themeColor="text1"/>
          <w:sz w:val="28"/>
          <w:szCs w:val="28"/>
          <w:lang w:val="uz-Cyrl-UZ"/>
        </w:rPr>
        <w:t>).</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According to the statement, it is allowed to issue rental certificates only on the basis of ownership (lease agreements). Later, SPK issued another statement in 2013, which allowed the issuance of lease certificates based on management contract (wakala), trade (murabaha), partnership (mudaraba, musharakah) and engineering, supply and construction (istono).</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After these regulations, lease certificates were issued through asset leasing companies (ALCs) with joint stock company status.</w:t>
      </w:r>
    </w:p>
    <w:p w:rsidR="00B27A0B" w:rsidRP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lastRenderedPageBreak/>
        <w:t>In this regard, in 2010, the first leasing certificate was issued by the participating bank in international markets and amounted to 100 million US dollars. In 2011, various facilitating changes were made to the tax regime for issuing lease certificates. After tax changes in 2012, it issued its first leasing certificates of USD 1.5 billion (sovereign) in the international markets and USD 1.6 billion in the domestic market.</w:t>
      </w:r>
    </w:p>
    <w:p w:rsidR="00B27A0B" w:rsidRDefault="00B27A0B" w:rsidP="00B27A0B">
      <w:pPr>
        <w:spacing w:after="0" w:line="240" w:lineRule="auto"/>
        <w:ind w:firstLine="709"/>
        <w:jc w:val="both"/>
        <w:rPr>
          <w:rFonts w:ascii="Times New Roman" w:hAnsi="Times New Roman" w:cs="Times New Roman"/>
          <w:color w:val="000000" w:themeColor="text1"/>
          <w:sz w:val="28"/>
          <w:szCs w:val="28"/>
          <w:lang w:val="uz-Cyrl-UZ"/>
        </w:rPr>
      </w:pPr>
      <w:r w:rsidRPr="00B27A0B">
        <w:rPr>
          <w:rFonts w:ascii="Times New Roman" w:hAnsi="Times New Roman" w:cs="Times New Roman"/>
          <w:color w:val="000000" w:themeColor="text1"/>
          <w:sz w:val="28"/>
          <w:szCs w:val="28"/>
          <w:lang w:val="uz-Cyrl-UZ"/>
        </w:rPr>
        <w:t>Between 2010 and 2021, 17.8 billion dollars, 4 billion euros and 2 billion MYR leasing certificates were issued in the domestic and international markets. The total volume of gold-based leasing certificates since 2017 was 197.9 tons.</w:t>
      </w:r>
    </w:p>
    <w:p w:rsidR="00E42789" w:rsidRPr="00A25C8A" w:rsidRDefault="00A25C8A" w:rsidP="00A25C8A">
      <w:pPr>
        <w:spacing w:after="0" w:line="240" w:lineRule="auto"/>
        <w:ind w:firstLine="709"/>
        <w:jc w:val="right"/>
        <w:rPr>
          <w:rFonts w:ascii="Times New Roman" w:hAnsi="Times New Roman" w:cs="Times New Roman"/>
          <w:i/>
          <w:sz w:val="28"/>
          <w:szCs w:val="28"/>
          <w:lang w:val="uz-Cyrl-UZ"/>
        </w:rPr>
      </w:pPr>
      <w:r w:rsidRPr="00A25C8A">
        <w:rPr>
          <w:rFonts w:ascii="Times New Roman" w:hAnsi="Times New Roman" w:cs="Times New Roman"/>
          <w:b/>
          <w:sz w:val="28"/>
          <w:szCs w:val="28"/>
          <w:lang w:val="en-US"/>
        </w:rPr>
        <w:t xml:space="preserve">Table </w:t>
      </w:r>
      <w:r w:rsidRPr="00A25C8A">
        <w:rPr>
          <w:rFonts w:ascii="Times New Roman" w:hAnsi="Times New Roman" w:cs="Times New Roman"/>
          <w:b/>
          <w:sz w:val="28"/>
          <w:szCs w:val="28"/>
          <w:lang w:val="uz-Cyrl-UZ"/>
        </w:rPr>
        <w:t>2</w:t>
      </w:r>
      <w:r w:rsidRPr="00A25C8A">
        <w:rPr>
          <w:rFonts w:ascii="Times New Roman" w:hAnsi="Times New Roman" w:cs="Times New Roman"/>
          <w:b/>
          <w:sz w:val="28"/>
          <w:szCs w:val="28"/>
          <w:lang w:val="en-US"/>
        </w:rPr>
        <w:t>.</w:t>
      </w:r>
      <w:r>
        <w:rPr>
          <w:rFonts w:ascii="Times New Roman" w:hAnsi="Times New Roman" w:cs="Times New Roman"/>
          <w:i/>
          <w:sz w:val="28"/>
          <w:szCs w:val="28"/>
          <w:lang w:val="en-US"/>
        </w:rPr>
        <w:t xml:space="preserve"> </w:t>
      </w:r>
      <w:r w:rsidR="00731771">
        <w:rPr>
          <w:rFonts w:ascii="Times New Roman" w:hAnsi="Times New Roman" w:cs="Times New Roman"/>
          <w:b/>
          <w:sz w:val="28"/>
          <w:szCs w:val="28"/>
          <w:lang w:val="uz-Cyrl-UZ"/>
        </w:rPr>
        <w:t xml:space="preserve">Debut themed ijara </w:t>
      </w:r>
      <w:r w:rsidR="00731771">
        <w:rPr>
          <w:rFonts w:ascii="Times New Roman" w:hAnsi="Times New Roman" w:cs="Times New Roman"/>
          <w:b/>
          <w:sz w:val="28"/>
          <w:szCs w:val="28"/>
          <w:lang w:val="en-US"/>
        </w:rPr>
        <w:t>(lease)</w:t>
      </w:r>
      <w:r w:rsidR="00E42789" w:rsidRPr="00FF3921">
        <w:rPr>
          <w:rFonts w:ascii="Times New Roman" w:hAnsi="Times New Roman" w:cs="Times New Roman"/>
          <w:b/>
          <w:sz w:val="28"/>
          <w:szCs w:val="28"/>
          <w:lang w:val="uz-Cyrl-UZ"/>
        </w:rPr>
        <w:t xml:space="preserve"> certificates in </w:t>
      </w:r>
      <w:r w:rsidR="00AF6972">
        <w:rPr>
          <w:rFonts w:ascii="Times New Roman" w:hAnsi="Times New Roman" w:cs="Times New Roman"/>
          <w:b/>
          <w:sz w:val="28"/>
          <w:szCs w:val="28"/>
          <w:lang w:val="uz-Cyrl-UZ"/>
        </w:rPr>
        <w:t>Turkiye</w:t>
      </w:r>
    </w:p>
    <w:tbl>
      <w:tblPr>
        <w:tblStyle w:val="a3"/>
        <w:tblW w:w="9428" w:type="dxa"/>
        <w:tblInd w:w="392" w:type="dxa"/>
        <w:tblLook w:val="04A0" w:firstRow="1" w:lastRow="0" w:firstColumn="1" w:lastColumn="0" w:noHBand="0" w:noVBand="1"/>
      </w:tblPr>
      <w:tblGrid>
        <w:gridCol w:w="1531"/>
        <w:gridCol w:w="1504"/>
        <w:gridCol w:w="1358"/>
        <w:gridCol w:w="1357"/>
        <w:gridCol w:w="1219"/>
        <w:gridCol w:w="1235"/>
        <w:gridCol w:w="1224"/>
      </w:tblGrid>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Sector</w:t>
            </w:r>
          </w:p>
        </w:tc>
        <w:tc>
          <w:tcPr>
            <w:tcW w:w="1504" w:type="dxa"/>
            <w:vAlign w:val="center"/>
          </w:tcPr>
          <w:p w:rsidR="00E42789" w:rsidRPr="00D57CE6" w:rsidRDefault="00D57CE6" w:rsidP="00CA05B9">
            <w:pPr>
              <w:jc w:val="center"/>
              <w:rPr>
                <w:rFonts w:ascii="Times New Roman" w:hAnsi="Times New Roman" w:cs="Times New Roman"/>
                <w:lang w:val="en-US"/>
              </w:rPr>
            </w:pPr>
            <w:r>
              <w:rPr>
                <w:rFonts w:ascii="Times New Roman" w:hAnsi="Times New Roman" w:cs="Times New Roman"/>
                <w:lang w:val="uz-Cyrl-UZ"/>
              </w:rPr>
              <w:t xml:space="preserve">Sukuk </w:t>
            </w:r>
            <w:r>
              <w:rPr>
                <w:rFonts w:ascii="Times New Roman" w:hAnsi="Times New Roman" w:cs="Times New Roman"/>
                <w:lang w:val="en-US"/>
              </w:rPr>
              <w:t>issuer</w:t>
            </w:r>
          </w:p>
        </w:tc>
        <w:tc>
          <w:tcPr>
            <w:tcW w:w="1358"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Issued amount</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Release date</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Payment date</w:t>
            </w:r>
          </w:p>
        </w:tc>
        <w:tc>
          <w:tcPr>
            <w:tcW w:w="1235" w:type="dxa"/>
            <w:vAlign w:val="center"/>
          </w:tcPr>
          <w:p w:rsidR="00E42789" w:rsidRPr="00731771" w:rsidRDefault="00731771" w:rsidP="00CA05B9">
            <w:pPr>
              <w:jc w:val="center"/>
              <w:rPr>
                <w:rFonts w:ascii="Times New Roman" w:hAnsi="Times New Roman" w:cs="Times New Roman"/>
                <w:lang w:val="en-US"/>
              </w:rPr>
            </w:pPr>
            <w:r>
              <w:rPr>
                <w:rFonts w:ascii="Times New Roman" w:hAnsi="Times New Roman" w:cs="Times New Roman"/>
                <w:lang w:val="en-US"/>
              </w:rPr>
              <w:t>Contract</w:t>
            </w:r>
          </w:p>
        </w:tc>
        <w:tc>
          <w:tcPr>
            <w:tcW w:w="1224" w:type="dxa"/>
            <w:vAlign w:val="center"/>
          </w:tcPr>
          <w:p w:rsidR="00E42789" w:rsidRPr="00731771" w:rsidRDefault="00731771" w:rsidP="00CA05B9">
            <w:pPr>
              <w:jc w:val="center"/>
              <w:rPr>
                <w:rFonts w:ascii="Times New Roman" w:hAnsi="Times New Roman" w:cs="Times New Roman"/>
                <w:lang w:val="en-US"/>
              </w:rPr>
            </w:pPr>
            <w:r>
              <w:rPr>
                <w:rFonts w:ascii="Times New Roman" w:hAnsi="Times New Roman" w:cs="Times New Roman"/>
                <w:lang w:val="en-US"/>
              </w:rPr>
              <w:t>Theme</w:t>
            </w:r>
          </w:p>
        </w:tc>
      </w:tr>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Renewable energy</w:t>
            </w:r>
          </w:p>
        </w:tc>
        <w:tc>
          <w:tcPr>
            <w:tcW w:w="1504" w:type="dxa"/>
            <w:vAlign w:val="center"/>
          </w:tcPr>
          <w:p w:rsidR="00E42789" w:rsidRPr="00A17E57" w:rsidRDefault="00D57CE6" w:rsidP="00CA05B9">
            <w:pPr>
              <w:jc w:val="center"/>
              <w:rPr>
                <w:rFonts w:ascii="Times New Roman" w:hAnsi="Times New Roman" w:cs="Times New Roman"/>
              </w:rPr>
            </w:pPr>
            <w:r>
              <w:rPr>
                <w:rFonts w:ascii="Times New Roman" w:hAnsi="Times New Roman" w:cs="Times New Roman"/>
              </w:rPr>
              <w:t>Zorlu</w:t>
            </w:r>
            <w:r w:rsidR="00E42789">
              <w:rPr>
                <w:rFonts w:ascii="Times New Roman" w:hAnsi="Times New Roman" w:cs="Times New Roman"/>
              </w:rPr>
              <w:t xml:space="preserve"> </w:t>
            </w:r>
            <w:r w:rsidR="00E42789">
              <w:rPr>
                <w:rFonts w:ascii="Times New Roman" w:hAnsi="Times New Roman" w:cs="Times New Roman"/>
                <w:lang w:val="uz-Cyrl-UZ"/>
              </w:rPr>
              <w:t>Energy</w:t>
            </w:r>
            <w:r w:rsidR="00E42789">
              <w:rPr>
                <w:rFonts w:ascii="Times New Roman" w:hAnsi="Times New Roman" w:cs="Times New Roman"/>
              </w:rPr>
              <w:t xml:space="preserve"> </w:t>
            </w:r>
            <w:r w:rsidR="00E42789">
              <w:rPr>
                <w:rFonts w:ascii="Times New Roman" w:hAnsi="Times New Roman" w:cs="Times New Roman"/>
                <w:lang w:val="uz-Cyrl-UZ"/>
              </w:rPr>
              <w:t>Electric</w:t>
            </w:r>
            <w:r w:rsidR="00E42789" w:rsidRPr="00A17E57">
              <w:rPr>
                <w:rFonts w:ascii="Times New Roman" w:hAnsi="Times New Roman" w:cs="Times New Roman"/>
              </w:rPr>
              <w:t xml:space="preserve"> Üretim A.Ş.</w:t>
            </w:r>
          </w:p>
        </w:tc>
        <w:tc>
          <w:tcPr>
            <w:tcW w:w="1358" w:type="dxa"/>
            <w:vAlign w:val="center"/>
          </w:tcPr>
          <w:p w:rsidR="00E42789" w:rsidRPr="00731771" w:rsidRDefault="00E42789" w:rsidP="00CA05B9">
            <w:pPr>
              <w:jc w:val="center"/>
              <w:rPr>
                <w:rFonts w:ascii="Times New Roman" w:hAnsi="Times New Roman" w:cs="Times New Roman"/>
                <w:lang w:val="en-US"/>
              </w:rPr>
            </w:pPr>
            <w:r w:rsidRPr="00A17E57">
              <w:rPr>
                <w:rFonts w:ascii="Times New Roman" w:hAnsi="Times New Roman" w:cs="Times New Roman"/>
              </w:rPr>
              <w:t xml:space="preserve">50,000,000 </w:t>
            </w:r>
            <w:r w:rsidR="00731771">
              <w:rPr>
                <w:rFonts w:ascii="Times New Roman" w:hAnsi="Times New Roman" w:cs="Times New Roman"/>
                <w:lang w:val="uz-Cyrl-UZ"/>
              </w:rPr>
              <w:t>T</w:t>
            </w:r>
            <w:r w:rsidR="00731771">
              <w:rPr>
                <w:rFonts w:ascii="Times New Roman" w:hAnsi="Times New Roman" w:cs="Times New Roman"/>
                <w:lang w:val="en-US"/>
              </w:rPr>
              <w:t>RY</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3.06.2020</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2.06.2021</w:t>
            </w:r>
          </w:p>
        </w:tc>
        <w:tc>
          <w:tcPr>
            <w:tcW w:w="1235" w:type="dxa"/>
            <w:vAlign w:val="center"/>
          </w:tcPr>
          <w:p w:rsidR="00E42789" w:rsidRPr="00A17E57" w:rsidRDefault="00E42789" w:rsidP="00CA05B9">
            <w:pPr>
              <w:jc w:val="center"/>
              <w:rPr>
                <w:rFonts w:ascii="Times New Roman" w:hAnsi="Times New Roman" w:cs="Times New Roman"/>
              </w:rPr>
            </w:pPr>
            <w:r w:rsidRPr="00A17E57">
              <w:rPr>
                <w:rFonts w:ascii="Times New Roman" w:hAnsi="Times New Roman" w:cs="Times New Roman"/>
              </w:rPr>
              <w:t>Wakala</w:t>
            </w:r>
          </w:p>
        </w:tc>
        <w:tc>
          <w:tcPr>
            <w:tcW w:w="122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Stable</w:t>
            </w:r>
          </w:p>
        </w:tc>
      </w:tr>
      <w:tr w:rsidR="00D57CE6" w:rsidRPr="00A17E57" w:rsidTr="00D57CE6">
        <w:tc>
          <w:tcPr>
            <w:tcW w:w="1531" w:type="dxa"/>
            <w:vAlign w:val="center"/>
          </w:tcPr>
          <w:p w:rsidR="00D57CE6" w:rsidRPr="00A17E57" w:rsidRDefault="00D57CE6" w:rsidP="00D57CE6">
            <w:pPr>
              <w:jc w:val="center"/>
              <w:rPr>
                <w:rFonts w:ascii="Times New Roman" w:hAnsi="Times New Roman" w:cs="Times New Roman"/>
                <w:lang w:val="uz-Cyrl-UZ"/>
              </w:rPr>
            </w:pPr>
            <w:r w:rsidRPr="00A17E57">
              <w:rPr>
                <w:rFonts w:ascii="Times New Roman" w:hAnsi="Times New Roman" w:cs="Times New Roman"/>
                <w:lang w:val="uz-Cyrl-UZ"/>
              </w:rPr>
              <w:t>Renewable energy</w:t>
            </w:r>
          </w:p>
        </w:tc>
        <w:tc>
          <w:tcPr>
            <w:tcW w:w="1504" w:type="dxa"/>
            <w:vAlign w:val="center"/>
          </w:tcPr>
          <w:p w:rsidR="00D57CE6" w:rsidRPr="00A17E57" w:rsidRDefault="00D57CE6" w:rsidP="00D57CE6">
            <w:pPr>
              <w:jc w:val="center"/>
              <w:rPr>
                <w:rFonts w:ascii="Times New Roman" w:hAnsi="Times New Roman" w:cs="Times New Roman"/>
              </w:rPr>
            </w:pPr>
            <w:r>
              <w:rPr>
                <w:rFonts w:ascii="Times New Roman" w:hAnsi="Times New Roman" w:cs="Times New Roman"/>
              </w:rPr>
              <w:t xml:space="preserve">Zorlu </w:t>
            </w:r>
            <w:r>
              <w:rPr>
                <w:rFonts w:ascii="Times New Roman" w:hAnsi="Times New Roman" w:cs="Times New Roman"/>
                <w:lang w:val="uz-Cyrl-UZ"/>
              </w:rPr>
              <w:t>Energy</w:t>
            </w:r>
            <w:r>
              <w:rPr>
                <w:rFonts w:ascii="Times New Roman" w:hAnsi="Times New Roman" w:cs="Times New Roman"/>
              </w:rPr>
              <w:t xml:space="preserve"> </w:t>
            </w:r>
            <w:r>
              <w:rPr>
                <w:rFonts w:ascii="Times New Roman" w:hAnsi="Times New Roman" w:cs="Times New Roman"/>
                <w:lang w:val="uz-Cyrl-UZ"/>
              </w:rPr>
              <w:t>Electric</w:t>
            </w:r>
            <w:r w:rsidRPr="00A17E57">
              <w:rPr>
                <w:rFonts w:ascii="Times New Roman" w:hAnsi="Times New Roman" w:cs="Times New Roman"/>
              </w:rPr>
              <w:t xml:space="preserve"> Üretim A.Ş.</w:t>
            </w:r>
          </w:p>
        </w:tc>
        <w:tc>
          <w:tcPr>
            <w:tcW w:w="1358" w:type="dxa"/>
            <w:vAlign w:val="center"/>
          </w:tcPr>
          <w:p w:rsidR="00D57CE6" w:rsidRPr="00731771" w:rsidRDefault="00D57CE6" w:rsidP="00D57CE6">
            <w:pPr>
              <w:jc w:val="center"/>
              <w:rPr>
                <w:rFonts w:ascii="Times New Roman" w:hAnsi="Times New Roman" w:cs="Times New Roman"/>
                <w:lang w:val="en-US"/>
              </w:rPr>
            </w:pPr>
            <w:r w:rsidRPr="00A17E57">
              <w:rPr>
                <w:rFonts w:ascii="Times New Roman" w:hAnsi="Times New Roman" w:cs="Times New Roman"/>
                <w:lang w:val="en-US"/>
              </w:rPr>
              <w:t xml:space="preserve">45,000,000 </w:t>
            </w:r>
            <w:r>
              <w:rPr>
                <w:rFonts w:ascii="Times New Roman" w:hAnsi="Times New Roman" w:cs="Times New Roman"/>
                <w:lang w:val="uz-Cyrl-UZ"/>
              </w:rPr>
              <w:t>T</w:t>
            </w:r>
            <w:r>
              <w:rPr>
                <w:rFonts w:ascii="Times New Roman" w:hAnsi="Times New Roman" w:cs="Times New Roman"/>
                <w:lang w:val="en-US"/>
              </w:rPr>
              <w:t>RY</w:t>
            </w:r>
          </w:p>
        </w:tc>
        <w:tc>
          <w:tcPr>
            <w:tcW w:w="1357" w:type="dxa"/>
            <w:vAlign w:val="center"/>
          </w:tcPr>
          <w:p w:rsidR="00D57CE6" w:rsidRPr="00A17E57" w:rsidRDefault="00D57CE6" w:rsidP="00D57CE6">
            <w:pPr>
              <w:jc w:val="center"/>
              <w:rPr>
                <w:rFonts w:ascii="Times New Roman" w:hAnsi="Times New Roman" w:cs="Times New Roman"/>
                <w:lang w:val="uz-Cyrl-UZ"/>
              </w:rPr>
            </w:pPr>
            <w:r w:rsidRPr="00A17E57">
              <w:rPr>
                <w:rFonts w:ascii="Times New Roman" w:hAnsi="Times New Roman" w:cs="Times New Roman"/>
              </w:rPr>
              <w:t>22.04.2021</w:t>
            </w:r>
          </w:p>
        </w:tc>
        <w:tc>
          <w:tcPr>
            <w:tcW w:w="1219" w:type="dxa"/>
            <w:vAlign w:val="center"/>
          </w:tcPr>
          <w:p w:rsidR="00D57CE6" w:rsidRPr="00A17E57" w:rsidRDefault="00D57CE6" w:rsidP="00D57CE6">
            <w:pPr>
              <w:jc w:val="center"/>
              <w:rPr>
                <w:rFonts w:ascii="Times New Roman" w:hAnsi="Times New Roman" w:cs="Times New Roman"/>
                <w:lang w:val="uz-Cyrl-UZ"/>
              </w:rPr>
            </w:pPr>
            <w:r w:rsidRPr="00A17E57">
              <w:rPr>
                <w:rFonts w:ascii="Times New Roman" w:hAnsi="Times New Roman" w:cs="Times New Roman"/>
              </w:rPr>
              <w:t>17.09.2021</w:t>
            </w:r>
          </w:p>
        </w:tc>
        <w:tc>
          <w:tcPr>
            <w:tcW w:w="1235" w:type="dxa"/>
            <w:vAlign w:val="center"/>
          </w:tcPr>
          <w:p w:rsidR="00D57CE6" w:rsidRPr="00A17E57" w:rsidRDefault="00D57CE6" w:rsidP="00D57CE6">
            <w:pPr>
              <w:jc w:val="center"/>
              <w:rPr>
                <w:rFonts w:ascii="Times New Roman" w:hAnsi="Times New Roman" w:cs="Times New Roman"/>
              </w:rPr>
            </w:pPr>
            <w:r w:rsidRPr="00A17E57">
              <w:rPr>
                <w:rFonts w:ascii="Times New Roman" w:hAnsi="Times New Roman" w:cs="Times New Roman"/>
              </w:rPr>
              <w:t>Wakala</w:t>
            </w:r>
          </w:p>
        </w:tc>
        <w:tc>
          <w:tcPr>
            <w:tcW w:w="1224" w:type="dxa"/>
            <w:vAlign w:val="center"/>
          </w:tcPr>
          <w:p w:rsidR="00D57CE6" w:rsidRPr="00A17E57" w:rsidRDefault="00D57CE6" w:rsidP="00D57CE6">
            <w:pPr>
              <w:jc w:val="center"/>
              <w:rPr>
                <w:rFonts w:ascii="Times New Roman" w:hAnsi="Times New Roman" w:cs="Times New Roman"/>
                <w:lang w:val="uz-Cyrl-UZ"/>
              </w:rPr>
            </w:pPr>
            <w:r w:rsidRPr="00A17E57">
              <w:rPr>
                <w:rFonts w:ascii="Times New Roman" w:hAnsi="Times New Roman" w:cs="Times New Roman"/>
                <w:lang w:val="uz-Cyrl-UZ"/>
              </w:rPr>
              <w:t>Depends on BRM</w:t>
            </w:r>
          </w:p>
        </w:tc>
      </w:tr>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Participating bank</w:t>
            </w:r>
          </w:p>
        </w:tc>
        <w:tc>
          <w:tcPr>
            <w:tcW w:w="150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Kuwait Türk Katilim Bankasi A.Ş.</w:t>
            </w:r>
          </w:p>
        </w:tc>
        <w:tc>
          <w:tcPr>
            <w:tcW w:w="1358"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 xml:space="preserve">350,000,000 </w:t>
            </w:r>
            <w:r w:rsidRPr="00A17E57">
              <w:rPr>
                <w:rFonts w:ascii="Times New Roman" w:hAnsi="Times New Roman" w:cs="Times New Roman"/>
                <w:lang w:val="uz-Cyrl-UZ"/>
              </w:rPr>
              <w:t>US</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16.09.2021</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16.12.2031</w:t>
            </w:r>
          </w:p>
        </w:tc>
        <w:tc>
          <w:tcPr>
            <w:tcW w:w="1235" w:type="dxa"/>
            <w:vAlign w:val="center"/>
          </w:tcPr>
          <w:p w:rsidR="00E42789" w:rsidRPr="00A17E57" w:rsidRDefault="00E42789" w:rsidP="00CA05B9">
            <w:pPr>
              <w:jc w:val="center"/>
              <w:rPr>
                <w:rFonts w:ascii="Times New Roman" w:hAnsi="Times New Roman" w:cs="Times New Roman"/>
              </w:rPr>
            </w:pPr>
            <w:r w:rsidRPr="00A17E57">
              <w:rPr>
                <w:rFonts w:ascii="Times New Roman" w:hAnsi="Times New Roman" w:cs="Times New Roman"/>
                <w:lang w:val="uz-Cyrl-UZ"/>
              </w:rPr>
              <w:t xml:space="preserve">Murobaha and </w:t>
            </w:r>
            <w:r w:rsidRPr="00A17E57">
              <w:rPr>
                <w:rFonts w:ascii="Times New Roman" w:hAnsi="Times New Roman" w:cs="Times New Roman"/>
              </w:rPr>
              <w:t>Wakala</w:t>
            </w:r>
          </w:p>
        </w:tc>
        <w:tc>
          <w:tcPr>
            <w:tcW w:w="122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Stable</w:t>
            </w:r>
          </w:p>
        </w:tc>
      </w:tr>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Investment bank</w:t>
            </w:r>
          </w:p>
        </w:tc>
        <w:tc>
          <w:tcPr>
            <w:tcW w:w="150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Türkiye Kalkinma ve Yatirim Bankasi A.Ş.</w:t>
            </w:r>
          </w:p>
        </w:tc>
        <w:tc>
          <w:tcPr>
            <w:tcW w:w="1358" w:type="dxa"/>
            <w:vAlign w:val="center"/>
          </w:tcPr>
          <w:p w:rsidR="00E42789" w:rsidRPr="00731771" w:rsidRDefault="00E42789" w:rsidP="00CA05B9">
            <w:pPr>
              <w:jc w:val="center"/>
              <w:rPr>
                <w:rFonts w:ascii="Times New Roman" w:hAnsi="Times New Roman" w:cs="Times New Roman"/>
                <w:lang w:val="en-US"/>
              </w:rPr>
            </w:pPr>
            <w:r w:rsidRPr="00A17E57">
              <w:rPr>
                <w:rFonts w:ascii="Times New Roman" w:hAnsi="Times New Roman" w:cs="Times New Roman"/>
              </w:rPr>
              <w:t xml:space="preserve">50,000,000 </w:t>
            </w:r>
            <w:r w:rsidR="00731771">
              <w:rPr>
                <w:rFonts w:ascii="Times New Roman" w:hAnsi="Times New Roman" w:cs="Times New Roman"/>
                <w:lang w:val="uz-Cyrl-UZ"/>
              </w:rPr>
              <w:t>T</w:t>
            </w:r>
            <w:r w:rsidR="00731771">
              <w:rPr>
                <w:rFonts w:ascii="Times New Roman" w:hAnsi="Times New Roman" w:cs="Times New Roman"/>
                <w:lang w:val="en-US"/>
              </w:rPr>
              <w:t>RY</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12.10.2021</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10.01.2022</w:t>
            </w:r>
          </w:p>
        </w:tc>
        <w:tc>
          <w:tcPr>
            <w:tcW w:w="1235" w:type="dxa"/>
            <w:vAlign w:val="center"/>
          </w:tcPr>
          <w:p w:rsidR="00E42789" w:rsidRPr="00A17E57" w:rsidRDefault="00E42789" w:rsidP="00CA05B9">
            <w:pPr>
              <w:jc w:val="center"/>
              <w:rPr>
                <w:rFonts w:ascii="Times New Roman" w:hAnsi="Times New Roman" w:cs="Times New Roman"/>
              </w:rPr>
            </w:pPr>
            <w:r w:rsidRPr="00A17E57">
              <w:rPr>
                <w:rFonts w:ascii="Times New Roman" w:hAnsi="Times New Roman" w:cs="Times New Roman"/>
              </w:rPr>
              <w:t>Wakala</w:t>
            </w:r>
          </w:p>
        </w:tc>
        <w:tc>
          <w:tcPr>
            <w:tcW w:w="122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Social</w:t>
            </w:r>
          </w:p>
        </w:tc>
      </w:tr>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Participating bank</w:t>
            </w:r>
          </w:p>
        </w:tc>
        <w:tc>
          <w:tcPr>
            <w:tcW w:w="1504" w:type="dxa"/>
            <w:vAlign w:val="center"/>
          </w:tcPr>
          <w:p w:rsidR="00E42789" w:rsidRPr="00A17E57" w:rsidRDefault="00E42789" w:rsidP="00CA05B9">
            <w:pPr>
              <w:jc w:val="center"/>
              <w:rPr>
                <w:rFonts w:ascii="Times New Roman" w:hAnsi="Times New Roman" w:cs="Times New Roman"/>
                <w:lang w:val="uz-Cyrl-UZ"/>
              </w:rPr>
            </w:pPr>
            <w:r>
              <w:rPr>
                <w:rFonts w:ascii="Times New Roman" w:hAnsi="Times New Roman" w:cs="Times New Roman"/>
                <w:lang w:val="uz-Cyrl-UZ"/>
              </w:rPr>
              <w:t>Türkiye Emlak Katilim Bankasi A.Ş.</w:t>
            </w:r>
          </w:p>
        </w:tc>
        <w:tc>
          <w:tcPr>
            <w:tcW w:w="1358" w:type="dxa"/>
            <w:vAlign w:val="center"/>
          </w:tcPr>
          <w:p w:rsidR="00E42789" w:rsidRPr="00731771" w:rsidRDefault="00E42789" w:rsidP="00CA05B9">
            <w:pPr>
              <w:jc w:val="center"/>
              <w:rPr>
                <w:rFonts w:ascii="Times New Roman" w:hAnsi="Times New Roman" w:cs="Times New Roman"/>
                <w:lang w:val="en-US"/>
              </w:rPr>
            </w:pPr>
            <w:r w:rsidRPr="00A17E57">
              <w:rPr>
                <w:rFonts w:ascii="Times New Roman" w:hAnsi="Times New Roman" w:cs="Times New Roman"/>
              </w:rPr>
              <w:t xml:space="preserve">51,800,000 </w:t>
            </w:r>
            <w:r w:rsidR="00731771">
              <w:rPr>
                <w:rFonts w:ascii="Times New Roman" w:hAnsi="Times New Roman" w:cs="Times New Roman"/>
                <w:lang w:val="uz-Cyrl-UZ"/>
              </w:rPr>
              <w:t>T</w:t>
            </w:r>
            <w:r w:rsidR="00731771">
              <w:rPr>
                <w:rFonts w:ascii="Times New Roman" w:hAnsi="Times New Roman" w:cs="Times New Roman"/>
                <w:lang w:val="en-US"/>
              </w:rPr>
              <w:t>RY</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10.11.2021</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11/16/2022</w:t>
            </w:r>
          </w:p>
        </w:tc>
        <w:tc>
          <w:tcPr>
            <w:tcW w:w="1235"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Wakala</w:t>
            </w:r>
          </w:p>
        </w:tc>
        <w:tc>
          <w:tcPr>
            <w:tcW w:w="122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Green</w:t>
            </w:r>
          </w:p>
        </w:tc>
      </w:tr>
      <w:tr w:rsidR="00E42789" w:rsidRPr="00A17E57" w:rsidTr="00D57CE6">
        <w:tc>
          <w:tcPr>
            <w:tcW w:w="1531"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Construction</w:t>
            </w:r>
          </w:p>
        </w:tc>
        <w:tc>
          <w:tcPr>
            <w:tcW w:w="150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TVF IFM Gayrimenkul ve Inşaat Yönetimi A.Ş.</w:t>
            </w:r>
          </w:p>
        </w:tc>
        <w:tc>
          <w:tcPr>
            <w:tcW w:w="1358" w:type="dxa"/>
            <w:vAlign w:val="center"/>
          </w:tcPr>
          <w:p w:rsidR="00E42789" w:rsidRPr="00731771" w:rsidRDefault="00E42789" w:rsidP="00CA05B9">
            <w:pPr>
              <w:jc w:val="center"/>
              <w:rPr>
                <w:rFonts w:ascii="Times New Roman" w:hAnsi="Times New Roman" w:cs="Times New Roman"/>
                <w:lang w:val="en-US"/>
              </w:rPr>
            </w:pPr>
            <w:r w:rsidRPr="00A17E57">
              <w:rPr>
                <w:rFonts w:ascii="Times New Roman" w:hAnsi="Times New Roman" w:cs="Times New Roman"/>
              </w:rPr>
              <w:t xml:space="preserve">600,000,000 </w:t>
            </w:r>
            <w:r w:rsidR="00731771">
              <w:rPr>
                <w:rFonts w:ascii="Times New Roman" w:hAnsi="Times New Roman" w:cs="Times New Roman"/>
                <w:lang w:val="uz-Cyrl-UZ"/>
              </w:rPr>
              <w:t>T</w:t>
            </w:r>
            <w:r w:rsidR="00731771">
              <w:rPr>
                <w:rFonts w:ascii="Times New Roman" w:hAnsi="Times New Roman" w:cs="Times New Roman"/>
                <w:lang w:val="en-US"/>
              </w:rPr>
              <w:t>RY</w:t>
            </w:r>
          </w:p>
        </w:tc>
        <w:tc>
          <w:tcPr>
            <w:tcW w:w="1357"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24.12.2021</w:t>
            </w:r>
          </w:p>
        </w:tc>
        <w:tc>
          <w:tcPr>
            <w:tcW w:w="1219"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rPr>
              <w:t>22.12.2023</w:t>
            </w:r>
          </w:p>
        </w:tc>
        <w:tc>
          <w:tcPr>
            <w:tcW w:w="1235" w:type="dxa"/>
            <w:vAlign w:val="center"/>
          </w:tcPr>
          <w:p w:rsidR="00E42789" w:rsidRPr="00731771" w:rsidRDefault="00731771" w:rsidP="00CA05B9">
            <w:pPr>
              <w:jc w:val="center"/>
              <w:rPr>
                <w:rFonts w:ascii="Times New Roman" w:hAnsi="Times New Roman" w:cs="Times New Roman"/>
                <w:lang w:val="en-US"/>
              </w:rPr>
            </w:pPr>
            <w:r>
              <w:rPr>
                <w:rFonts w:ascii="Times New Roman" w:hAnsi="Times New Roman" w:cs="Times New Roman"/>
                <w:lang w:val="en-US"/>
              </w:rPr>
              <w:t>Istisna</w:t>
            </w:r>
          </w:p>
        </w:tc>
        <w:tc>
          <w:tcPr>
            <w:tcW w:w="1224" w:type="dxa"/>
            <w:vAlign w:val="center"/>
          </w:tcPr>
          <w:p w:rsidR="00E42789" w:rsidRPr="00A17E57" w:rsidRDefault="00E42789" w:rsidP="00CA05B9">
            <w:pPr>
              <w:jc w:val="center"/>
              <w:rPr>
                <w:rFonts w:ascii="Times New Roman" w:hAnsi="Times New Roman" w:cs="Times New Roman"/>
                <w:lang w:val="uz-Cyrl-UZ"/>
              </w:rPr>
            </w:pPr>
            <w:r w:rsidRPr="00A17E57">
              <w:rPr>
                <w:rFonts w:ascii="Times New Roman" w:hAnsi="Times New Roman" w:cs="Times New Roman"/>
                <w:lang w:val="uz-Cyrl-UZ"/>
              </w:rPr>
              <w:t>Green</w:t>
            </w:r>
          </w:p>
        </w:tc>
      </w:tr>
    </w:tbl>
    <w:p w:rsidR="00D57CE6" w:rsidRPr="00B27A0B" w:rsidRDefault="00D57CE6" w:rsidP="00D57CE6">
      <w:pPr>
        <w:spacing w:after="0" w:line="240" w:lineRule="auto"/>
        <w:ind w:firstLine="709"/>
        <w:jc w:val="both"/>
        <w:rPr>
          <w:rFonts w:ascii="Times New Roman" w:hAnsi="Times New Roman" w:cs="Times New Roman"/>
          <w:color w:val="000000" w:themeColor="text1"/>
          <w:sz w:val="28"/>
          <w:szCs w:val="28"/>
          <w:lang w:val="uz-Cyrl-UZ"/>
        </w:rPr>
      </w:pPr>
      <w:r w:rsidRPr="00E42789">
        <w:rPr>
          <w:rFonts w:ascii="Times New Roman" w:hAnsi="Times New Roman" w:cs="Times New Roman"/>
          <w:color w:val="000000" w:themeColor="text1"/>
          <w:sz w:val="28"/>
          <w:szCs w:val="28"/>
          <w:lang w:val="uz-Cyrl-UZ"/>
        </w:rPr>
        <w:t xml:space="preserve">As a reflection of the deepening of the lease certificate market in </w:t>
      </w:r>
      <w:r>
        <w:rPr>
          <w:rFonts w:ascii="Times New Roman" w:hAnsi="Times New Roman" w:cs="Times New Roman"/>
          <w:color w:val="000000" w:themeColor="text1"/>
          <w:sz w:val="28"/>
          <w:szCs w:val="28"/>
          <w:lang w:val="uz-Cyrl-UZ"/>
        </w:rPr>
        <w:t>Turkiye</w:t>
      </w:r>
      <w:r w:rsidRPr="00E42789">
        <w:rPr>
          <w:rFonts w:ascii="Times New Roman" w:hAnsi="Times New Roman" w:cs="Times New Roman"/>
          <w:color w:val="000000" w:themeColor="text1"/>
          <w:sz w:val="28"/>
          <w:szCs w:val="28"/>
          <w:lang w:val="uz-Cyrl-UZ"/>
        </w:rPr>
        <w:t xml:space="preserve"> since 2010, in 2020, the first sustainable lease certificates with a value of TRY 50 million were issued by a company operating in the energy sector. In September 2021, the participating bank issued the first stable secondary subordinated lease certificate in international markets, amounting to USD 350 million. Later, in November 2021, another participating bank issued </w:t>
      </w:r>
      <w:r>
        <w:rPr>
          <w:rFonts w:ascii="Times New Roman" w:hAnsi="Times New Roman" w:cs="Times New Roman"/>
          <w:color w:val="000000" w:themeColor="text1"/>
          <w:sz w:val="28"/>
          <w:szCs w:val="28"/>
          <w:lang w:val="uz-Cyrl-UZ"/>
        </w:rPr>
        <w:t>Turkiye</w:t>
      </w:r>
      <w:r w:rsidRPr="00E42789">
        <w:rPr>
          <w:rFonts w:ascii="Times New Roman" w:hAnsi="Times New Roman" w:cs="Times New Roman"/>
          <w:color w:val="000000" w:themeColor="text1"/>
          <w:sz w:val="28"/>
          <w:szCs w:val="28"/>
          <w:lang w:val="uz-Cyrl-UZ"/>
        </w:rPr>
        <w:t xml:space="preserve">'s first green leasing certificate based on the cooperation agreement in the amount of 52 million TRY. The latest green lease certificate for 2021 is worth 600 million euros and </w:t>
      </w:r>
      <w:r>
        <w:rPr>
          <w:rFonts w:ascii="Times New Roman" w:hAnsi="Times New Roman" w:cs="Times New Roman"/>
          <w:color w:val="000000" w:themeColor="text1"/>
          <w:sz w:val="28"/>
          <w:szCs w:val="28"/>
          <w:lang w:val="uz-Cyrl-UZ"/>
        </w:rPr>
        <w:t>was issued by the project company in December under the exclusive contract of Istanbul Financial Center (Table 2).</w:t>
      </w:r>
    </w:p>
    <w:p w:rsidR="00264A4E" w:rsidRPr="00264A4E" w:rsidRDefault="0009523B" w:rsidP="008A1853">
      <w:pPr>
        <w:spacing w:after="0"/>
        <w:ind w:firstLine="708"/>
        <w:jc w:val="both"/>
        <w:rPr>
          <w:rFonts w:ascii="Times New Roman" w:hAnsi="Times New Roman" w:cs="Times New Roman"/>
          <w:b/>
          <w:sz w:val="28"/>
          <w:szCs w:val="28"/>
          <w:lang w:val="uz-Cyrl-UZ"/>
        </w:rPr>
      </w:pPr>
      <w:r>
        <w:rPr>
          <w:rFonts w:ascii="Times New Roman" w:hAnsi="Times New Roman" w:cs="Times New Roman"/>
          <w:b/>
          <w:sz w:val="28"/>
          <w:szCs w:val="28"/>
          <w:lang w:val="en-US"/>
        </w:rPr>
        <w:t xml:space="preserve">5. </w:t>
      </w:r>
      <w:r>
        <w:rPr>
          <w:rFonts w:ascii="Times New Roman" w:hAnsi="Times New Roman" w:cs="Times New Roman"/>
          <w:b/>
          <w:sz w:val="28"/>
          <w:szCs w:val="28"/>
          <w:lang w:val="uz-Cyrl-UZ"/>
        </w:rPr>
        <w:t>CONCLUSION</w:t>
      </w:r>
    </w:p>
    <w:p w:rsidR="00264A4E" w:rsidRPr="008A1853" w:rsidRDefault="00D57CE6" w:rsidP="00EC446A">
      <w:pPr>
        <w:spacing w:after="0"/>
        <w:jc w:val="both"/>
        <w:rPr>
          <w:rFonts w:ascii="Times New Roman" w:hAnsi="Times New Roman" w:cs="Times New Roman"/>
          <w:sz w:val="28"/>
          <w:szCs w:val="28"/>
          <w:lang w:val="uz-Cyrl-UZ"/>
        </w:rPr>
      </w:pPr>
      <w:r>
        <w:rPr>
          <w:rFonts w:ascii="Times New Roman" w:hAnsi="Times New Roman" w:cs="Times New Roman"/>
          <w:sz w:val="28"/>
          <w:szCs w:val="28"/>
          <w:lang w:val="en-US"/>
        </w:rPr>
        <w:t xml:space="preserve">       </w:t>
      </w:r>
      <w:r w:rsidR="00264A4E" w:rsidRPr="00264A4E">
        <w:rPr>
          <w:rFonts w:ascii="Times New Roman" w:hAnsi="Times New Roman" w:cs="Times New Roman"/>
          <w:sz w:val="28"/>
          <w:szCs w:val="28"/>
          <w:lang w:val="uz-Cyrl-UZ"/>
        </w:rPr>
        <w:t xml:space="preserve">Based on the results of our research, we have seen that the development of Islamic finance (participation finance) in </w:t>
      </w:r>
      <w:r w:rsidR="00AF6972">
        <w:rPr>
          <w:rFonts w:ascii="Times New Roman" w:hAnsi="Times New Roman" w:cs="Times New Roman"/>
          <w:sz w:val="28"/>
          <w:szCs w:val="28"/>
          <w:lang w:val="uz-Cyrl-UZ"/>
        </w:rPr>
        <w:t>Turkiye</w:t>
      </w:r>
      <w:r w:rsidR="00264A4E" w:rsidRPr="00264A4E">
        <w:rPr>
          <w:rFonts w:ascii="Times New Roman" w:hAnsi="Times New Roman" w:cs="Times New Roman"/>
          <w:sz w:val="28"/>
          <w:szCs w:val="28"/>
          <w:lang w:val="uz-Cyrl-UZ"/>
        </w:rPr>
        <w:t xml:space="preserve"> has been studied in several stages, and at each stage, systematic work has been carried out to eliminate obstacles to the development of Islamic finance. We have also studied in detail the Turkish experience that has been implemented and is planned to be implemented in order to </w:t>
      </w:r>
      <w:r w:rsidR="00264A4E" w:rsidRPr="00264A4E">
        <w:rPr>
          <w:rFonts w:ascii="Times New Roman" w:hAnsi="Times New Roman" w:cs="Times New Roman"/>
          <w:sz w:val="28"/>
          <w:szCs w:val="28"/>
          <w:lang w:val="uz-Cyrl-UZ"/>
        </w:rPr>
        <w:lastRenderedPageBreak/>
        <w:t>establish the Islamic capital market</w:t>
      </w:r>
      <w:r w:rsidR="00097CF1">
        <w:rPr>
          <w:rFonts w:ascii="Times New Roman" w:hAnsi="Times New Roman" w:cs="Times New Roman"/>
          <w:sz w:val="28"/>
          <w:szCs w:val="28"/>
          <w:lang w:val="en-US"/>
        </w:rPr>
        <w:t xml:space="preserve"> in Uzbekistan</w:t>
      </w:r>
      <w:r w:rsidR="00264A4E" w:rsidRPr="00264A4E">
        <w:rPr>
          <w:rFonts w:ascii="Times New Roman" w:hAnsi="Times New Roman" w:cs="Times New Roman"/>
          <w:sz w:val="28"/>
          <w:szCs w:val="28"/>
          <w:lang w:val="uz-Cyrl-UZ"/>
        </w:rPr>
        <w:t>. As a result of our research, we have developed our own scientific and practical proposals and conclusions for the introduction of Islamic securities - sukuk in Uzbekistan.</w:t>
      </w:r>
    </w:p>
    <w:p w:rsidR="006C2FC7" w:rsidRPr="006C2FC7" w:rsidRDefault="006C2FC7" w:rsidP="006C2FC7">
      <w:pPr>
        <w:spacing w:after="0"/>
        <w:ind w:firstLine="708"/>
        <w:jc w:val="both"/>
        <w:rPr>
          <w:rFonts w:ascii="Times New Roman" w:hAnsi="Times New Roman" w:cs="Times New Roman"/>
          <w:sz w:val="28"/>
          <w:szCs w:val="28"/>
          <w:lang w:val="uz-Cyrl-UZ"/>
        </w:rPr>
      </w:pPr>
      <w:r w:rsidRPr="006C2FC7">
        <w:rPr>
          <w:rFonts w:ascii="Times New Roman" w:hAnsi="Times New Roman" w:cs="Times New Roman"/>
          <w:sz w:val="28"/>
          <w:szCs w:val="28"/>
          <w:lang w:val="uz-Cyrl-UZ"/>
        </w:rPr>
        <w:t>In order to effectively introduce sukuk issuance in Uzbekistan, before issuing sukuk, the Ministry of Economy and Finance of the Republic of Uzbekistan should conduct a survey and analyze the results in order to see</w:t>
      </w:r>
      <w:r w:rsidR="00097CF1">
        <w:rPr>
          <w:rFonts w:ascii="Times New Roman" w:hAnsi="Times New Roman" w:cs="Times New Roman"/>
          <w:sz w:val="28"/>
          <w:szCs w:val="28"/>
          <w:lang w:val="uz-Cyrl-UZ"/>
        </w:rPr>
        <w:t xml:space="preserve"> the society's demand for </w:t>
      </w:r>
      <w:r w:rsidR="00097CF1">
        <w:rPr>
          <w:rFonts w:ascii="Times New Roman" w:hAnsi="Times New Roman" w:cs="Times New Roman"/>
          <w:sz w:val="28"/>
          <w:szCs w:val="28"/>
          <w:lang w:val="en-US"/>
        </w:rPr>
        <w:t>ijara</w:t>
      </w:r>
      <w:r w:rsidR="00097CF1">
        <w:rPr>
          <w:rFonts w:ascii="Times New Roman" w:hAnsi="Times New Roman" w:cs="Times New Roman"/>
          <w:sz w:val="28"/>
          <w:szCs w:val="28"/>
          <w:lang w:val="uz-Cyrl-UZ"/>
        </w:rPr>
        <w:t xml:space="preserve">, </w:t>
      </w:r>
      <w:r w:rsidR="00097CF1">
        <w:rPr>
          <w:rFonts w:ascii="Times New Roman" w:hAnsi="Times New Roman" w:cs="Times New Roman"/>
          <w:sz w:val="28"/>
          <w:szCs w:val="28"/>
          <w:lang w:val="en-US"/>
        </w:rPr>
        <w:t>istisna</w:t>
      </w:r>
      <w:r w:rsidRPr="006C2FC7">
        <w:rPr>
          <w:rFonts w:ascii="Times New Roman" w:hAnsi="Times New Roman" w:cs="Times New Roman"/>
          <w:sz w:val="28"/>
          <w:szCs w:val="28"/>
          <w:lang w:val="uz-Cyrl-UZ"/>
        </w:rPr>
        <w:t xml:space="preserve"> and wakala sukuk in precise numbers. Based on the results of the analysis, they will be able to make a decision on issuing sukuk.</w:t>
      </w:r>
    </w:p>
    <w:p w:rsidR="00A332D4" w:rsidRDefault="006C2FC7" w:rsidP="006C2FC7">
      <w:pPr>
        <w:spacing w:after="0"/>
        <w:ind w:firstLine="708"/>
        <w:jc w:val="both"/>
        <w:rPr>
          <w:rFonts w:ascii="Times New Roman" w:hAnsi="Times New Roman" w:cs="Times New Roman"/>
          <w:sz w:val="28"/>
          <w:szCs w:val="28"/>
          <w:lang w:val="en-US"/>
        </w:rPr>
      </w:pPr>
      <w:r w:rsidRPr="006C2FC7">
        <w:rPr>
          <w:rFonts w:ascii="Times New Roman" w:hAnsi="Times New Roman" w:cs="Times New Roman"/>
          <w:sz w:val="28"/>
          <w:szCs w:val="28"/>
          <w:lang w:val="uz-Cyrl-UZ"/>
        </w:rPr>
        <w:t>In order to make it easier for issuers, to develop a manual that covers all aspects of lease</w:t>
      </w:r>
      <w:r w:rsidR="00097CF1">
        <w:rPr>
          <w:rFonts w:ascii="Times New Roman" w:hAnsi="Times New Roman" w:cs="Times New Roman"/>
          <w:sz w:val="28"/>
          <w:szCs w:val="28"/>
          <w:lang w:val="en-US"/>
        </w:rPr>
        <w:t xml:space="preserve"> (ijara)</w:t>
      </w:r>
      <w:r w:rsidR="00097CF1">
        <w:rPr>
          <w:rFonts w:ascii="Times New Roman" w:hAnsi="Times New Roman" w:cs="Times New Roman"/>
          <w:sz w:val="28"/>
          <w:szCs w:val="28"/>
          <w:lang w:val="uz-Cyrl-UZ"/>
        </w:rPr>
        <w:t xml:space="preserve">, </w:t>
      </w:r>
      <w:r w:rsidR="00097CF1">
        <w:rPr>
          <w:rFonts w:ascii="Times New Roman" w:hAnsi="Times New Roman" w:cs="Times New Roman"/>
          <w:sz w:val="28"/>
          <w:szCs w:val="28"/>
          <w:lang w:val="en-US"/>
        </w:rPr>
        <w:t xml:space="preserve">istisna </w:t>
      </w:r>
      <w:r w:rsidRPr="006C2FC7">
        <w:rPr>
          <w:rFonts w:ascii="Times New Roman" w:hAnsi="Times New Roman" w:cs="Times New Roman"/>
          <w:sz w:val="28"/>
          <w:szCs w:val="28"/>
          <w:lang w:val="uz-Cyrl-UZ"/>
        </w:rPr>
        <w:t>and wakala sukuk issuance, operation and extinguishment, and also briefly cover the global experience of sukuk issuance, and present this manual to investors by printing it in electronic or printed form</w:t>
      </w:r>
      <w:r w:rsidR="00A332D4">
        <w:rPr>
          <w:rFonts w:ascii="Times New Roman" w:hAnsi="Times New Roman" w:cs="Times New Roman"/>
          <w:sz w:val="28"/>
          <w:szCs w:val="28"/>
          <w:lang w:val="en-US"/>
        </w:rPr>
        <w:t xml:space="preserve"> may</w:t>
      </w:r>
      <w:r w:rsidRPr="006C2FC7">
        <w:rPr>
          <w:rFonts w:ascii="Times New Roman" w:hAnsi="Times New Roman" w:cs="Times New Roman"/>
          <w:sz w:val="28"/>
          <w:szCs w:val="28"/>
          <w:lang w:val="uz-Cyrl-UZ"/>
        </w:rPr>
        <w:t xml:space="preserve"> lead to an increase in confidence and an incr</w:t>
      </w:r>
      <w:r w:rsidR="00A332D4">
        <w:rPr>
          <w:rFonts w:ascii="Times New Roman" w:hAnsi="Times New Roman" w:cs="Times New Roman"/>
          <w:sz w:val="28"/>
          <w:szCs w:val="28"/>
          <w:lang w:val="uz-Cyrl-UZ"/>
        </w:rPr>
        <w:t>ease in the number of investors</w:t>
      </w:r>
      <w:r w:rsidR="00A332D4">
        <w:rPr>
          <w:rFonts w:ascii="Times New Roman" w:hAnsi="Times New Roman" w:cs="Times New Roman"/>
          <w:sz w:val="28"/>
          <w:szCs w:val="28"/>
          <w:lang w:val="en-US"/>
        </w:rPr>
        <w:t>.</w:t>
      </w:r>
    </w:p>
    <w:p w:rsidR="006C2FC7" w:rsidRDefault="00A332D4" w:rsidP="006C2FC7">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The issuance of</w:t>
      </w:r>
      <w:r w:rsidR="006C2FC7">
        <w:rPr>
          <w:rFonts w:ascii="Times New Roman" w:hAnsi="Times New Roman" w:cs="Times New Roman"/>
          <w:sz w:val="28"/>
          <w:szCs w:val="28"/>
          <w:lang w:val="uz-Cyrl-UZ"/>
        </w:rPr>
        <w:t xml:space="preserve"> sukuk by the SPV selected by the Ministry of Economy and Finance is the development of Islamic securities aimed at creating new opportunities for the stock market of Uzbekistan, increasing the efficiency of the existing system based on the experience gained, improving the image of Uzbekistan in the world Islamic financial market, and further expanding the scope of investment att</w:t>
      </w:r>
      <w:r>
        <w:rPr>
          <w:rFonts w:ascii="Times New Roman" w:hAnsi="Times New Roman" w:cs="Times New Roman"/>
          <w:sz w:val="28"/>
          <w:szCs w:val="28"/>
          <w:lang w:val="uz-Cyrl-UZ"/>
        </w:rPr>
        <w:t>raction with the help of sukuk</w:t>
      </w:r>
      <w:r>
        <w:rPr>
          <w:rFonts w:ascii="Times New Roman" w:hAnsi="Times New Roman" w:cs="Times New Roman"/>
          <w:sz w:val="28"/>
          <w:szCs w:val="28"/>
          <w:lang w:val="en-US"/>
        </w:rPr>
        <w:t xml:space="preserve"> </w:t>
      </w:r>
      <w:r w:rsidR="006C2FC7">
        <w:rPr>
          <w:rFonts w:ascii="Times New Roman" w:hAnsi="Times New Roman" w:cs="Times New Roman"/>
          <w:sz w:val="28"/>
          <w:szCs w:val="28"/>
          <w:lang w:val="uz-Cyrl-UZ"/>
        </w:rPr>
        <w:t>can be seen as an aid for developing a long-term strategy.</w:t>
      </w:r>
    </w:p>
    <w:p w:rsidR="00264A4E" w:rsidRDefault="00264A4E" w:rsidP="006C2FC7">
      <w:pPr>
        <w:spacing w:after="0"/>
        <w:ind w:firstLine="708"/>
        <w:jc w:val="both"/>
        <w:rPr>
          <w:rFonts w:ascii="Times New Roman" w:hAnsi="Times New Roman" w:cs="Times New Roman"/>
          <w:sz w:val="28"/>
          <w:szCs w:val="28"/>
          <w:lang w:val="uz-Cyrl-UZ"/>
        </w:rPr>
      </w:pPr>
      <w:r w:rsidRPr="00264A4E">
        <w:rPr>
          <w:rFonts w:ascii="Times New Roman" w:hAnsi="Times New Roman" w:cs="Times New Roman"/>
          <w:sz w:val="28"/>
          <w:szCs w:val="28"/>
          <w:lang w:val="uz-Cyrl-UZ"/>
        </w:rPr>
        <w:t>Based on the conclusions presented in this article, our prospective work on the remaining issues continues and will be presented in our future articles.</w:t>
      </w:r>
    </w:p>
    <w:p w:rsidR="00E42789" w:rsidRPr="0009523B" w:rsidRDefault="0009523B" w:rsidP="006C2FC7">
      <w:pPr>
        <w:spacing w:after="0"/>
        <w:ind w:firstLine="708"/>
        <w:jc w:val="both"/>
        <w:rPr>
          <w:rFonts w:ascii="Times New Roman" w:hAnsi="Times New Roman" w:cs="Times New Roman"/>
          <w:b/>
          <w:sz w:val="28"/>
          <w:szCs w:val="28"/>
          <w:lang w:val="en-US"/>
        </w:rPr>
      </w:pPr>
      <w:r w:rsidRPr="0009523B">
        <w:rPr>
          <w:rFonts w:ascii="Times New Roman" w:hAnsi="Times New Roman" w:cs="Times New Roman"/>
          <w:b/>
          <w:sz w:val="28"/>
          <w:szCs w:val="28"/>
          <w:lang w:val="uz-Cyrl-UZ"/>
        </w:rPr>
        <w:t>6</w:t>
      </w:r>
      <w:r>
        <w:rPr>
          <w:rFonts w:ascii="Times New Roman" w:hAnsi="Times New Roman" w:cs="Times New Roman"/>
          <w:b/>
          <w:sz w:val="28"/>
          <w:szCs w:val="28"/>
          <w:lang w:val="en-US"/>
        </w:rPr>
        <w:t>. REFERENCES</w:t>
      </w:r>
      <w:bookmarkStart w:id="0" w:name="_GoBack"/>
      <w:bookmarkEnd w:id="0"/>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Abrorov S.Z., (2020), Oʻzbekistonda sukuk – islomiy qimmatli qogʻozlarni joriy etish istiqbollari. 08.00.07-Moliya, pul muomilasi va kredit PhD ilmiy darajasi dissertasiyasi /TDIU T;</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Baydaulet, E.A., (2019), Islomiy moliya asoslari [Matn] / E.A. Baydaulet. – Toshkent: «O‘zbekiston» NMIU, – 432 b.</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Banking Regulation and Super vision Agency. (June 30, 2022). Banking Sector Data, Monthly Banking Sector Data; (https://www.bddk.org.tr/BultenAylik)</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Banking Regulation and Super vision Agency. (December 31, 2021). Banking Sector Data, Monthly Banking Sector Data; (https:// www.bddk.org.tr/BultenAylik</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Bekkin, R.I., (2019), Islom iqtisodiy modeli va zamon [Matn]– Toshkent: «O‘zbekiston» NMIU, 2019. – 360 b.</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https://www.dailysabah.com/business/finance/turkeys-islamic-finance-assets-to-double-in-5-years-moodys</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0" w:history="1">
        <w:r w:rsidR="00F12ED3" w:rsidRPr="00372EDD">
          <w:rPr>
            <w:rStyle w:val="a8"/>
            <w:rFonts w:ascii="Times New Roman" w:hAnsi="Times New Roman" w:cs="Times New Roman"/>
            <w:sz w:val="28"/>
            <w:szCs w:val="28"/>
            <w:lang w:val="uz-Cyrl-UZ"/>
          </w:rPr>
          <w:t>https://www.middleeastmonitor.com/20221004-turkiye-eyes-to-become-leader-in-islamic-finance-says-official/</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1" w:anchor="_ftn" w:history="1">
        <w:r w:rsidR="00F12ED3" w:rsidRPr="00372EDD">
          <w:rPr>
            <w:rStyle w:val="a8"/>
            <w:rFonts w:ascii="Times New Roman" w:hAnsi="Times New Roman" w:cs="Times New Roman"/>
            <w:sz w:val="28"/>
            <w:szCs w:val="28"/>
            <w:lang w:val="uz-Cyrl-UZ"/>
          </w:rPr>
          <w:t>https://islommoliyasi.uz/uz/6612/#_ftn</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2" w:history="1">
        <w:r w:rsidR="00F12ED3" w:rsidRPr="00372EDD">
          <w:rPr>
            <w:rStyle w:val="a8"/>
            <w:rFonts w:ascii="Times New Roman" w:hAnsi="Times New Roman" w:cs="Times New Roman"/>
            <w:sz w:val="28"/>
            <w:szCs w:val="28"/>
            <w:lang w:val="uz-Cyrl-UZ"/>
          </w:rPr>
          <w:t>https://www.fitchratings.com/research/banks/turkish-islamic-banks-dashboard-2022-12-05-2022</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3" w:history="1">
        <w:r w:rsidR="00F12ED3" w:rsidRPr="00372EDD">
          <w:rPr>
            <w:rStyle w:val="a8"/>
            <w:rFonts w:ascii="Times New Roman" w:hAnsi="Times New Roman" w:cs="Times New Roman"/>
            <w:sz w:val="28"/>
            <w:szCs w:val="28"/>
            <w:lang w:val="uz-Cyrl-UZ"/>
          </w:rPr>
          <w:t>https://parstoday.com/uz/news/uzbekistan-i6844</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en-US"/>
        </w:rPr>
      </w:pPr>
      <w:hyperlink r:id="rId14" w:history="1">
        <w:r w:rsidR="00F12ED3" w:rsidRPr="00372EDD">
          <w:rPr>
            <w:rStyle w:val="a8"/>
            <w:rFonts w:ascii="Times New Roman" w:hAnsi="Times New Roman" w:cs="Times New Roman"/>
            <w:sz w:val="28"/>
            <w:szCs w:val="28"/>
            <w:lang w:val="uz-Cyrl-UZ"/>
          </w:rPr>
          <w:t>https://kun.uz/41540313</w:t>
        </w:r>
      </w:hyperlink>
      <w:r w:rsidR="00F12ED3">
        <w:rPr>
          <w:rFonts w:ascii="Times New Roman" w:hAnsi="Times New Roman" w:cs="Times New Roman"/>
          <w:sz w:val="28"/>
          <w:szCs w:val="28"/>
          <w:lang w:val="en-US"/>
        </w:rPr>
        <w:t xml:space="preserve"> </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lastRenderedPageBreak/>
        <w:t>Gait , A. and Worthington, A., (2008), An empirical survey of individual customer, business  firms  and  financial  institution  attitudes  towards  Islamic  methods  of  finance, International Journal of Social Economics, 35(11), 783-808.</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ICD – REFINITIV ISLAMIC FINANCE DEVELOPMENT REPORT (2011- 2023)</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Irgasheva G.S., (2023), Oʻzbekistonda islom moliyasini rivojlanishida Malayziya tajribasidan foydalanish yoʻnalishlari, Iqtisodiy taraqqiyot va tahlil ilmiy elektron jurnal, 2023-yil, may, 1-son, 137-145-sahifalar, www.e-itt.uz</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Islamic Financial Services Indust</w:t>
      </w:r>
      <w:r>
        <w:rPr>
          <w:rFonts w:ascii="Times New Roman" w:hAnsi="Times New Roman" w:cs="Times New Roman"/>
          <w:sz w:val="28"/>
          <w:szCs w:val="28"/>
          <w:lang w:val="uz-Cyrl-UZ"/>
        </w:rPr>
        <w:t>ry (IFSI) Stability Report (202</w:t>
      </w:r>
      <w:r>
        <w:rPr>
          <w:rFonts w:ascii="Times New Roman" w:hAnsi="Times New Roman" w:cs="Times New Roman"/>
          <w:sz w:val="28"/>
          <w:szCs w:val="28"/>
          <w:lang w:val="en-US"/>
        </w:rPr>
        <w:t>3</w:t>
      </w:r>
      <w:r w:rsidRPr="00E42789">
        <w:rPr>
          <w:rFonts w:ascii="Times New Roman" w:hAnsi="Times New Roman" w:cs="Times New Roman"/>
          <w:sz w:val="28"/>
          <w:szCs w:val="28"/>
          <w:lang w:val="uz-Cyrl-UZ"/>
        </w:rPr>
        <w:t>)</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Mokina L.S, (2017), Islamskie sennie bumagi kak istochnik finansirovaniya investisionnix proektov i perspektivi ix razmesheniya na finansovom rinke Rossii // Rossiyskoe predprinimatelstvo. Tom 18. №22. s. 3429-3446;</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Mirakhor, A. and Iqbal, Z., (2011), An Introduction To Islamic Finance : Theory and Practice. Singapore: John Wiley &amp; Sons.</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Usmani Muhammad Taqi, (2011), An Introduction to Islamic Finance. 169 pages; </w:t>
      </w:r>
    </w:p>
    <w:p w:rsidR="00F12ED3" w:rsidRPr="00264A4E"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Xasanov X, (2017), Ahloqiy (islomiy) moliyalashtirish tizimi – innovasion moliyalashtirish vostiasi sifatida (Oʻzbekiston va MDH misolida). “Iqtisodiyot va innovasion texnologiyalar</w:t>
      </w:r>
      <w:r>
        <w:rPr>
          <w:rFonts w:ascii="Times New Roman" w:hAnsi="Times New Roman" w:cs="Times New Roman"/>
          <w:sz w:val="28"/>
          <w:szCs w:val="28"/>
          <w:lang w:val="uz-Cyrl-UZ"/>
        </w:rPr>
        <w:t>” ilmiy elektron jurnali. № 5 .</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Abrorov S.Z., (2020), Oʻzbekistonda sukuk – islomiy qimmatli qogʻozlarni joriy etish istiqbollari. 08.00.07-Moliya, pul muomilasi va kredit PhD ilmiy darajasi dissertasiyasi /TDIU T;</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Baydaulet, E.A., (2019), Islomiy moliya asoslari [Matn] / E.A. Baydaulet. – Toshkent: «O‘zbekiston» NMIU, – 432 b.</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Banking Regulation and Super vision Agency. (June 30, 2022). Banking Sector Data, Monthly Banking Sector Data; (https://www.bddk.org.tr/BultenAylik)</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Banking Regulation and Super vision Agency. (December 31, 2021). Banking Sector Data, Monthly Banking Sector Data; (https:// www.bddk.org.tr/BultenAylik</w:t>
      </w:r>
    </w:p>
    <w:p w:rsidR="00F12ED3" w:rsidRPr="00E42789" w:rsidRDefault="00F12ED3" w:rsidP="00F12ED3">
      <w:pPr>
        <w:spacing w:after="0"/>
        <w:ind w:firstLine="708"/>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Bekkin, R.I., (2019), Islom iqtisodiy modeli va zamon [Matn]– Toshkent: «O‘zbekiston» NMIU, 2019. – 360 b.</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https://www.dailysabah.com/business/finance/turkeys-islamic-finance-assets-to-double-in-5-years-moodys</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5" w:history="1">
        <w:r w:rsidR="00F12ED3" w:rsidRPr="00372EDD">
          <w:rPr>
            <w:rStyle w:val="a8"/>
            <w:rFonts w:ascii="Times New Roman" w:hAnsi="Times New Roman" w:cs="Times New Roman"/>
            <w:sz w:val="28"/>
            <w:szCs w:val="28"/>
            <w:lang w:val="uz-Cyrl-UZ"/>
          </w:rPr>
          <w:t>https://www.middleeastmonitor.com/20221004-turkiye-eyes-to-become-leader-in-islamic-finance-says-official/</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6" w:anchor="_ftn" w:history="1">
        <w:r w:rsidR="00F12ED3" w:rsidRPr="00372EDD">
          <w:rPr>
            <w:rStyle w:val="a8"/>
            <w:rFonts w:ascii="Times New Roman" w:hAnsi="Times New Roman" w:cs="Times New Roman"/>
            <w:sz w:val="28"/>
            <w:szCs w:val="28"/>
            <w:lang w:val="uz-Cyrl-UZ"/>
          </w:rPr>
          <w:t>https://islommoliyasi.uz/uz/6612/#_ftn</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7" w:history="1">
        <w:r w:rsidR="00F12ED3" w:rsidRPr="00372EDD">
          <w:rPr>
            <w:rStyle w:val="a8"/>
            <w:rFonts w:ascii="Times New Roman" w:hAnsi="Times New Roman" w:cs="Times New Roman"/>
            <w:sz w:val="28"/>
            <w:szCs w:val="28"/>
            <w:lang w:val="uz-Cyrl-UZ"/>
          </w:rPr>
          <w:t>https://www.fitchratings.com/research/banks/turkish-islamic-banks-dashboard-2022-12-05-2022</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uz-Cyrl-UZ"/>
        </w:rPr>
      </w:pPr>
      <w:hyperlink r:id="rId18" w:history="1">
        <w:r w:rsidR="00F12ED3" w:rsidRPr="00372EDD">
          <w:rPr>
            <w:rStyle w:val="a8"/>
            <w:rFonts w:ascii="Times New Roman" w:hAnsi="Times New Roman" w:cs="Times New Roman"/>
            <w:sz w:val="28"/>
            <w:szCs w:val="28"/>
            <w:lang w:val="uz-Cyrl-UZ"/>
          </w:rPr>
          <w:t>https://parstoday.com/uz/news/uzbekistan-i6844</w:t>
        </w:r>
      </w:hyperlink>
      <w:r w:rsidR="00F12ED3" w:rsidRPr="00EC446A">
        <w:rPr>
          <w:rFonts w:ascii="Times New Roman" w:hAnsi="Times New Roman" w:cs="Times New Roman"/>
          <w:sz w:val="28"/>
          <w:szCs w:val="28"/>
          <w:lang w:val="uz-Cyrl-UZ"/>
        </w:rPr>
        <w:t xml:space="preserve"> </w:t>
      </w:r>
    </w:p>
    <w:p w:rsidR="00F12ED3" w:rsidRPr="00EC446A" w:rsidRDefault="00C82B68" w:rsidP="00F12ED3">
      <w:pPr>
        <w:spacing w:after="0"/>
        <w:ind w:firstLine="708"/>
        <w:jc w:val="both"/>
        <w:rPr>
          <w:rFonts w:ascii="Times New Roman" w:hAnsi="Times New Roman" w:cs="Times New Roman"/>
          <w:sz w:val="28"/>
          <w:szCs w:val="28"/>
          <w:lang w:val="en-US"/>
        </w:rPr>
      </w:pPr>
      <w:hyperlink r:id="rId19" w:history="1">
        <w:r w:rsidR="00F12ED3" w:rsidRPr="00372EDD">
          <w:rPr>
            <w:rStyle w:val="a8"/>
            <w:rFonts w:ascii="Times New Roman" w:hAnsi="Times New Roman" w:cs="Times New Roman"/>
            <w:sz w:val="28"/>
            <w:szCs w:val="28"/>
            <w:lang w:val="uz-Cyrl-UZ"/>
          </w:rPr>
          <w:t>https://kun.uz/41540313</w:t>
        </w:r>
      </w:hyperlink>
      <w:r w:rsidR="00F12ED3">
        <w:rPr>
          <w:rFonts w:ascii="Times New Roman" w:hAnsi="Times New Roman" w:cs="Times New Roman"/>
          <w:sz w:val="28"/>
          <w:szCs w:val="28"/>
          <w:lang w:val="en-US"/>
        </w:rPr>
        <w:t xml:space="preserve"> </w:t>
      </w:r>
    </w:p>
    <w:p w:rsidR="00F12ED3" w:rsidRPr="00E42789" w:rsidRDefault="00754B35" w:rsidP="00F12ED3">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Gait</w:t>
      </w:r>
      <w:r w:rsidR="00F12ED3" w:rsidRPr="00E42789">
        <w:rPr>
          <w:rFonts w:ascii="Times New Roman" w:hAnsi="Times New Roman" w:cs="Times New Roman"/>
          <w:sz w:val="28"/>
          <w:szCs w:val="28"/>
          <w:lang w:val="uz-Cyrl-UZ"/>
        </w:rPr>
        <w:t>, A. and Worthington, A., (2008), An empirical survey of individual</w:t>
      </w:r>
      <w:r>
        <w:rPr>
          <w:rFonts w:ascii="Times New Roman" w:hAnsi="Times New Roman" w:cs="Times New Roman"/>
          <w:sz w:val="28"/>
          <w:szCs w:val="28"/>
          <w:lang w:val="uz-Cyrl-UZ"/>
        </w:rPr>
        <w:t xml:space="preserve"> customer, business firms and financial institution </w:t>
      </w:r>
      <w:r w:rsidR="00F12ED3" w:rsidRPr="00E42789">
        <w:rPr>
          <w:rFonts w:ascii="Times New Roman" w:hAnsi="Times New Roman" w:cs="Times New Roman"/>
          <w:sz w:val="28"/>
          <w:szCs w:val="28"/>
          <w:lang w:val="uz-Cyrl-UZ"/>
        </w:rPr>
        <w:t>attit</w:t>
      </w:r>
      <w:r>
        <w:rPr>
          <w:rFonts w:ascii="Times New Roman" w:hAnsi="Times New Roman" w:cs="Times New Roman"/>
          <w:sz w:val="28"/>
          <w:szCs w:val="28"/>
          <w:lang w:val="uz-Cyrl-UZ"/>
        </w:rPr>
        <w:t xml:space="preserve">udes towards Islamic methods of </w:t>
      </w:r>
      <w:r w:rsidR="00F12ED3" w:rsidRPr="00E42789">
        <w:rPr>
          <w:rFonts w:ascii="Times New Roman" w:hAnsi="Times New Roman" w:cs="Times New Roman"/>
          <w:sz w:val="28"/>
          <w:szCs w:val="28"/>
          <w:lang w:val="uz-Cyrl-UZ"/>
        </w:rPr>
        <w:t>finance, International Journal of Social Economics, 35(11), 783-808.</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lastRenderedPageBreak/>
        <w:t xml:space="preserve">         ICD – REFINITIV ISLAMIC FINANCE DEVELOPMENT REPORT (2011- 2023)</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Irgasheva G.S., (2023), Oʻzbekistonda islom moliyasini rivojlanishida Malayziya tajribasidan foydalanish yoʻnalishlari, Iqtisodiy taraqqiyot va tahlil ilmiy elektron jurnal, 2023-yil, may, 1-son, 137-145-sahifalar, www.e-itt.uz</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Islamic Financial Services Indust</w:t>
      </w:r>
      <w:r>
        <w:rPr>
          <w:rFonts w:ascii="Times New Roman" w:hAnsi="Times New Roman" w:cs="Times New Roman"/>
          <w:sz w:val="28"/>
          <w:szCs w:val="28"/>
          <w:lang w:val="uz-Cyrl-UZ"/>
        </w:rPr>
        <w:t>ry (IFSI) Stability Report (202</w:t>
      </w:r>
      <w:r>
        <w:rPr>
          <w:rFonts w:ascii="Times New Roman" w:hAnsi="Times New Roman" w:cs="Times New Roman"/>
          <w:sz w:val="28"/>
          <w:szCs w:val="28"/>
          <w:lang w:val="en-US"/>
        </w:rPr>
        <w:t>3</w:t>
      </w:r>
      <w:r w:rsidRPr="00E42789">
        <w:rPr>
          <w:rFonts w:ascii="Times New Roman" w:hAnsi="Times New Roman" w:cs="Times New Roman"/>
          <w:sz w:val="28"/>
          <w:szCs w:val="28"/>
          <w:lang w:val="uz-Cyrl-UZ"/>
        </w:rPr>
        <w:t>)</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Mokina L.S, (2017), Islamskie sennie bumagi kak istochnik finansirovaniya investisionnix proektov i perspektivi ix razmesheniya na finansovom rinke Rossii // Rossiyskoe predprinimatelstvo. Tom 18. №22. s. 3429-3446;</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Mirakhor, A. and Iqbal, Z., (2011), An Introduction To Islamic Finance : Theory and Practice. Singapore: John Wiley &amp; Sons.</w:t>
      </w:r>
    </w:p>
    <w:p w:rsidR="00F12ED3" w:rsidRPr="00E42789" w:rsidRDefault="00F12ED3" w:rsidP="00F12ED3">
      <w:pPr>
        <w:spacing w:after="0"/>
        <w:jc w:val="both"/>
        <w:rPr>
          <w:rFonts w:ascii="Times New Roman" w:hAnsi="Times New Roman" w:cs="Times New Roman"/>
          <w:sz w:val="28"/>
          <w:szCs w:val="28"/>
          <w:lang w:val="uz-Cyrl-UZ"/>
        </w:rPr>
      </w:pPr>
      <w:r w:rsidRPr="00E42789">
        <w:rPr>
          <w:rFonts w:ascii="Times New Roman" w:hAnsi="Times New Roman" w:cs="Times New Roman"/>
          <w:sz w:val="28"/>
          <w:szCs w:val="28"/>
          <w:lang w:val="uz-Cyrl-UZ"/>
        </w:rPr>
        <w:t xml:space="preserve">          Usmani Muhammad Taqi, (2011), An Introduction to Islamic Finance. 169 pages; </w:t>
      </w:r>
    </w:p>
    <w:p w:rsidR="00A25C8A" w:rsidRPr="00264A4E" w:rsidRDefault="00F12ED3" w:rsidP="00E42789">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F12ED3">
        <w:rPr>
          <w:rFonts w:ascii="Times New Roman" w:hAnsi="Times New Roman" w:cs="Times New Roman"/>
          <w:sz w:val="28"/>
          <w:szCs w:val="28"/>
          <w:lang w:val="uz-Cyrl-UZ"/>
        </w:rPr>
        <w:t>Khasanov Kh.</w:t>
      </w:r>
      <w:r w:rsidRPr="00E42789">
        <w:rPr>
          <w:rFonts w:ascii="Times New Roman" w:hAnsi="Times New Roman" w:cs="Times New Roman"/>
          <w:sz w:val="28"/>
          <w:szCs w:val="28"/>
          <w:lang w:val="uz-Cyrl-UZ"/>
        </w:rPr>
        <w:t>, (2017), Ahloqiy (islomiy) moliyalashtirish tizimi – innova</w:t>
      </w:r>
      <w:r w:rsidR="006E528C" w:rsidRPr="001C2014">
        <w:rPr>
          <w:rFonts w:ascii="Times New Roman" w:hAnsi="Times New Roman" w:cs="Times New Roman"/>
          <w:sz w:val="28"/>
          <w:szCs w:val="28"/>
          <w:lang w:val="uz-Cyrl-UZ"/>
        </w:rPr>
        <w:t>t</w:t>
      </w:r>
      <w:r w:rsidRPr="00E42789">
        <w:rPr>
          <w:rFonts w:ascii="Times New Roman" w:hAnsi="Times New Roman" w:cs="Times New Roman"/>
          <w:sz w:val="28"/>
          <w:szCs w:val="28"/>
          <w:lang w:val="uz-Cyrl-UZ"/>
        </w:rPr>
        <w:t>sion moliyalashtirish vostiasi sifatida (Oʻzbekiston va MDH misolida). “Iqtisodiyot va innovasion texnologiyalar</w:t>
      </w:r>
      <w:r>
        <w:rPr>
          <w:rFonts w:ascii="Times New Roman" w:hAnsi="Times New Roman" w:cs="Times New Roman"/>
          <w:sz w:val="28"/>
          <w:szCs w:val="28"/>
          <w:lang w:val="uz-Cyrl-UZ"/>
        </w:rPr>
        <w:t>” ilmiy elektron jurnali. № 5 .</w:t>
      </w:r>
    </w:p>
    <w:sectPr w:rsidR="00A25C8A" w:rsidRPr="00264A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68" w:rsidRDefault="00C82B68" w:rsidP="004B0F2C">
      <w:pPr>
        <w:spacing w:after="0" w:line="240" w:lineRule="auto"/>
      </w:pPr>
      <w:r>
        <w:separator/>
      </w:r>
    </w:p>
  </w:endnote>
  <w:endnote w:type="continuationSeparator" w:id="0">
    <w:p w:rsidR="00C82B68" w:rsidRDefault="00C82B68" w:rsidP="004B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Uzbek">
    <w:altName w:val="Courier New"/>
    <w:charset w:val="00"/>
    <w:family w:val="swiss"/>
    <w:pitch w:val="variable"/>
    <w:sig w:usb0="00000207" w:usb1="00000000" w:usb2="00000000" w:usb3="00000000" w:csb0="0000001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68" w:rsidRDefault="00C82B68" w:rsidP="004B0F2C">
      <w:pPr>
        <w:spacing w:after="0" w:line="240" w:lineRule="auto"/>
      </w:pPr>
      <w:r>
        <w:separator/>
      </w:r>
    </w:p>
  </w:footnote>
  <w:footnote w:type="continuationSeparator" w:id="0">
    <w:p w:rsidR="00C82B68" w:rsidRDefault="00C82B68" w:rsidP="004B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9" type="#_x0000_t75" style="width:27.3pt;height:9.1pt;visibility:visible;mso-wrap-style:square" o:bullet="t">
        <v:imagedata r:id="rId1" o:title=""/>
      </v:shape>
    </w:pict>
  </w:numPicBullet>
  <w:numPicBullet w:numPicBulletId="1">
    <w:pict>
      <v:shape id="_x0000_i1610" type="#_x0000_t75" style="width:27.3pt;height:7.6pt;visibility:visible;mso-wrap-style:square" o:bullet="t">
        <v:imagedata r:id="rId2" o:title=""/>
      </v:shape>
    </w:pict>
  </w:numPicBullet>
  <w:abstractNum w:abstractNumId="0" w15:restartNumberingAfterBreak="0">
    <w:nsid w:val="4D6A14D4"/>
    <w:multiLevelType w:val="hybridMultilevel"/>
    <w:tmpl w:val="807C8356"/>
    <w:lvl w:ilvl="0" w:tplc="FCA4C216">
      <w:start w:val="1"/>
      <w:numFmt w:val="bullet"/>
      <w:lvlText w:val=""/>
      <w:lvlPicBulletId w:val="0"/>
      <w:lvlJc w:val="left"/>
      <w:pPr>
        <w:tabs>
          <w:tab w:val="num" w:pos="720"/>
        </w:tabs>
        <w:ind w:left="720" w:hanging="360"/>
      </w:pPr>
      <w:rPr>
        <w:rFonts w:ascii="Symbol" w:hAnsi="Symbol" w:hint="default"/>
      </w:rPr>
    </w:lvl>
    <w:lvl w:ilvl="1" w:tplc="50C85F1C" w:tentative="1">
      <w:start w:val="1"/>
      <w:numFmt w:val="bullet"/>
      <w:lvlText w:val=""/>
      <w:lvlJc w:val="left"/>
      <w:pPr>
        <w:tabs>
          <w:tab w:val="num" w:pos="1440"/>
        </w:tabs>
        <w:ind w:left="1440" w:hanging="360"/>
      </w:pPr>
      <w:rPr>
        <w:rFonts w:ascii="Symbol" w:hAnsi="Symbol" w:hint="default"/>
      </w:rPr>
    </w:lvl>
    <w:lvl w:ilvl="2" w:tplc="2C2A8B48" w:tentative="1">
      <w:start w:val="1"/>
      <w:numFmt w:val="bullet"/>
      <w:lvlText w:val=""/>
      <w:lvlJc w:val="left"/>
      <w:pPr>
        <w:tabs>
          <w:tab w:val="num" w:pos="2160"/>
        </w:tabs>
        <w:ind w:left="2160" w:hanging="360"/>
      </w:pPr>
      <w:rPr>
        <w:rFonts w:ascii="Symbol" w:hAnsi="Symbol" w:hint="default"/>
      </w:rPr>
    </w:lvl>
    <w:lvl w:ilvl="3" w:tplc="B39E2AA8" w:tentative="1">
      <w:start w:val="1"/>
      <w:numFmt w:val="bullet"/>
      <w:lvlText w:val=""/>
      <w:lvlJc w:val="left"/>
      <w:pPr>
        <w:tabs>
          <w:tab w:val="num" w:pos="2880"/>
        </w:tabs>
        <w:ind w:left="2880" w:hanging="360"/>
      </w:pPr>
      <w:rPr>
        <w:rFonts w:ascii="Symbol" w:hAnsi="Symbol" w:hint="default"/>
      </w:rPr>
    </w:lvl>
    <w:lvl w:ilvl="4" w:tplc="E26CDE1E" w:tentative="1">
      <w:start w:val="1"/>
      <w:numFmt w:val="bullet"/>
      <w:lvlText w:val=""/>
      <w:lvlJc w:val="left"/>
      <w:pPr>
        <w:tabs>
          <w:tab w:val="num" w:pos="3600"/>
        </w:tabs>
        <w:ind w:left="3600" w:hanging="360"/>
      </w:pPr>
      <w:rPr>
        <w:rFonts w:ascii="Symbol" w:hAnsi="Symbol" w:hint="default"/>
      </w:rPr>
    </w:lvl>
    <w:lvl w:ilvl="5" w:tplc="AB58040E" w:tentative="1">
      <w:start w:val="1"/>
      <w:numFmt w:val="bullet"/>
      <w:lvlText w:val=""/>
      <w:lvlJc w:val="left"/>
      <w:pPr>
        <w:tabs>
          <w:tab w:val="num" w:pos="4320"/>
        </w:tabs>
        <w:ind w:left="4320" w:hanging="360"/>
      </w:pPr>
      <w:rPr>
        <w:rFonts w:ascii="Symbol" w:hAnsi="Symbol" w:hint="default"/>
      </w:rPr>
    </w:lvl>
    <w:lvl w:ilvl="6" w:tplc="DFA077E6" w:tentative="1">
      <w:start w:val="1"/>
      <w:numFmt w:val="bullet"/>
      <w:lvlText w:val=""/>
      <w:lvlJc w:val="left"/>
      <w:pPr>
        <w:tabs>
          <w:tab w:val="num" w:pos="5040"/>
        </w:tabs>
        <w:ind w:left="5040" w:hanging="360"/>
      </w:pPr>
      <w:rPr>
        <w:rFonts w:ascii="Symbol" w:hAnsi="Symbol" w:hint="default"/>
      </w:rPr>
    </w:lvl>
    <w:lvl w:ilvl="7" w:tplc="4DECD3DC" w:tentative="1">
      <w:start w:val="1"/>
      <w:numFmt w:val="bullet"/>
      <w:lvlText w:val=""/>
      <w:lvlJc w:val="left"/>
      <w:pPr>
        <w:tabs>
          <w:tab w:val="num" w:pos="5760"/>
        </w:tabs>
        <w:ind w:left="5760" w:hanging="360"/>
      </w:pPr>
      <w:rPr>
        <w:rFonts w:ascii="Symbol" w:hAnsi="Symbol" w:hint="default"/>
      </w:rPr>
    </w:lvl>
    <w:lvl w:ilvl="8" w:tplc="1B2014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B254231"/>
    <w:multiLevelType w:val="hybridMultilevel"/>
    <w:tmpl w:val="36D88154"/>
    <w:lvl w:ilvl="0" w:tplc="E51037AE">
      <w:start w:val="1"/>
      <w:numFmt w:val="bullet"/>
      <w:lvlText w:val=""/>
      <w:lvlPicBulletId w:val="1"/>
      <w:lvlJc w:val="left"/>
      <w:pPr>
        <w:tabs>
          <w:tab w:val="num" w:pos="720"/>
        </w:tabs>
        <w:ind w:left="720" w:hanging="360"/>
      </w:pPr>
      <w:rPr>
        <w:rFonts w:ascii="Symbol" w:hAnsi="Symbol" w:hint="default"/>
      </w:rPr>
    </w:lvl>
    <w:lvl w:ilvl="1" w:tplc="99ACD3FC" w:tentative="1">
      <w:start w:val="1"/>
      <w:numFmt w:val="bullet"/>
      <w:lvlText w:val=""/>
      <w:lvlJc w:val="left"/>
      <w:pPr>
        <w:tabs>
          <w:tab w:val="num" w:pos="1440"/>
        </w:tabs>
        <w:ind w:left="1440" w:hanging="360"/>
      </w:pPr>
      <w:rPr>
        <w:rFonts w:ascii="Symbol" w:hAnsi="Symbol" w:hint="default"/>
      </w:rPr>
    </w:lvl>
    <w:lvl w:ilvl="2" w:tplc="1ECAA7C0" w:tentative="1">
      <w:start w:val="1"/>
      <w:numFmt w:val="bullet"/>
      <w:lvlText w:val=""/>
      <w:lvlJc w:val="left"/>
      <w:pPr>
        <w:tabs>
          <w:tab w:val="num" w:pos="2160"/>
        </w:tabs>
        <w:ind w:left="2160" w:hanging="360"/>
      </w:pPr>
      <w:rPr>
        <w:rFonts w:ascii="Symbol" w:hAnsi="Symbol" w:hint="default"/>
      </w:rPr>
    </w:lvl>
    <w:lvl w:ilvl="3" w:tplc="2280D9CA" w:tentative="1">
      <w:start w:val="1"/>
      <w:numFmt w:val="bullet"/>
      <w:lvlText w:val=""/>
      <w:lvlJc w:val="left"/>
      <w:pPr>
        <w:tabs>
          <w:tab w:val="num" w:pos="2880"/>
        </w:tabs>
        <w:ind w:left="2880" w:hanging="360"/>
      </w:pPr>
      <w:rPr>
        <w:rFonts w:ascii="Symbol" w:hAnsi="Symbol" w:hint="default"/>
      </w:rPr>
    </w:lvl>
    <w:lvl w:ilvl="4" w:tplc="97507BEC" w:tentative="1">
      <w:start w:val="1"/>
      <w:numFmt w:val="bullet"/>
      <w:lvlText w:val=""/>
      <w:lvlJc w:val="left"/>
      <w:pPr>
        <w:tabs>
          <w:tab w:val="num" w:pos="3600"/>
        </w:tabs>
        <w:ind w:left="3600" w:hanging="360"/>
      </w:pPr>
      <w:rPr>
        <w:rFonts w:ascii="Symbol" w:hAnsi="Symbol" w:hint="default"/>
      </w:rPr>
    </w:lvl>
    <w:lvl w:ilvl="5" w:tplc="A44C9A0A" w:tentative="1">
      <w:start w:val="1"/>
      <w:numFmt w:val="bullet"/>
      <w:lvlText w:val=""/>
      <w:lvlJc w:val="left"/>
      <w:pPr>
        <w:tabs>
          <w:tab w:val="num" w:pos="4320"/>
        </w:tabs>
        <w:ind w:left="4320" w:hanging="360"/>
      </w:pPr>
      <w:rPr>
        <w:rFonts w:ascii="Symbol" w:hAnsi="Symbol" w:hint="default"/>
      </w:rPr>
    </w:lvl>
    <w:lvl w:ilvl="6" w:tplc="1B86485A" w:tentative="1">
      <w:start w:val="1"/>
      <w:numFmt w:val="bullet"/>
      <w:lvlText w:val=""/>
      <w:lvlJc w:val="left"/>
      <w:pPr>
        <w:tabs>
          <w:tab w:val="num" w:pos="5040"/>
        </w:tabs>
        <w:ind w:left="5040" w:hanging="360"/>
      </w:pPr>
      <w:rPr>
        <w:rFonts w:ascii="Symbol" w:hAnsi="Symbol" w:hint="default"/>
      </w:rPr>
    </w:lvl>
    <w:lvl w:ilvl="7" w:tplc="FE5C9E1A" w:tentative="1">
      <w:start w:val="1"/>
      <w:numFmt w:val="bullet"/>
      <w:lvlText w:val=""/>
      <w:lvlJc w:val="left"/>
      <w:pPr>
        <w:tabs>
          <w:tab w:val="num" w:pos="5760"/>
        </w:tabs>
        <w:ind w:left="5760" w:hanging="360"/>
      </w:pPr>
      <w:rPr>
        <w:rFonts w:ascii="Symbol" w:hAnsi="Symbol" w:hint="default"/>
      </w:rPr>
    </w:lvl>
    <w:lvl w:ilvl="8" w:tplc="F5BA833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49"/>
    <w:rsid w:val="0000143A"/>
    <w:rsid w:val="0000236F"/>
    <w:rsid w:val="0009523B"/>
    <w:rsid w:val="00097CF1"/>
    <w:rsid w:val="000E7B40"/>
    <w:rsid w:val="00141449"/>
    <w:rsid w:val="001701FD"/>
    <w:rsid w:val="00174547"/>
    <w:rsid w:val="001C2014"/>
    <w:rsid w:val="001D0272"/>
    <w:rsid w:val="001D1BD9"/>
    <w:rsid w:val="002618C5"/>
    <w:rsid w:val="00264A4E"/>
    <w:rsid w:val="002B191A"/>
    <w:rsid w:val="003763D2"/>
    <w:rsid w:val="00391A47"/>
    <w:rsid w:val="00406EEC"/>
    <w:rsid w:val="00483059"/>
    <w:rsid w:val="004B0F2C"/>
    <w:rsid w:val="0050556E"/>
    <w:rsid w:val="00560D76"/>
    <w:rsid w:val="0061095F"/>
    <w:rsid w:val="00617AE0"/>
    <w:rsid w:val="00627702"/>
    <w:rsid w:val="00663E8F"/>
    <w:rsid w:val="006C2FC7"/>
    <w:rsid w:val="006E528C"/>
    <w:rsid w:val="00717E9E"/>
    <w:rsid w:val="00731771"/>
    <w:rsid w:val="00754B35"/>
    <w:rsid w:val="007D1AA6"/>
    <w:rsid w:val="00821FF1"/>
    <w:rsid w:val="00866118"/>
    <w:rsid w:val="0089737C"/>
    <w:rsid w:val="008A1853"/>
    <w:rsid w:val="008A1F7C"/>
    <w:rsid w:val="008B58E1"/>
    <w:rsid w:val="009D493C"/>
    <w:rsid w:val="00A25C8A"/>
    <w:rsid w:val="00A332D4"/>
    <w:rsid w:val="00A808B8"/>
    <w:rsid w:val="00A85D73"/>
    <w:rsid w:val="00AC14F0"/>
    <w:rsid w:val="00AF6972"/>
    <w:rsid w:val="00B154FE"/>
    <w:rsid w:val="00B27A0B"/>
    <w:rsid w:val="00C028FE"/>
    <w:rsid w:val="00C07048"/>
    <w:rsid w:val="00C61E2B"/>
    <w:rsid w:val="00C7470B"/>
    <w:rsid w:val="00C82B68"/>
    <w:rsid w:val="00CE4143"/>
    <w:rsid w:val="00D11B4E"/>
    <w:rsid w:val="00D57CE6"/>
    <w:rsid w:val="00E424A1"/>
    <w:rsid w:val="00E42789"/>
    <w:rsid w:val="00E77273"/>
    <w:rsid w:val="00E850EE"/>
    <w:rsid w:val="00E8786F"/>
    <w:rsid w:val="00EA1D98"/>
    <w:rsid w:val="00EC446A"/>
    <w:rsid w:val="00F12ED3"/>
    <w:rsid w:val="00F542BA"/>
    <w:rsid w:val="00F728E0"/>
    <w:rsid w:val="00F74568"/>
    <w:rsid w:val="00FE6A5D"/>
    <w:rsid w:val="00FF4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BACA"/>
  <w15:chartTrackingRefBased/>
  <w15:docId w15:val="{9C0DC6E4-B9F0-4AB1-A561-83BEC65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449"/>
    <w:pPr>
      <w:ind w:left="720"/>
      <w:contextualSpacing/>
    </w:pPr>
  </w:style>
  <w:style w:type="paragraph" w:styleId="2">
    <w:name w:val="Body Text 2"/>
    <w:basedOn w:val="a"/>
    <w:link w:val="20"/>
    <w:unhideWhenUsed/>
    <w:rsid w:val="00141449"/>
    <w:pPr>
      <w:spacing w:after="120" w:line="480" w:lineRule="auto"/>
    </w:pPr>
    <w:rPr>
      <w:rFonts w:ascii="Journal Uzbek" w:eastAsia="Times New Roman" w:hAnsi="Journal Uzbek" w:cs="Times New Roman"/>
      <w:sz w:val="28"/>
      <w:szCs w:val="24"/>
      <w:lang w:eastAsia="ru-RU"/>
    </w:rPr>
  </w:style>
  <w:style w:type="character" w:customStyle="1" w:styleId="20">
    <w:name w:val="Основной текст 2 Знак"/>
    <w:basedOn w:val="a0"/>
    <w:link w:val="2"/>
    <w:rsid w:val="00141449"/>
    <w:rPr>
      <w:rFonts w:ascii="Journal Uzbek" w:eastAsia="Times New Roman" w:hAnsi="Journal Uzbek" w:cs="Times New Roman"/>
      <w:sz w:val="28"/>
      <w:szCs w:val="24"/>
      <w:lang w:val="en" w:eastAsia="ru-RU"/>
    </w:rPr>
  </w:style>
  <w:style w:type="paragraph" w:styleId="a5">
    <w:name w:val="footnote text"/>
    <w:aliases w:val="single space,footnote text,FOOTNOTES,fn,список,-++ Знак,-++,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1"/>
    <w:basedOn w:val="a"/>
    <w:link w:val="a6"/>
    <w:uiPriority w:val="99"/>
    <w:unhideWhenUsed/>
    <w:qFormat/>
    <w:rsid w:val="004B0F2C"/>
    <w:pPr>
      <w:spacing w:after="0" w:line="240" w:lineRule="auto"/>
    </w:pPr>
    <w:rPr>
      <w:sz w:val="20"/>
      <w:szCs w:val="20"/>
    </w:rPr>
  </w:style>
  <w:style w:type="character" w:customStyle="1" w:styleId="a6">
    <w:name w:val="Текст сноски Знак"/>
    <w:aliases w:val="single space Знак,footnote text Знак,FOOTNOTES Знак,fn Знак,список Знак,-++ Знак Знак,-++ Знак1,Текст сноски Знак Знак Знак1 Знак,Текст сноски Знак Знак Знак Знак Знак Знак Знак1 Знак,Текст сноски Знак1 Знак"/>
    <w:basedOn w:val="a0"/>
    <w:link w:val="a5"/>
    <w:uiPriority w:val="99"/>
    <w:rsid w:val="004B0F2C"/>
    <w:rPr>
      <w:sz w:val="20"/>
      <w:szCs w:val="20"/>
    </w:rPr>
  </w:style>
  <w:style w:type="character" w:styleId="a7">
    <w:name w:val="footnote reference"/>
    <w:basedOn w:val="a0"/>
    <w:uiPriority w:val="99"/>
    <w:semiHidden/>
    <w:unhideWhenUsed/>
    <w:rsid w:val="004B0F2C"/>
    <w:rPr>
      <w:vertAlign w:val="superscript"/>
    </w:rPr>
  </w:style>
  <w:style w:type="character" w:styleId="a8">
    <w:name w:val="Hyperlink"/>
    <w:basedOn w:val="a0"/>
    <w:uiPriority w:val="99"/>
    <w:unhideWhenUsed/>
    <w:rsid w:val="00FF4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yniddinovrukhiddin@gmail.com" TargetMode="External"/><Relationship Id="rId13" Type="http://schemas.openxmlformats.org/officeDocument/2006/relationships/hyperlink" Target="https://parstoday.com/uz/news/uzbekistan-i6844" TargetMode="External"/><Relationship Id="rId18" Type="http://schemas.openxmlformats.org/officeDocument/2006/relationships/hyperlink" Target="https://parstoday.com/uz/news/uzbekistan-i68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tchratings.com/research/banks/turkish-islamic-banks-dashboard-2022-12-05-2022" TargetMode="External"/><Relationship Id="rId17" Type="http://schemas.openxmlformats.org/officeDocument/2006/relationships/hyperlink" Target="https://www.fitchratings.com/research/banks/turkish-islamic-banks-dashboard-2022-12-05-2022" TargetMode="External"/><Relationship Id="rId2" Type="http://schemas.openxmlformats.org/officeDocument/2006/relationships/numbering" Target="numbering.xml"/><Relationship Id="rId16" Type="http://schemas.openxmlformats.org/officeDocument/2006/relationships/hyperlink" Target="https://islommoliyasi.uz/uz/66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ommoliyasi.uz/uz/6612/" TargetMode="External"/><Relationship Id="rId5" Type="http://schemas.openxmlformats.org/officeDocument/2006/relationships/webSettings" Target="webSettings.xml"/><Relationship Id="rId15" Type="http://schemas.openxmlformats.org/officeDocument/2006/relationships/hyperlink" Target="https://www.middleeastmonitor.com/20221004-turkiye-eyes-to-become-leader-in-islamic-finance-says-official/" TargetMode="External"/><Relationship Id="rId10" Type="http://schemas.openxmlformats.org/officeDocument/2006/relationships/hyperlink" Target="https://www.middleeastmonitor.com/20221004-turkiye-eyes-to-become-leader-in-islamic-finance-says-official/" TargetMode="External"/><Relationship Id="rId19" Type="http://schemas.openxmlformats.org/officeDocument/2006/relationships/hyperlink" Target="https://kun.uz/4154031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kun.uz/4154031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ИсМАктив.</c:v>
                </c:pt>
              </c:strCache>
            </c:strRef>
          </c:tx>
          <c:spPr>
            <a:solidFill>
              <a:schemeClr val="accent6"/>
            </a:solidFill>
            <a:ln>
              <a:noFill/>
            </a:ln>
            <a:effectLst/>
          </c:spPr>
          <c:invertIfNegative val="0"/>
          <c:cat>
            <c:numRef>
              <c:f>Лист1!$A$2:$A$14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Лист1!$B$2:$B$14</c:f>
              <c:numCache>
                <c:formatCode>General</c:formatCode>
                <c:ptCount val="13"/>
                <c:pt idx="0">
                  <c:v>35</c:v>
                </c:pt>
                <c:pt idx="1">
                  <c:v>41</c:v>
                </c:pt>
                <c:pt idx="2">
                  <c:v>43</c:v>
                </c:pt>
                <c:pt idx="3">
                  <c:v>69</c:v>
                </c:pt>
                <c:pt idx="4">
                  <c:v>80</c:v>
                </c:pt>
                <c:pt idx="5">
                  <c:v>81</c:v>
                </c:pt>
                <c:pt idx="6">
                  <c:v>80</c:v>
                </c:pt>
                <c:pt idx="7">
                  <c:v>51</c:v>
                </c:pt>
                <c:pt idx="8">
                  <c:v>63</c:v>
                </c:pt>
                <c:pt idx="9">
                  <c:v>77</c:v>
                </c:pt>
                <c:pt idx="10">
                  <c:v>71</c:v>
                </c:pt>
                <c:pt idx="11">
                  <c:v>78</c:v>
                </c:pt>
                <c:pt idx="12">
                  <c:v>90</c:v>
                </c:pt>
              </c:numCache>
            </c:numRef>
          </c:val>
          <c:extLst>
            <c:ext xmlns:c16="http://schemas.microsoft.com/office/drawing/2014/chart" uri="{C3380CC4-5D6E-409C-BE32-E72D297353CC}">
              <c16:uniqueId val="{00000000-11C0-4BCF-B71C-9C5FB896CDDB}"/>
            </c:ext>
          </c:extLst>
        </c:ser>
        <c:dLbls>
          <c:showLegendKey val="0"/>
          <c:showVal val="0"/>
          <c:showCatName val="0"/>
          <c:showSerName val="0"/>
          <c:showPercent val="0"/>
          <c:showBubbleSize val="0"/>
        </c:dLbls>
        <c:gapWidth val="267"/>
        <c:overlap val="-43"/>
        <c:axId val="297980288"/>
        <c:axId val="297981824"/>
      </c:barChart>
      <c:catAx>
        <c:axId val="2979802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7981824"/>
        <c:crosses val="autoZero"/>
        <c:auto val="1"/>
        <c:lblAlgn val="ctr"/>
        <c:lblOffset val="100"/>
        <c:noMultiLvlLbl val="0"/>
      </c:catAx>
      <c:valAx>
        <c:axId val="2979818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798028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E523-0F24-43FB-8B32-E10AFC7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3534</Words>
  <Characters>21210</Characters>
  <Application>Microsoft Office Word</Application>
  <DocSecurity>0</DocSecurity>
  <Lines>505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2024-08-23T12:28:00Z</dcterms:created>
  <dcterms:modified xsi:type="dcterms:W3CDTF">2024-08-23T12:29:00Z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2c2c3684aa4e35d9e3813fba8623829711c6473438585b54d39f0013d4b9608b</vt:lpwstr>
  </property>
</Properties>
</file>