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AF621" w14:textId="77777777" w:rsidR="005A6E0D" w:rsidRPr="005A6E0D" w:rsidRDefault="005A6E0D" w:rsidP="005A6E0D">
      <w:pPr>
        <w:spacing w:line="360" w:lineRule="auto"/>
        <w:jc w:val="both"/>
        <w:rPr>
          <w:rFonts w:ascii="Times New Roman" w:hAnsi="Times New Roman" w:cs="Times New Roman"/>
          <w:b/>
          <w:bCs/>
          <w:sz w:val="28"/>
          <w:szCs w:val="28"/>
          <w:lang w:val="en-US"/>
        </w:rPr>
      </w:pPr>
    </w:p>
    <w:p w14:paraId="3FE3DC6E" w14:textId="77777777" w:rsidR="00BD1614" w:rsidRPr="005A6E0D" w:rsidRDefault="00E6781D" w:rsidP="005A6E0D">
      <w:pPr>
        <w:spacing w:line="360" w:lineRule="auto"/>
        <w:jc w:val="both"/>
        <w:rPr>
          <w:rFonts w:ascii="Times New Roman" w:hAnsi="Times New Roman" w:cs="Times New Roman"/>
          <w:b/>
          <w:bCs/>
          <w:sz w:val="28"/>
          <w:szCs w:val="28"/>
          <w:lang w:val="en-US"/>
        </w:rPr>
      </w:pPr>
      <w:r w:rsidRPr="005A6E0D">
        <w:rPr>
          <w:rFonts w:ascii="Times New Roman" w:hAnsi="Times New Roman" w:cs="Times New Roman"/>
          <w:b/>
          <w:bCs/>
          <w:sz w:val="28"/>
          <w:szCs w:val="28"/>
          <w:lang w:val="en-US"/>
        </w:rPr>
        <w:t>Abstract:</w:t>
      </w:r>
    </w:p>
    <w:p w14:paraId="238C3BBC" w14:textId="6620018C" w:rsidR="002814C9" w:rsidRPr="005A6E0D" w:rsidRDefault="002814C9" w:rsidP="005A6E0D">
      <w:pPr>
        <w:spacing w:line="360" w:lineRule="auto"/>
        <w:jc w:val="both"/>
        <w:rPr>
          <w:rFonts w:ascii="Times New Roman" w:hAnsi="Times New Roman" w:cs="Times New Roman"/>
          <w:b/>
          <w:bCs/>
          <w:sz w:val="24"/>
          <w:szCs w:val="24"/>
          <w:lang w:val="en-US"/>
        </w:rPr>
      </w:pPr>
      <w:r w:rsidRPr="005A6E0D">
        <w:rPr>
          <w:rFonts w:ascii="Times New Roman" w:eastAsia="Times New Roman" w:hAnsi="Times New Roman" w:cs="Times New Roman"/>
          <w:sz w:val="24"/>
          <w:szCs w:val="24"/>
          <w:lang w:eastAsia="en-IN" w:bidi="mr-IN"/>
        </w:rPr>
        <w:t>"</w:t>
      </w:r>
      <w:r w:rsidR="00BD1614" w:rsidRPr="005A6E0D">
        <w:rPr>
          <w:rFonts w:ascii="Times New Roman" w:hAnsi="Times New Roman" w:cs="Times New Roman"/>
          <w:sz w:val="24"/>
          <w:szCs w:val="24"/>
        </w:rPr>
        <w:t xml:space="preserve"> </w:t>
      </w:r>
      <w:r w:rsidR="00BD1614" w:rsidRPr="005A6E0D">
        <w:rPr>
          <w:rFonts w:ascii="Times New Roman" w:eastAsia="Times New Roman" w:hAnsi="Times New Roman" w:cs="Times New Roman"/>
          <w:sz w:val="24"/>
          <w:szCs w:val="24"/>
          <w:lang w:eastAsia="en-IN" w:bidi="mr-IN"/>
        </w:rPr>
        <w:t xml:space="preserve">This article addresses the information needed to compile dossiers for different countries and the CTD format, which is anticipated to drastically cut down on the time and resources needed by </w:t>
      </w:r>
      <w:r w:rsidRPr="005A6E0D">
        <w:rPr>
          <w:rFonts w:ascii="Times New Roman" w:eastAsia="Times New Roman" w:hAnsi="Times New Roman" w:cs="Times New Roman"/>
          <w:sz w:val="24"/>
          <w:szCs w:val="24"/>
          <w:lang w:eastAsia="en-IN" w:bidi="mr-IN"/>
        </w:rPr>
        <w:t>the industry to create reports and applications for worldwide registration. The Common Technical Document (CTD) was created to provide a standard format for technical documentation submitted with an application for the registration of a pharmaceutical product for human use across Europe, the United States, and various Asian countries. The CTD dossier consists of five primary modules: Prescription and administrative information is covered in Module 1; overviews and summaries of Modules 3–5 are</w:t>
      </w:r>
      <w:r w:rsidR="00D96A90" w:rsidRPr="005A6E0D">
        <w:rPr>
          <w:rFonts w:ascii="Times New Roman" w:eastAsia="Times New Roman" w:hAnsi="Times New Roman" w:cs="Times New Roman"/>
          <w:sz w:val="24"/>
          <w:szCs w:val="24"/>
          <w:lang w:eastAsia="en-IN" w:bidi="mr-IN"/>
        </w:rPr>
        <w:t xml:space="preserve"> </w:t>
      </w:r>
      <w:r w:rsidRPr="005A6E0D">
        <w:rPr>
          <w:rFonts w:ascii="Times New Roman" w:eastAsia="Times New Roman" w:hAnsi="Times New Roman" w:cs="Times New Roman"/>
          <w:sz w:val="24"/>
          <w:szCs w:val="24"/>
          <w:lang w:eastAsia="en-IN" w:bidi="mr-IN"/>
        </w:rPr>
        <w:t>covered in Module 2; pharmaceutical documentation quality is covered in Module 3; non-clinical reports (pharmacology/toxicology) are covered in Module 4; and clinical study reports (clinical trials) are covered in Module 5. Each module's content is described in detail in the guidelines, and most submissions now need to use the CTD format for submission dossiers. These documents are used to assess the effectiveness of a customized drug regimen, making these details critical. They help in determining, formulating, assessing, and evaluating medication-related issues, patient-described symptoms, and conditions that the patient self-diagnoses.</w:t>
      </w:r>
    </w:p>
    <w:p w14:paraId="55DC519E" w14:textId="1ABB9ED9" w:rsidR="000D3111" w:rsidRPr="005A6E0D" w:rsidRDefault="000D3111" w:rsidP="005A6E0D">
      <w:pPr>
        <w:spacing w:line="360" w:lineRule="auto"/>
        <w:jc w:val="both"/>
        <w:rPr>
          <w:rFonts w:ascii="Times New Roman" w:hAnsi="Times New Roman" w:cs="Times New Roman"/>
          <w:sz w:val="24"/>
          <w:szCs w:val="24"/>
        </w:rPr>
      </w:pPr>
      <w:r w:rsidRPr="005A6E0D">
        <w:rPr>
          <w:rFonts w:ascii="Times New Roman" w:hAnsi="Times New Roman" w:cs="Times New Roman"/>
          <w:b/>
          <w:bCs/>
          <w:sz w:val="24"/>
          <w:szCs w:val="24"/>
        </w:rPr>
        <w:t>Keywords</w:t>
      </w:r>
      <w:r w:rsidRPr="005A6E0D">
        <w:rPr>
          <w:rFonts w:ascii="Times New Roman" w:hAnsi="Times New Roman" w:cs="Times New Roman"/>
          <w:sz w:val="24"/>
          <w:szCs w:val="24"/>
        </w:rPr>
        <w:t>:</w:t>
      </w:r>
      <w:r w:rsidR="00D96A90" w:rsidRPr="005A6E0D">
        <w:rPr>
          <w:rFonts w:ascii="Times New Roman" w:hAnsi="Times New Roman" w:cs="Times New Roman"/>
          <w:sz w:val="24"/>
          <w:szCs w:val="24"/>
        </w:rPr>
        <w:t xml:space="preserve"> </w:t>
      </w:r>
      <w:r w:rsidRPr="005A6E0D">
        <w:rPr>
          <w:rFonts w:ascii="Times New Roman" w:hAnsi="Times New Roman" w:cs="Times New Roman"/>
          <w:sz w:val="24"/>
          <w:szCs w:val="24"/>
        </w:rPr>
        <w:t>Common Technical Document,</w:t>
      </w:r>
      <w:r w:rsidR="00D96A90" w:rsidRPr="005A6E0D">
        <w:rPr>
          <w:rFonts w:ascii="Times New Roman" w:hAnsi="Times New Roman" w:cs="Times New Roman"/>
          <w:sz w:val="24"/>
          <w:szCs w:val="24"/>
        </w:rPr>
        <w:t xml:space="preserve"> </w:t>
      </w:r>
      <w:r w:rsidRPr="005A6E0D">
        <w:rPr>
          <w:rFonts w:ascii="Times New Roman" w:hAnsi="Times New Roman" w:cs="Times New Roman"/>
          <w:sz w:val="24"/>
          <w:szCs w:val="24"/>
        </w:rPr>
        <w:t>Dossier.</w:t>
      </w:r>
    </w:p>
    <w:p w14:paraId="2955D0A0" w14:textId="77777777" w:rsidR="0021578C" w:rsidRDefault="0021578C" w:rsidP="00C82C29">
      <w:pPr>
        <w:rPr>
          <w:rFonts w:ascii="Times New Roman" w:hAnsi="Times New Roman" w:cs="Times New Roman"/>
          <w:b/>
          <w:bCs/>
          <w:i/>
          <w:iCs/>
          <w:sz w:val="24"/>
          <w:szCs w:val="24"/>
        </w:rPr>
      </w:pPr>
    </w:p>
    <w:p w14:paraId="6DCF0CA9" w14:textId="459E9B06" w:rsidR="0021578C" w:rsidRDefault="0021578C" w:rsidP="00C82C29">
      <w:pPr>
        <w:rPr>
          <w:rFonts w:ascii="Times New Roman" w:hAnsi="Times New Roman" w:cs="Times New Roman"/>
          <w:b/>
          <w:bCs/>
          <w:i/>
          <w:iCs/>
          <w:sz w:val="24"/>
          <w:szCs w:val="24"/>
        </w:rPr>
      </w:pPr>
      <w:r w:rsidRPr="00EF38E5">
        <w:t>Introduction</w:t>
      </w:r>
      <w:r>
        <w:rPr>
          <w:rFonts w:ascii="Times New Roman" w:hAnsi="Times New Roman" w:cs="Times New Roman"/>
          <w:b/>
          <w:bCs/>
          <w:i/>
          <w:iCs/>
          <w:sz w:val="24"/>
          <w:szCs w:val="24"/>
        </w:rPr>
        <w:t>:</w:t>
      </w:r>
    </w:p>
    <w:p w14:paraId="2B398718" w14:textId="77777777" w:rsidR="0021578C" w:rsidRDefault="0021578C" w:rsidP="00C82C29">
      <w:pPr>
        <w:rPr>
          <w:rFonts w:ascii="Times New Roman" w:hAnsi="Times New Roman" w:cs="Times New Roman"/>
          <w:b/>
          <w:bCs/>
          <w:i/>
          <w:iCs/>
          <w:sz w:val="24"/>
          <w:szCs w:val="24"/>
        </w:rPr>
      </w:pPr>
    </w:p>
    <w:p w14:paraId="00340EB1" w14:textId="3B259107" w:rsidR="000D3111" w:rsidRPr="00C82C29" w:rsidRDefault="008E1112" w:rsidP="00C82C29">
      <w:pPr>
        <w:rPr>
          <w:rFonts w:ascii="Times New Roman" w:hAnsi="Times New Roman" w:cs="Times New Roman"/>
          <w:b/>
          <w:bCs/>
          <w:i/>
          <w:iCs/>
          <w:sz w:val="24"/>
          <w:szCs w:val="24"/>
        </w:rPr>
      </w:pPr>
      <w:r>
        <w:rPr>
          <w:rFonts w:ascii="Times New Roman" w:hAnsi="Times New Roman" w:cs="Times New Roman"/>
          <w:b/>
          <w:bCs/>
          <w:i/>
          <w:iCs/>
          <w:sz w:val="24"/>
          <w:szCs w:val="24"/>
        </w:rPr>
        <w:t>Before the Common Technical Document (CTD) was implemented in 2002, the European Union (EU), the United States (USA), and Japan each had their own regulatory systems and formats for submitting drug approval dossiers. The FDA had guidelines for New Drug Applications (NDAs), Europe required expert reports and summaries, and Japan required a GAIYO summary. The CTD, standardized by the FDA in 2000, consolidated these formats into a unified structure for clinical, non-clinical, manufacturing, and technical data across all three regions. By July 2003, the CTD was adopted as the preferred format for NDAs in the USA and became mandatory in Europe and Japan, with other countries like Canada and Switzerland also adopting it. The CTD consists of five modules: Module 1 (administrative data), Module 2 (summaries of other modules), Module 3 (quality information), Module 4 (non-clinical study reports), and Module 5 (clinical study reports). The ICH M4 guidelines provide instructions for document placement and pagination, along with a list of frequently asked questions.</w:t>
      </w:r>
      <w:r w:rsidR="005A6E0D">
        <w:rPr>
          <w:rFonts w:ascii="Times New Roman" w:hAnsi="Times New Roman" w:cs="Times New Roman"/>
          <w:b/>
          <w:bCs/>
          <w:i/>
          <w:iCs/>
          <w:sz w:val="24"/>
          <w:szCs w:val="24"/>
        </w:rPr>
        <w:br w:type="page"/>
      </w:r>
    </w:p>
    <w:p w14:paraId="4671843E" w14:textId="2C212507" w:rsidR="005A6E0D" w:rsidRPr="005A6E0D" w:rsidRDefault="007D14DA" w:rsidP="005A6E0D">
      <w:pPr>
        <w:spacing w:line="360" w:lineRule="auto"/>
        <w:jc w:val="center"/>
        <w:rPr>
          <w:rFonts w:ascii="Times New Roman" w:hAnsi="Times New Roman" w:cs="Times New Roman"/>
          <w:sz w:val="24"/>
          <w:szCs w:val="24"/>
        </w:rPr>
      </w:pPr>
      <w:r w:rsidRPr="005A6E0D">
        <w:rPr>
          <w:rFonts w:ascii="Times New Roman" w:hAnsi="Times New Roman" w:cs="Times New Roman"/>
          <w:noProof/>
          <w:sz w:val="24"/>
          <w:szCs w:val="24"/>
          <w:lang w:eastAsia="en-IN" w:bidi="mr-IN"/>
        </w:rPr>
        <w:lastRenderedPageBreak/>
        <w:drawing>
          <wp:inline distT="0" distB="0" distL="0" distR="0" wp14:anchorId="667090BE" wp14:editId="4345C334">
            <wp:extent cx="4650740" cy="5699760"/>
            <wp:effectExtent l="0" t="0" r="0" b="0"/>
            <wp:docPr id="1" name="Picture 1" descr="What are the five Modules of eCTD? - Introduction to the CTD Triangle |  EXT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are the five Modules of eCTD? - Introduction to the CTD Triangle |  EXTE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1265" cy="5700403"/>
                    </a:xfrm>
                    <a:prstGeom prst="rect">
                      <a:avLst/>
                    </a:prstGeom>
                    <a:noFill/>
                    <a:ln>
                      <a:noFill/>
                    </a:ln>
                  </pic:spPr>
                </pic:pic>
              </a:graphicData>
            </a:graphic>
          </wp:inline>
        </w:drawing>
      </w:r>
    </w:p>
    <w:p w14:paraId="03BFB291" w14:textId="77777777" w:rsidR="006D69FE" w:rsidRDefault="006D69FE" w:rsidP="005A6E0D">
      <w:pPr>
        <w:pStyle w:val="ListParagraph"/>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Here’s a summary of the provided content:</w:t>
      </w:r>
    </w:p>
    <w:p w14:paraId="6C322363" w14:textId="77777777" w:rsidR="006D69FE" w:rsidRDefault="006D69FE" w:rsidP="005A6E0D">
      <w:pPr>
        <w:pStyle w:val="ListParagraph"/>
        <w:spacing w:line="360" w:lineRule="auto"/>
        <w:jc w:val="both"/>
        <w:rPr>
          <w:rFonts w:ascii="Times New Roman" w:hAnsi="Times New Roman" w:cs="Times New Roman"/>
          <w:b/>
          <w:bCs/>
          <w:sz w:val="24"/>
          <w:szCs w:val="24"/>
        </w:rPr>
      </w:pPr>
    </w:p>
    <w:p w14:paraId="5A848E71" w14:textId="77777777" w:rsidR="006D69FE" w:rsidRDefault="006D69FE" w:rsidP="005A6E0D">
      <w:pPr>
        <w:pStyle w:val="ListParagraph"/>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**Module 1**: Contains administrative and regional data not part of the CTD (Common Technical Document). This includes geographical information, legal documents, application forms, and suggested labels.</w:t>
      </w:r>
    </w:p>
    <w:p w14:paraId="2A595A19" w14:textId="77777777" w:rsidR="006D69FE" w:rsidRDefault="006D69FE" w:rsidP="005A6E0D">
      <w:pPr>
        <w:pStyle w:val="ListParagraph"/>
        <w:spacing w:line="360" w:lineRule="auto"/>
        <w:jc w:val="both"/>
        <w:rPr>
          <w:rFonts w:ascii="Times New Roman" w:hAnsi="Times New Roman" w:cs="Times New Roman"/>
          <w:b/>
          <w:bCs/>
          <w:sz w:val="24"/>
          <w:szCs w:val="24"/>
        </w:rPr>
      </w:pPr>
    </w:p>
    <w:p w14:paraId="40E22AC7" w14:textId="77777777" w:rsidR="006D69FE" w:rsidRDefault="006D69FE" w:rsidP="005A6E0D">
      <w:pPr>
        <w:pStyle w:val="ListParagraph"/>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**Module 2**: Provides an outline and summaries for Modules 3-5. It includes:</w:t>
      </w:r>
    </w:p>
    <w:p w14:paraId="3F8FE8E3" w14:textId="77777777" w:rsidR="006D69FE" w:rsidRDefault="006D69FE" w:rsidP="005A6E0D">
      <w:pPr>
        <w:pStyle w:val="ListParagraph"/>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A brief introduction to the medication (pharmacological class, mechanism of action, and clinical use).</w:t>
      </w:r>
    </w:p>
    <w:p w14:paraId="0EE62914" w14:textId="77777777" w:rsidR="006D69FE" w:rsidRDefault="006D69FE" w:rsidP="005A6E0D">
      <w:pPr>
        <w:pStyle w:val="ListParagraph"/>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Overviews of non-clinical and clinical practices.</w:t>
      </w:r>
    </w:p>
    <w:p w14:paraId="2EC2AB39" w14:textId="77777777" w:rsidR="006D69FE" w:rsidRDefault="006D69FE" w:rsidP="005A6E0D">
      <w:pPr>
        <w:pStyle w:val="ListParagraph"/>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Summaries of non-clinical and clinical data, presented in written and tabulated forms.</w:t>
      </w:r>
    </w:p>
    <w:p w14:paraId="7D2F8411" w14:textId="77777777" w:rsidR="006D69FE" w:rsidRDefault="006D69FE" w:rsidP="005A6E0D">
      <w:pPr>
        <w:pStyle w:val="ListParagraph"/>
        <w:spacing w:line="360" w:lineRule="auto"/>
        <w:jc w:val="both"/>
        <w:rPr>
          <w:rFonts w:ascii="Times New Roman" w:hAnsi="Times New Roman" w:cs="Times New Roman"/>
          <w:b/>
          <w:bCs/>
          <w:sz w:val="24"/>
          <w:szCs w:val="24"/>
        </w:rPr>
      </w:pPr>
    </w:p>
    <w:p w14:paraId="22EA82A1" w14:textId="77777777" w:rsidR="006D69FE" w:rsidRDefault="006D69FE" w:rsidP="005A6E0D">
      <w:pPr>
        <w:pStyle w:val="ListParagraph"/>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**Module 3**: Contains information related to the quality of the drug, including chemistry, manufacturing, and controls (CMC) details. This section follows the ICH guidelines and includes information on drug substances, pharmaceutical products, and references to literature.</w:t>
      </w:r>
    </w:p>
    <w:p w14:paraId="19A2171C" w14:textId="77777777" w:rsidR="006D69FE" w:rsidRDefault="006D69FE" w:rsidP="005A6E0D">
      <w:pPr>
        <w:pStyle w:val="ListParagraph"/>
        <w:spacing w:line="360" w:lineRule="auto"/>
        <w:jc w:val="both"/>
        <w:rPr>
          <w:rFonts w:ascii="Times New Roman" w:hAnsi="Times New Roman" w:cs="Times New Roman"/>
          <w:b/>
          <w:bCs/>
          <w:sz w:val="24"/>
          <w:szCs w:val="24"/>
        </w:rPr>
      </w:pPr>
    </w:p>
    <w:p w14:paraId="7A5D3E9F" w14:textId="77777777" w:rsidR="006D69FE" w:rsidRDefault="006D69FE" w:rsidP="005A6E0D">
      <w:pPr>
        <w:pStyle w:val="ListParagraph"/>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**Module 4**: Focuses on non-clinical study reports, including pharmacology, pharmacokinetics, and toxicology. It also includes comprehensive summaries of the studies and data, with a detailed analysis in the non-clinical written summaries (100-150 pages).</w:t>
      </w:r>
    </w:p>
    <w:p w14:paraId="66385577" w14:textId="77777777" w:rsidR="006D69FE" w:rsidRDefault="006D69FE" w:rsidP="005A6E0D">
      <w:pPr>
        <w:pStyle w:val="ListParagraph"/>
        <w:spacing w:line="360" w:lineRule="auto"/>
        <w:jc w:val="both"/>
        <w:rPr>
          <w:rFonts w:ascii="Times New Roman" w:hAnsi="Times New Roman" w:cs="Times New Roman"/>
          <w:b/>
          <w:bCs/>
          <w:sz w:val="24"/>
          <w:szCs w:val="24"/>
        </w:rPr>
      </w:pPr>
    </w:p>
    <w:p w14:paraId="1A33B23D" w14:textId="77777777" w:rsidR="006D69FE" w:rsidRDefault="006D69FE" w:rsidP="005A6E0D">
      <w:pPr>
        <w:pStyle w:val="ListParagraph"/>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**Module 5**: Covers clinical study reports, including summaries and detailed reports on biopharmaceutical studies, pharmacokinetics, pharmacodynamics, safety, efficacy, and post-marketing experience. It includes tabular summaries of clinical studies, individual patient case reports, and references to relevant literature. </w:t>
      </w:r>
    </w:p>
    <w:p w14:paraId="4C49993D" w14:textId="77777777" w:rsidR="006D69FE" w:rsidRDefault="006D69FE" w:rsidP="005A6E0D">
      <w:pPr>
        <w:pStyle w:val="ListParagraph"/>
        <w:spacing w:line="360" w:lineRule="auto"/>
        <w:jc w:val="both"/>
        <w:rPr>
          <w:rFonts w:ascii="Times New Roman" w:hAnsi="Times New Roman" w:cs="Times New Roman"/>
          <w:b/>
          <w:bCs/>
          <w:sz w:val="24"/>
          <w:szCs w:val="24"/>
        </w:rPr>
      </w:pPr>
    </w:p>
    <w:p w14:paraId="3E889326" w14:textId="77777777" w:rsidR="006D69FE" w:rsidRDefault="006D69FE" w:rsidP="005A6E0D">
      <w:pPr>
        <w:pStyle w:val="ListParagraph"/>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Each module is structured to provide specific information about the medication, from administrative details to in-depth clinical and non-clinical data.</w:t>
      </w:r>
    </w:p>
    <w:p w14:paraId="3D0CFD52" w14:textId="77777777" w:rsidR="005A6E0D" w:rsidRPr="005A6E0D" w:rsidRDefault="005A6E0D" w:rsidP="005A6E0D">
      <w:pPr>
        <w:spacing w:line="360" w:lineRule="auto"/>
        <w:jc w:val="both"/>
        <w:rPr>
          <w:rFonts w:ascii="Times New Roman" w:hAnsi="Times New Roman" w:cs="Times New Roman"/>
          <w:b/>
          <w:bCs/>
          <w:sz w:val="24"/>
          <w:szCs w:val="24"/>
        </w:rPr>
      </w:pPr>
    </w:p>
    <w:p w14:paraId="74667155" w14:textId="77777777" w:rsidR="005A6E0D" w:rsidRPr="005A6E0D" w:rsidRDefault="005A6E0D" w:rsidP="005A6E0D">
      <w:pPr>
        <w:pStyle w:val="ListParagraph"/>
        <w:spacing w:line="360" w:lineRule="auto"/>
        <w:jc w:val="both"/>
        <w:rPr>
          <w:rFonts w:ascii="Times New Roman" w:hAnsi="Times New Roman" w:cs="Times New Roman"/>
          <w:b/>
          <w:bCs/>
          <w:sz w:val="24"/>
          <w:szCs w:val="24"/>
        </w:rPr>
      </w:pPr>
    </w:p>
    <w:p w14:paraId="7978E609" w14:textId="48942954" w:rsidR="000E5A62" w:rsidRPr="005A6E0D" w:rsidRDefault="000E5A62" w:rsidP="005A6E0D">
      <w:pPr>
        <w:pStyle w:val="ListParagraph"/>
        <w:spacing w:line="360" w:lineRule="auto"/>
        <w:jc w:val="both"/>
        <w:rPr>
          <w:rFonts w:ascii="Times New Roman" w:hAnsi="Times New Roman" w:cs="Times New Roman"/>
          <w:sz w:val="24"/>
          <w:szCs w:val="24"/>
        </w:rPr>
      </w:pPr>
    </w:p>
    <w:p w14:paraId="6E58EED6" w14:textId="77777777" w:rsidR="005A6E0D" w:rsidRDefault="005A6E0D">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1C7E455A" w14:textId="7868FA58" w:rsidR="000E5A62" w:rsidRPr="005A6E0D" w:rsidRDefault="001646C9" w:rsidP="005A6E0D">
      <w:pPr>
        <w:pStyle w:val="ListParagraph"/>
        <w:numPr>
          <w:ilvl w:val="0"/>
          <w:numId w:val="9"/>
        </w:numPr>
        <w:spacing w:line="360" w:lineRule="auto"/>
        <w:jc w:val="both"/>
        <w:rPr>
          <w:rFonts w:ascii="Times New Roman" w:hAnsi="Times New Roman" w:cs="Times New Roman"/>
          <w:b/>
          <w:bCs/>
          <w:sz w:val="28"/>
          <w:szCs w:val="28"/>
        </w:rPr>
      </w:pPr>
      <w:r w:rsidRPr="005A6E0D">
        <w:rPr>
          <w:rFonts w:ascii="Times New Roman" w:hAnsi="Times New Roman" w:cs="Times New Roman"/>
          <w:b/>
          <w:bCs/>
          <w:sz w:val="28"/>
          <w:szCs w:val="28"/>
        </w:rPr>
        <w:lastRenderedPageBreak/>
        <w:t xml:space="preserve">Kinds of entries required for </w:t>
      </w:r>
      <w:r w:rsidR="000E5A62" w:rsidRPr="005A6E0D">
        <w:rPr>
          <w:rFonts w:ascii="Times New Roman" w:hAnsi="Times New Roman" w:cs="Times New Roman"/>
          <w:b/>
          <w:bCs/>
          <w:sz w:val="28"/>
          <w:szCs w:val="28"/>
        </w:rPr>
        <w:t>CTD</w:t>
      </w:r>
    </w:p>
    <w:p w14:paraId="33375015" w14:textId="77777777" w:rsidR="000E5A62" w:rsidRPr="005A6E0D" w:rsidRDefault="000E5A62" w:rsidP="005A6E0D">
      <w:pPr>
        <w:pStyle w:val="ListParagraph"/>
        <w:spacing w:line="360" w:lineRule="auto"/>
        <w:jc w:val="both"/>
        <w:rPr>
          <w:rFonts w:ascii="Times New Roman" w:hAnsi="Times New Roman" w:cs="Times New Roman"/>
          <w:sz w:val="24"/>
          <w:szCs w:val="24"/>
        </w:rPr>
      </w:pPr>
      <w:r w:rsidRPr="005A6E0D">
        <w:rPr>
          <w:rFonts w:ascii="Times New Roman" w:hAnsi="Times New Roman" w:cs="Times New Roman"/>
          <w:sz w:val="24"/>
          <w:szCs w:val="24"/>
        </w:rPr>
        <w:t>CTD is compulsory for a wide range of entries as</w:t>
      </w:r>
    </w:p>
    <w:p w14:paraId="4B2DA758" w14:textId="256D971F" w:rsidR="001646C9" w:rsidRPr="005A6E0D" w:rsidRDefault="000E5A62" w:rsidP="005A6E0D">
      <w:pPr>
        <w:pStyle w:val="ListParagraph"/>
        <w:spacing w:line="360" w:lineRule="auto"/>
        <w:jc w:val="both"/>
        <w:rPr>
          <w:rFonts w:ascii="Times New Roman" w:hAnsi="Times New Roman" w:cs="Times New Roman"/>
          <w:sz w:val="24"/>
          <w:szCs w:val="24"/>
        </w:rPr>
      </w:pPr>
      <w:r w:rsidRPr="005A6E0D">
        <w:rPr>
          <w:rFonts w:ascii="Times New Roman" w:hAnsi="Times New Roman" w:cs="Times New Roman"/>
          <w:sz w:val="24"/>
          <w:szCs w:val="24"/>
        </w:rPr>
        <w:t>examined below</w:t>
      </w:r>
      <w:r w:rsidR="001646C9" w:rsidRPr="005A6E0D">
        <w:rPr>
          <w:rFonts w:ascii="Times New Roman" w:hAnsi="Times New Roman" w:cs="Times New Roman"/>
          <w:sz w:val="24"/>
          <w:szCs w:val="24"/>
        </w:rPr>
        <w:t>:</w:t>
      </w:r>
    </w:p>
    <w:p w14:paraId="0BE484AB" w14:textId="3179B6FB" w:rsidR="000E5A62" w:rsidRPr="005A6E0D" w:rsidRDefault="000E5A62" w:rsidP="005A6E0D">
      <w:pPr>
        <w:pStyle w:val="ListParagraph"/>
        <w:spacing w:line="360" w:lineRule="auto"/>
        <w:jc w:val="both"/>
        <w:rPr>
          <w:rFonts w:ascii="Times New Roman" w:hAnsi="Times New Roman" w:cs="Times New Roman"/>
          <w:sz w:val="24"/>
          <w:szCs w:val="24"/>
        </w:rPr>
      </w:pPr>
      <w:r w:rsidRPr="005A6E0D">
        <w:rPr>
          <w:rFonts w:ascii="Times New Roman" w:hAnsi="Times New Roman" w:cs="Times New Roman"/>
          <w:sz w:val="24"/>
          <w:szCs w:val="24"/>
        </w:rPr>
        <w:t>1. Production and marketing of new drugs that have been approved (new chemical entities and indications, new dosage forms, and new routes of administration, among other things), as a wrappe</w:t>
      </w:r>
      <w:r w:rsidR="00D96A90" w:rsidRPr="005A6E0D">
        <w:rPr>
          <w:rFonts w:ascii="Times New Roman" w:hAnsi="Times New Roman" w:cs="Times New Roman"/>
          <w:sz w:val="24"/>
          <w:szCs w:val="24"/>
        </w:rPr>
        <w:t>d</w:t>
      </w:r>
      <w:r w:rsidRPr="005A6E0D">
        <w:rPr>
          <w:rFonts w:ascii="Times New Roman" w:hAnsi="Times New Roman" w:cs="Times New Roman"/>
          <w:sz w:val="24"/>
          <w:szCs w:val="24"/>
        </w:rPr>
        <w:t xml:space="preserve"> up drug item, for first time</w:t>
      </w:r>
    </w:p>
    <w:p w14:paraId="1AC59D20" w14:textId="5213B70D" w:rsidR="000E5A62" w:rsidRPr="005A6E0D" w:rsidRDefault="000E5A62" w:rsidP="005A6E0D">
      <w:pPr>
        <w:pStyle w:val="ListParagraph"/>
        <w:spacing w:line="360" w:lineRule="auto"/>
        <w:jc w:val="both"/>
        <w:rPr>
          <w:rFonts w:ascii="Times New Roman" w:hAnsi="Times New Roman" w:cs="Times New Roman"/>
          <w:sz w:val="24"/>
          <w:szCs w:val="24"/>
        </w:rPr>
      </w:pPr>
      <w:r w:rsidRPr="005A6E0D">
        <w:rPr>
          <w:rFonts w:ascii="Times New Roman" w:hAnsi="Times New Roman" w:cs="Times New Roman"/>
          <w:sz w:val="24"/>
          <w:szCs w:val="24"/>
        </w:rPr>
        <w:t>finish with analyst and for resulting applications until 4 years.</w:t>
      </w:r>
    </w:p>
    <w:p w14:paraId="2A298448" w14:textId="77777777" w:rsidR="000E5A62" w:rsidRPr="005A6E0D" w:rsidRDefault="000E5A62" w:rsidP="005A6E0D">
      <w:pPr>
        <w:pStyle w:val="ListParagraph"/>
        <w:spacing w:line="360" w:lineRule="auto"/>
        <w:jc w:val="both"/>
        <w:rPr>
          <w:rFonts w:ascii="Times New Roman" w:hAnsi="Times New Roman" w:cs="Times New Roman"/>
          <w:sz w:val="24"/>
          <w:szCs w:val="24"/>
        </w:rPr>
      </w:pPr>
      <w:r w:rsidRPr="005A6E0D">
        <w:rPr>
          <w:rFonts w:ascii="Times New Roman" w:hAnsi="Times New Roman" w:cs="Times New Roman"/>
          <w:sz w:val="24"/>
          <w:szCs w:val="24"/>
        </w:rPr>
        <w:t>2. developed and modified release formulations (even after being approved by CDSCO for four years).</w:t>
      </w:r>
    </w:p>
    <w:p w14:paraId="2DCE0A09" w14:textId="15C485B7" w:rsidR="000E5A62" w:rsidRPr="005A6E0D" w:rsidRDefault="000E5A62" w:rsidP="005A6E0D">
      <w:pPr>
        <w:pStyle w:val="ListParagraph"/>
        <w:spacing w:line="360" w:lineRule="auto"/>
        <w:jc w:val="both"/>
        <w:rPr>
          <w:rFonts w:ascii="Times New Roman" w:hAnsi="Times New Roman" w:cs="Times New Roman"/>
          <w:sz w:val="24"/>
          <w:szCs w:val="24"/>
        </w:rPr>
      </w:pPr>
      <w:r w:rsidRPr="005A6E0D">
        <w:rPr>
          <w:rFonts w:ascii="Times New Roman" w:hAnsi="Times New Roman" w:cs="Times New Roman"/>
          <w:sz w:val="24"/>
          <w:szCs w:val="24"/>
        </w:rPr>
        <w:t>3. Drugs that fall under the heading "fixed dose combinations" in Appendix VI of Schedule Y of the Drugs and Cosmetics Act and Rules of 1945.</w:t>
      </w:r>
    </w:p>
    <w:p w14:paraId="47D9A2FB" w14:textId="77777777" w:rsidR="00612361" w:rsidRPr="005A6E0D" w:rsidRDefault="00612361" w:rsidP="005A6E0D">
      <w:pPr>
        <w:pStyle w:val="ListParagraph"/>
        <w:spacing w:line="360" w:lineRule="auto"/>
        <w:jc w:val="both"/>
        <w:rPr>
          <w:rFonts w:ascii="Times New Roman" w:hAnsi="Times New Roman" w:cs="Times New Roman"/>
          <w:sz w:val="24"/>
          <w:szCs w:val="24"/>
        </w:rPr>
      </w:pPr>
    </w:p>
    <w:p w14:paraId="0D6502A9" w14:textId="5FA3DCDE" w:rsidR="00134AAE" w:rsidRPr="005A6E0D" w:rsidRDefault="00134AAE" w:rsidP="005A6E0D">
      <w:pPr>
        <w:pStyle w:val="ListParagraph"/>
        <w:numPr>
          <w:ilvl w:val="0"/>
          <w:numId w:val="5"/>
        </w:numPr>
        <w:spacing w:line="360" w:lineRule="auto"/>
        <w:jc w:val="both"/>
        <w:rPr>
          <w:rFonts w:ascii="Times New Roman" w:hAnsi="Times New Roman" w:cs="Times New Roman"/>
          <w:b/>
          <w:bCs/>
          <w:sz w:val="28"/>
          <w:szCs w:val="28"/>
        </w:rPr>
      </w:pPr>
      <w:r w:rsidRPr="005A6E0D">
        <w:rPr>
          <w:rFonts w:ascii="Times New Roman" w:hAnsi="Times New Roman" w:cs="Times New Roman"/>
          <w:b/>
          <w:bCs/>
          <w:sz w:val="28"/>
          <w:szCs w:val="28"/>
        </w:rPr>
        <w:t>ICH'</w:t>
      </w:r>
      <w:r w:rsidR="009035E3" w:rsidRPr="005A6E0D">
        <w:rPr>
          <w:rFonts w:ascii="Times New Roman" w:hAnsi="Times New Roman" w:cs="Times New Roman"/>
          <w:b/>
          <w:bCs/>
          <w:sz w:val="28"/>
          <w:szCs w:val="28"/>
        </w:rPr>
        <w:t>s goal is to prepare CTD</w:t>
      </w:r>
      <w:r w:rsidR="009035E3" w:rsidRPr="005A6E0D">
        <w:rPr>
          <w:rFonts w:ascii="Times New Roman" w:hAnsi="Times New Roman" w:cs="Times New Roman"/>
          <w:b/>
          <w:bCs/>
          <w:sz w:val="28"/>
          <w:szCs w:val="28"/>
          <w:vertAlign w:val="superscript"/>
        </w:rPr>
        <w:t>[1]</w:t>
      </w:r>
      <w:r w:rsidR="009035E3" w:rsidRPr="005A6E0D">
        <w:rPr>
          <w:rFonts w:ascii="Times New Roman" w:hAnsi="Times New Roman" w:cs="Times New Roman"/>
          <w:b/>
          <w:bCs/>
          <w:sz w:val="28"/>
          <w:szCs w:val="28"/>
        </w:rPr>
        <w:t>:</w:t>
      </w:r>
    </w:p>
    <w:p w14:paraId="32D5EF3C" w14:textId="460E56C7" w:rsidR="00134AAE" w:rsidRPr="005A6E0D" w:rsidRDefault="00134AAE" w:rsidP="005A6E0D">
      <w:pPr>
        <w:pStyle w:val="ListParagraph"/>
        <w:spacing w:line="360" w:lineRule="auto"/>
        <w:jc w:val="both"/>
        <w:rPr>
          <w:rFonts w:ascii="Times New Roman" w:hAnsi="Times New Roman" w:cs="Times New Roman"/>
          <w:sz w:val="24"/>
          <w:szCs w:val="24"/>
        </w:rPr>
      </w:pPr>
      <w:r w:rsidRPr="005A6E0D">
        <w:rPr>
          <w:rFonts w:ascii="Times New Roman" w:hAnsi="Times New Roman" w:cs="Times New Roman"/>
          <w:sz w:val="24"/>
          <w:szCs w:val="24"/>
        </w:rPr>
        <w:t>1. The curve of ICH is disregarded todepictive testing of creature and</w:t>
      </w:r>
    </w:p>
    <w:p w14:paraId="5B618CC9" w14:textId="67C9458B" w:rsidR="00134AAE" w:rsidRPr="005A6E0D" w:rsidRDefault="00134AAE" w:rsidP="005A6E0D">
      <w:pPr>
        <w:pStyle w:val="ListParagraph"/>
        <w:spacing w:line="360" w:lineRule="auto"/>
        <w:jc w:val="both"/>
        <w:rPr>
          <w:rFonts w:ascii="Times New Roman" w:hAnsi="Times New Roman" w:cs="Times New Roman"/>
          <w:sz w:val="24"/>
          <w:szCs w:val="24"/>
        </w:rPr>
      </w:pPr>
      <w:r w:rsidRPr="005A6E0D">
        <w:rPr>
          <w:rFonts w:ascii="Times New Roman" w:hAnsi="Times New Roman" w:cs="Times New Roman"/>
          <w:sz w:val="24"/>
          <w:szCs w:val="24"/>
        </w:rPr>
        <w:t>human and to arrive at a typical comprehension of the specialized</w:t>
      </w:r>
    </w:p>
    <w:p w14:paraId="5090CCD3" w14:textId="6B686725" w:rsidR="00134AAE" w:rsidRPr="005A6E0D" w:rsidRDefault="00134AAE" w:rsidP="005A6E0D">
      <w:pPr>
        <w:pStyle w:val="ListParagraph"/>
        <w:spacing w:line="360" w:lineRule="auto"/>
        <w:jc w:val="both"/>
        <w:rPr>
          <w:rFonts w:ascii="Times New Roman" w:hAnsi="Times New Roman" w:cs="Times New Roman"/>
          <w:sz w:val="24"/>
          <w:szCs w:val="24"/>
        </w:rPr>
      </w:pPr>
      <w:r w:rsidRPr="005A6E0D">
        <w:rPr>
          <w:rFonts w:ascii="Times New Roman" w:hAnsi="Times New Roman" w:cs="Times New Roman"/>
          <w:sz w:val="24"/>
          <w:szCs w:val="24"/>
        </w:rPr>
        <w:t>necessities to help the enlistment process in the three ICH areas.</w:t>
      </w:r>
    </w:p>
    <w:p w14:paraId="721525D5" w14:textId="77777777" w:rsidR="00134AAE" w:rsidRPr="005A6E0D" w:rsidRDefault="00134AAE" w:rsidP="005A6E0D">
      <w:pPr>
        <w:pStyle w:val="ListParagraph"/>
        <w:spacing w:line="360" w:lineRule="auto"/>
        <w:jc w:val="both"/>
        <w:rPr>
          <w:rFonts w:ascii="Times New Roman" w:hAnsi="Times New Roman" w:cs="Times New Roman"/>
          <w:sz w:val="24"/>
          <w:szCs w:val="24"/>
        </w:rPr>
      </w:pPr>
    </w:p>
    <w:p w14:paraId="5E0E9683" w14:textId="77777777" w:rsidR="00134AAE" w:rsidRPr="005A6E0D" w:rsidRDefault="00134AAE" w:rsidP="005A6E0D">
      <w:pPr>
        <w:pStyle w:val="ListParagraph"/>
        <w:spacing w:line="360" w:lineRule="auto"/>
        <w:jc w:val="both"/>
        <w:rPr>
          <w:rFonts w:ascii="Times New Roman" w:hAnsi="Times New Roman" w:cs="Times New Roman"/>
          <w:sz w:val="24"/>
          <w:szCs w:val="24"/>
        </w:rPr>
      </w:pPr>
      <w:r w:rsidRPr="005A6E0D">
        <w:rPr>
          <w:rFonts w:ascii="Times New Roman" w:hAnsi="Times New Roman" w:cs="Times New Roman"/>
          <w:sz w:val="24"/>
          <w:szCs w:val="24"/>
        </w:rPr>
        <w:t>2. Harmonized guidelines enable these goals to be accomplished, resulting in a more efficient use of human, animal, and material resources, the elimination of unnecessary delays in the comprehensive application and proposal of new medicines, as well as the preservation of high-quality efficacy and safety and regulatory obligations to safeguard public health.</w:t>
      </w:r>
    </w:p>
    <w:p w14:paraId="6E363DFA" w14:textId="77777777" w:rsidR="00134AAE" w:rsidRPr="005A6E0D" w:rsidRDefault="00134AAE" w:rsidP="005A6E0D">
      <w:pPr>
        <w:pStyle w:val="ListParagraph"/>
        <w:spacing w:line="360" w:lineRule="auto"/>
        <w:jc w:val="both"/>
        <w:rPr>
          <w:rFonts w:ascii="Times New Roman" w:hAnsi="Times New Roman" w:cs="Times New Roman"/>
          <w:sz w:val="24"/>
          <w:szCs w:val="24"/>
        </w:rPr>
      </w:pPr>
    </w:p>
    <w:p w14:paraId="70B113F3" w14:textId="77777777" w:rsidR="00134AAE" w:rsidRPr="005A6E0D" w:rsidRDefault="00134AAE" w:rsidP="005A6E0D">
      <w:pPr>
        <w:pStyle w:val="ListParagraph"/>
        <w:spacing w:line="360" w:lineRule="auto"/>
        <w:jc w:val="both"/>
        <w:rPr>
          <w:rFonts w:ascii="Times New Roman" w:hAnsi="Times New Roman" w:cs="Times New Roman"/>
          <w:sz w:val="24"/>
          <w:szCs w:val="24"/>
        </w:rPr>
      </w:pPr>
      <w:r w:rsidRPr="005A6E0D">
        <w:rPr>
          <w:rFonts w:ascii="Times New Roman" w:hAnsi="Times New Roman" w:cs="Times New Roman"/>
          <w:sz w:val="24"/>
          <w:szCs w:val="24"/>
        </w:rPr>
        <w:t>3. The ICH hopes to achieve many of its goals with the creation of the Common Technical Document (CTD).</w:t>
      </w:r>
    </w:p>
    <w:p w14:paraId="2FB4F2CA" w14:textId="6B9B940F" w:rsidR="00612361" w:rsidRPr="005A6E0D" w:rsidRDefault="00134AAE" w:rsidP="005A6E0D">
      <w:pPr>
        <w:pStyle w:val="ListParagraph"/>
        <w:spacing w:line="360" w:lineRule="auto"/>
        <w:jc w:val="both"/>
        <w:rPr>
          <w:rFonts w:ascii="Times New Roman" w:hAnsi="Times New Roman" w:cs="Times New Roman"/>
          <w:sz w:val="24"/>
          <w:szCs w:val="24"/>
        </w:rPr>
      </w:pPr>
      <w:r w:rsidRPr="005A6E0D">
        <w:rPr>
          <w:rFonts w:ascii="Times New Roman" w:hAnsi="Times New Roman" w:cs="Times New Roman"/>
          <w:sz w:val="24"/>
          <w:szCs w:val="24"/>
        </w:rPr>
        <w:t>Any rule which is given by ICH passes</w:t>
      </w:r>
      <w:r w:rsidR="00B53618" w:rsidRPr="005A6E0D">
        <w:rPr>
          <w:rFonts w:ascii="Times New Roman" w:hAnsi="Times New Roman" w:cs="Times New Roman"/>
          <w:sz w:val="24"/>
          <w:szCs w:val="24"/>
        </w:rPr>
        <w:t xml:space="preserve"> </w:t>
      </w:r>
      <w:r w:rsidRPr="005A6E0D">
        <w:rPr>
          <w:rFonts w:ascii="Times New Roman" w:hAnsi="Times New Roman" w:cs="Times New Roman"/>
          <w:sz w:val="24"/>
          <w:szCs w:val="24"/>
        </w:rPr>
        <w:t xml:space="preserve">through various advances. </w:t>
      </w:r>
    </w:p>
    <w:p w14:paraId="747AE4C0" w14:textId="77777777" w:rsidR="00612361" w:rsidRPr="005A6E0D" w:rsidRDefault="00612361" w:rsidP="005A6E0D">
      <w:pPr>
        <w:pStyle w:val="ListParagraph"/>
        <w:spacing w:line="360" w:lineRule="auto"/>
        <w:jc w:val="both"/>
        <w:rPr>
          <w:rFonts w:ascii="Times New Roman" w:hAnsi="Times New Roman" w:cs="Times New Roman"/>
          <w:sz w:val="28"/>
          <w:szCs w:val="28"/>
        </w:rPr>
      </w:pPr>
    </w:p>
    <w:p w14:paraId="740AA13F" w14:textId="5E005603" w:rsidR="00134AAE" w:rsidRPr="005A6E0D" w:rsidRDefault="00134AAE" w:rsidP="005A6E0D">
      <w:pPr>
        <w:pStyle w:val="ListParagraph"/>
        <w:numPr>
          <w:ilvl w:val="0"/>
          <w:numId w:val="5"/>
        </w:numPr>
        <w:spacing w:line="360" w:lineRule="auto"/>
        <w:jc w:val="both"/>
        <w:rPr>
          <w:rFonts w:ascii="Times New Roman" w:hAnsi="Times New Roman" w:cs="Times New Roman"/>
          <w:b/>
          <w:bCs/>
          <w:sz w:val="24"/>
          <w:szCs w:val="24"/>
        </w:rPr>
      </w:pPr>
      <w:r w:rsidRPr="005A6E0D">
        <w:rPr>
          <w:rFonts w:ascii="Times New Roman" w:hAnsi="Times New Roman" w:cs="Times New Roman"/>
          <w:b/>
          <w:bCs/>
          <w:sz w:val="24"/>
          <w:szCs w:val="24"/>
        </w:rPr>
        <w:t>The importance of the CMC (chemistry, manufacturing, and controls) section</w:t>
      </w:r>
      <w:r w:rsidR="009871E2" w:rsidRPr="005A6E0D">
        <w:rPr>
          <w:rFonts w:ascii="Times New Roman" w:hAnsi="Times New Roman" w:cs="Times New Roman"/>
          <w:b/>
          <w:bCs/>
          <w:sz w:val="24"/>
          <w:szCs w:val="24"/>
        </w:rPr>
        <w:t xml:space="preserve"> in the CTD dossier</w:t>
      </w:r>
      <w:r w:rsidR="003B418A" w:rsidRPr="005A6E0D">
        <w:rPr>
          <w:rFonts w:ascii="Times New Roman" w:hAnsi="Times New Roman" w:cs="Times New Roman"/>
          <w:b/>
          <w:bCs/>
          <w:sz w:val="24"/>
          <w:szCs w:val="24"/>
          <w:vertAlign w:val="superscript"/>
        </w:rPr>
        <w:t>[2]</w:t>
      </w:r>
      <w:r w:rsidR="009871E2" w:rsidRPr="005A6E0D">
        <w:rPr>
          <w:rFonts w:ascii="Times New Roman" w:hAnsi="Times New Roman" w:cs="Times New Roman"/>
          <w:b/>
          <w:bCs/>
          <w:sz w:val="24"/>
          <w:szCs w:val="24"/>
        </w:rPr>
        <w:t>:</w:t>
      </w:r>
    </w:p>
    <w:p w14:paraId="56D8F38F" w14:textId="77777777" w:rsidR="00134AAE" w:rsidRPr="005A6E0D" w:rsidRDefault="00134AAE" w:rsidP="005A6E0D">
      <w:pPr>
        <w:pStyle w:val="ListParagraph"/>
        <w:spacing w:line="360" w:lineRule="auto"/>
        <w:jc w:val="both"/>
        <w:rPr>
          <w:rFonts w:ascii="Times New Roman" w:hAnsi="Times New Roman" w:cs="Times New Roman"/>
          <w:sz w:val="24"/>
          <w:szCs w:val="24"/>
        </w:rPr>
      </w:pPr>
      <w:r w:rsidRPr="005A6E0D">
        <w:rPr>
          <w:rFonts w:ascii="Times New Roman" w:hAnsi="Times New Roman" w:cs="Times New Roman"/>
          <w:sz w:val="24"/>
          <w:szCs w:val="24"/>
        </w:rPr>
        <w:t>The CMC (chemistry, manufacturing, and controls) section is crucial and comprehensive for any clinical trial or marketing application.</w:t>
      </w:r>
    </w:p>
    <w:p w14:paraId="4423B8DA" w14:textId="2854C8A9" w:rsidR="00134AAE" w:rsidRPr="005A6E0D" w:rsidRDefault="00B72600" w:rsidP="005A6E0D">
      <w:pPr>
        <w:pStyle w:val="ListParagraph"/>
        <w:spacing w:line="360" w:lineRule="auto"/>
        <w:jc w:val="both"/>
        <w:rPr>
          <w:rFonts w:ascii="Times New Roman" w:hAnsi="Times New Roman" w:cs="Times New Roman"/>
          <w:sz w:val="24"/>
          <w:szCs w:val="24"/>
        </w:rPr>
      </w:pPr>
      <w:r w:rsidRPr="005A6E0D">
        <w:rPr>
          <w:rFonts w:ascii="Times New Roman" w:hAnsi="Times New Roman" w:cs="Times New Roman"/>
          <w:sz w:val="24"/>
          <w:szCs w:val="24"/>
        </w:rPr>
        <w:t>1.</w:t>
      </w:r>
      <w:r w:rsidR="00134AAE" w:rsidRPr="005A6E0D">
        <w:rPr>
          <w:rFonts w:ascii="Times New Roman" w:hAnsi="Times New Roman" w:cs="Times New Roman"/>
          <w:sz w:val="24"/>
          <w:szCs w:val="24"/>
        </w:rPr>
        <w:t xml:space="preserve"> In the event that the assembling system can't be shown</w:t>
      </w:r>
      <w:r w:rsidRPr="005A6E0D">
        <w:rPr>
          <w:rFonts w:ascii="Times New Roman" w:hAnsi="Times New Roman" w:cs="Times New Roman"/>
          <w:sz w:val="24"/>
          <w:szCs w:val="24"/>
        </w:rPr>
        <w:t xml:space="preserve"> </w:t>
      </w:r>
      <w:r w:rsidR="00134AAE" w:rsidRPr="005A6E0D">
        <w:rPr>
          <w:rFonts w:ascii="Times New Roman" w:hAnsi="Times New Roman" w:cs="Times New Roman"/>
          <w:sz w:val="24"/>
          <w:szCs w:val="24"/>
        </w:rPr>
        <w:t>to its greatest norm and don't fulfille</w:t>
      </w:r>
      <w:r w:rsidR="006315BF" w:rsidRPr="005A6E0D">
        <w:rPr>
          <w:rFonts w:ascii="Times New Roman" w:hAnsi="Times New Roman" w:cs="Times New Roman"/>
          <w:sz w:val="24"/>
          <w:szCs w:val="24"/>
        </w:rPr>
        <w:t>d</w:t>
      </w:r>
      <w:r w:rsidR="00134AAE" w:rsidRPr="005A6E0D">
        <w:rPr>
          <w:rFonts w:ascii="Times New Roman" w:hAnsi="Times New Roman" w:cs="Times New Roman"/>
          <w:sz w:val="24"/>
          <w:szCs w:val="24"/>
        </w:rPr>
        <w:t xml:space="preserve"> the controllers need as well as</w:t>
      </w:r>
      <w:r w:rsidRPr="005A6E0D">
        <w:rPr>
          <w:rFonts w:ascii="Times New Roman" w:hAnsi="Times New Roman" w:cs="Times New Roman"/>
          <w:sz w:val="24"/>
          <w:szCs w:val="24"/>
        </w:rPr>
        <w:t xml:space="preserve"> </w:t>
      </w:r>
      <w:r w:rsidR="00134AAE" w:rsidRPr="005A6E0D">
        <w:rPr>
          <w:rFonts w:ascii="Times New Roman" w:hAnsi="Times New Roman" w:cs="Times New Roman"/>
          <w:sz w:val="24"/>
          <w:szCs w:val="24"/>
        </w:rPr>
        <w:t xml:space="preserve">item have not their quality norm as </w:t>
      </w:r>
      <w:r w:rsidR="00134AAE" w:rsidRPr="005A6E0D">
        <w:rPr>
          <w:rFonts w:ascii="Times New Roman" w:hAnsi="Times New Roman" w:cs="Times New Roman"/>
          <w:sz w:val="24"/>
          <w:szCs w:val="24"/>
        </w:rPr>
        <w:lastRenderedPageBreak/>
        <w:t>referenced in Pharmacopeia than it very well may be opportunity to medication may lost the advertising</w:t>
      </w:r>
      <w:r w:rsidRPr="005A6E0D">
        <w:rPr>
          <w:rFonts w:ascii="Times New Roman" w:hAnsi="Times New Roman" w:cs="Times New Roman"/>
          <w:sz w:val="24"/>
          <w:szCs w:val="24"/>
        </w:rPr>
        <w:t xml:space="preserve"> </w:t>
      </w:r>
      <w:r w:rsidR="00134AAE" w:rsidRPr="005A6E0D">
        <w:rPr>
          <w:rFonts w:ascii="Times New Roman" w:hAnsi="Times New Roman" w:cs="Times New Roman"/>
          <w:sz w:val="24"/>
          <w:szCs w:val="24"/>
        </w:rPr>
        <w:t>endorsement.</w:t>
      </w:r>
    </w:p>
    <w:p w14:paraId="29775A6A" w14:textId="5C851454" w:rsidR="00134AAE" w:rsidRPr="005A6E0D" w:rsidRDefault="00B72600" w:rsidP="005A6E0D">
      <w:pPr>
        <w:pStyle w:val="ListParagraph"/>
        <w:spacing w:line="360" w:lineRule="auto"/>
        <w:jc w:val="both"/>
        <w:rPr>
          <w:rFonts w:ascii="Times New Roman" w:hAnsi="Times New Roman" w:cs="Times New Roman"/>
          <w:sz w:val="24"/>
          <w:szCs w:val="24"/>
        </w:rPr>
      </w:pPr>
      <w:r w:rsidRPr="005A6E0D">
        <w:rPr>
          <w:rFonts w:ascii="Times New Roman" w:hAnsi="Times New Roman" w:cs="Times New Roman"/>
          <w:sz w:val="24"/>
          <w:szCs w:val="24"/>
        </w:rPr>
        <w:t>2.</w:t>
      </w:r>
      <w:r w:rsidR="00134AAE" w:rsidRPr="005A6E0D">
        <w:rPr>
          <w:rFonts w:ascii="Times New Roman" w:hAnsi="Times New Roman" w:cs="Times New Roman"/>
          <w:sz w:val="24"/>
          <w:szCs w:val="24"/>
        </w:rPr>
        <w:t xml:space="preserve"> So it is essential to show the standard quality cycle and boundary of medication producing subtleties and other boundary cover in</w:t>
      </w:r>
    </w:p>
    <w:p w14:paraId="62D45877" w14:textId="77777777" w:rsidR="00134AAE" w:rsidRPr="005A6E0D" w:rsidRDefault="00134AAE" w:rsidP="005A6E0D">
      <w:pPr>
        <w:pStyle w:val="ListParagraph"/>
        <w:spacing w:line="360" w:lineRule="auto"/>
        <w:jc w:val="both"/>
        <w:rPr>
          <w:rFonts w:ascii="Times New Roman" w:hAnsi="Times New Roman" w:cs="Times New Roman"/>
          <w:sz w:val="24"/>
          <w:szCs w:val="24"/>
        </w:rPr>
      </w:pPr>
      <w:r w:rsidRPr="005A6E0D">
        <w:rPr>
          <w:rFonts w:ascii="Times New Roman" w:hAnsi="Times New Roman" w:cs="Times New Roman"/>
          <w:sz w:val="24"/>
          <w:szCs w:val="24"/>
        </w:rPr>
        <w:t>module 3 Quality contain Science, assembling and Control.</w:t>
      </w:r>
    </w:p>
    <w:p w14:paraId="0752C3C5" w14:textId="2388D649" w:rsidR="00134AAE" w:rsidRPr="005A6E0D" w:rsidRDefault="00B72600" w:rsidP="005A6E0D">
      <w:pPr>
        <w:pStyle w:val="ListParagraph"/>
        <w:spacing w:line="360" w:lineRule="auto"/>
        <w:jc w:val="both"/>
        <w:rPr>
          <w:rFonts w:ascii="Times New Roman" w:hAnsi="Times New Roman" w:cs="Times New Roman"/>
          <w:sz w:val="24"/>
          <w:szCs w:val="24"/>
        </w:rPr>
      </w:pPr>
      <w:r w:rsidRPr="005A6E0D">
        <w:rPr>
          <w:rFonts w:ascii="Times New Roman" w:hAnsi="Times New Roman" w:cs="Times New Roman"/>
          <w:sz w:val="24"/>
          <w:szCs w:val="24"/>
        </w:rPr>
        <w:t>3.</w:t>
      </w:r>
      <w:r w:rsidR="00134AAE" w:rsidRPr="005A6E0D">
        <w:rPr>
          <w:rFonts w:ascii="Times New Roman" w:hAnsi="Times New Roman" w:cs="Times New Roman"/>
          <w:sz w:val="24"/>
          <w:szCs w:val="24"/>
        </w:rPr>
        <w:t xml:space="preserve"> The science, fabricating and controls</w:t>
      </w:r>
      <w:r w:rsidRPr="005A6E0D">
        <w:rPr>
          <w:rFonts w:ascii="Times New Roman" w:hAnsi="Times New Roman" w:cs="Times New Roman"/>
          <w:sz w:val="24"/>
          <w:szCs w:val="24"/>
        </w:rPr>
        <w:t xml:space="preserve"> </w:t>
      </w:r>
      <w:r w:rsidR="00134AAE" w:rsidRPr="005A6E0D">
        <w:rPr>
          <w:rFonts w:ascii="Times New Roman" w:hAnsi="Times New Roman" w:cs="Times New Roman"/>
          <w:sz w:val="24"/>
          <w:szCs w:val="24"/>
        </w:rPr>
        <w:t>(CMC) segment is a vital piece of any clinical preliminary or showcasing application.</w:t>
      </w:r>
    </w:p>
    <w:p w14:paraId="0D2D1DAF" w14:textId="77777777" w:rsidR="00134AAE" w:rsidRPr="005A6E0D" w:rsidRDefault="00134AAE" w:rsidP="005A6E0D">
      <w:pPr>
        <w:pStyle w:val="ListParagraph"/>
        <w:spacing w:line="360" w:lineRule="auto"/>
        <w:jc w:val="both"/>
        <w:rPr>
          <w:rFonts w:ascii="Times New Roman" w:hAnsi="Times New Roman" w:cs="Times New Roman"/>
          <w:sz w:val="24"/>
          <w:szCs w:val="24"/>
        </w:rPr>
      </w:pPr>
      <w:r w:rsidRPr="005A6E0D">
        <w:rPr>
          <w:rFonts w:ascii="Times New Roman" w:hAnsi="Times New Roman" w:cs="Times New Roman"/>
          <w:sz w:val="24"/>
          <w:szCs w:val="24"/>
        </w:rPr>
        <w:t>If the product's quality and manufacturing process cannot be demonstrated to meet regulators' expectations, drugs may not receive marketing approval.</w:t>
      </w:r>
    </w:p>
    <w:p w14:paraId="16D87022" w14:textId="0720279B" w:rsidR="00134AAE" w:rsidRPr="005A6E0D" w:rsidRDefault="00B72600" w:rsidP="005A6E0D">
      <w:pPr>
        <w:pStyle w:val="ListParagraph"/>
        <w:spacing w:line="360" w:lineRule="auto"/>
        <w:jc w:val="both"/>
        <w:rPr>
          <w:rFonts w:ascii="Times New Roman" w:hAnsi="Times New Roman" w:cs="Times New Roman"/>
          <w:sz w:val="24"/>
          <w:szCs w:val="24"/>
        </w:rPr>
      </w:pPr>
      <w:r w:rsidRPr="005A6E0D">
        <w:rPr>
          <w:rFonts w:ascii="Times New Roman" w:hAnsi="Times New Roman" w:cs="Times New Roman"/>
          <w:sz w:val="24"/>
          <w:szCs w:val="24"/>
        </w:rPr>
        <w:t>4.</w:t>
      </w:r>
      <w:r w:rsidR="00134AAE" w:rsidRPr="005A6E0D">
        <w:rPr>
          <w:rFonts w:ascii="Times New Roman" w:hAnsi="Times New Roman" w:cs="Times New Roman"/>
          <w:sz w:val="24"/>
          <w:szCs w:val="24"/>
        </w:rPr>
        <w:t xml:space="preserve"> The ICH rule Q1A(R2) (Solidness Testing of New Medication Substances and Items) characterizes the strength information bundle required</w:t>
      </w:r>
    </w:p>
    <w:p w14:paraId="08528C9D" w14:textId="3B9D7B1D" w:rsidR="00134AAE" w:rsidRPr="005A6E0D" w:rsidRDefault="00134AAE" w:rsidP="005A6E0D">
      <w:pPr>
        <w:pStyle w:val="ListParagraph"/>
        <w:spacing w:line="360" w:lineRule="auto"/>
        <w:jc w:val="both"/>
        <w:rPr>
          <w:rFonts w:ascii="Times New Roman" w:hAnsi="Times New Roman" w:cs="Times New Roman"/>
          <w:sz w:val="24"/>
          <w:szCs w:val="24"/>
        </w:rPr>
      </w:pPr>
      <w:r w:rsidRPr="005A6E0D">
        <w:rPr>
          <w:rFonts w:ascii="Times New Roman" w:hAnsi="Times New Roman" w:cs="Times New Roman"/>
          <w:sz w:val="24"/>
          <w:szCs w:val="24"/>
        </w:rPr>
        <w:t>for new drug</w:t>
      </w:r>
      <w:r w:rsidR="00B72600" w:rsidRPr="005A6E0D">
        <w:rPr>
          <w:rFonts w:ascii="Times New Roman" w:hAnsi="Times New Roman" w:cs="Times New Roman"/>
          <w:sz w:val="24"/>
          <w:szCs w:val="24"/>
        </w:rPr>
        <w:t xml:space="preserve"> </w:t>
      </w:r>
      <w:r w:rsidRPr="005A6E0D">
        <w:rPr>
          <w:rFonts w:ascii="Times New Roman" w:hAnsi="Times New Roman" w:cs="Times New Roman"/>
          <w:sz w:val="24"/>
          <w:szCs w:val="24"/>
        </w:rPr>
        <w:t>substances and items submitted for endorsement in every one of the significant districts that acknowledge the ICH</w:t>
      </w:r>
      <w:r w:rsidR="00B72600" w:rsidRPr="005A6E0D">
        <w:rPr>
          <w:rFonts w:ascii="Times New Roman" w:hAnsi="Times New Roman" w:cs="Times New Roman"/>
          <w:sz w:val="24"/>
          <w:szCs w:val="24"/>
        </w:rPr>
        <w:t xml:space="preserve"> </w:t>
      </w:r>
      <w:r w:rsidRPr="005A6E0D">
        <w:rPr>
          <w:rFonts w:ascii="Times New Roman" w:hAnsi="Times New Roman" w:cs="Times New Roman"/>
          <w:sz w:val="24"/>
          <w:szCs w:val="24"/>
        </w:rPr>
        <w:t>guidelines (i.e., US,</w:t>
      </w:r>
    </w:p>
    <w:p w14:paraId="4F363947" w14:textId="78E43AA6" w:rsidR="00B72600" w:rsidRPr="005A6E0D" w:rsidRDefault="00134AAE" w:rsidP="005A6E0D">
      <w:pPr>
        <w:pStyle w:val="ListParagraph"/>
        <w:spacing w:line="360" w:lineRule="auto"/>
        <w:jc w:val="both"/>
        <w:rPr>
          <w:rFonts w:ascii="Times New Roman" w:hAnsi="Times New Roman" w:cs="Times New Roman"/>
          <w:sz w:val="24"/>
          <w:szCs w:val="24"/>
        </w:rPr>
      </w:pPr>
      <w:r w:rsidRPr="005A6E0D">
        <w:rPr>
          <w:rFonts w:ascii="Times New Roman" w:hAnsi="Times New Roman" w:cs="Times New Roman"/>
          <w:sz w:val="24"/>
          <w:szCs w:val="24"/>
        </w:rPr>
        <w:t>Japan and EU).</w:t>
      </w:r>
    </w:p>
    <w:p w14:paraId="45154EC5" w14:textId="77777777" w:rsidR="006315BF" w:rsidRPr="005A6E0D" w:rsidRDefault="006315BF" w:rsidP="005A6E0D">
      <w:pPr>
        <w:pStyle w:val="ListParagraph"/>
        <w:spacing w:line="360" w:lineRule="auto"/>
        <w:jc w:val="both"/>
        <w:rPr>
          <w:rFonts w:ascii="Times New Roman" w:hAnsi="Times New Roman" w:cs="Times New Roman"/>
          <w:sz w:val="24"/>
          <w:szCs w:val="24"/>
        </w:rPr>
      </w:pPr>
    </w:p>
    <w:p w14:paraId="0831E594" w14:textId="77777777" w:rsidR="005A6E0D" w:rsidRDefault="005A6E0D">
      <w:pPr>
        <w:rPr>
          <w:rFonts w:ascii="Times New Roman" w:hAnsi="Times New Roman" w:cs="Times New Roman"/>
          <w:b/>
          <w:bCs/>
          <w:i/>
          <w:iCs/>
          <w:sz w:val="28"/>
          <w:szCs w:val="28"/>
        </w:rPr>
      </w:pPr>
      <w:r>
        <w:rPr>
          <w:rFonts w:ascii="Times New Roman" w:hAnsi="Times New Roman" w:cs="Times New Roman"/>
          <w:b/>
          <w:bCs/>
          <w:i/>
          <w:iCs/>
          <w:sz w:val="28"/>
          <w:szCs w:val="28"/>
        </w:rPr>
        <w:br w:type="page"/>
      </w:r>
    </w:p>
    <w:p w14:paraId="0A418355" w14:textId="77777777" w:rsidR="005A6E0D" w:rsidRPr="005A6E0D" w:rsidRDefault="005A6E0D" w:rsidP="005A6E0D">
      <w:pPr>
        <w:pStyle w:val="ListParagraph"/>
        <w:spacing w:line="360" w:lineRule="auto"/>
        <w:jc w:val="both"/>
        <w:rPr>
          <w:rFonts w:ascii="Times New Roman" w:hAnsi="Times New Roman" w:cs="Times New Roman"/>
          <w:b/>
          <w:bCs/>
          <w:i/>
          <w:iCs/>
          <w:sz w:val="24"/>
          <w:szCs w:val="24"/>
        </w:rPr>
      </w:pPr>
    </w:p>
    <w:p w14:paraId="1D5AD7DE" w14:textId="1C210187" w:rsidR="00AF09DD" w:rsidRPr="005A6E0D" w:rsidRDefault="00AF09DD" w:rsidP="005A6E0D">
      <w:pPr>
        <w:pStyle w:val="ListParagraph"/>
        <w:numPr>
          <w:ilvl w:val="0"/>
          <w:numId w:val="11"/>
        </w:numPr>
        <w:spacing w:line="360" w:lineRule="auto"/>
        <w:jc w:val="both"/>
        <w:rPr>
          <w:rFonts w:ascii="Times New Roman" w:hAnsi="Times New Roman" w:cs="Times New Roman"/>
          <w:b/>
          <w:bCs/>
          <w:sz w:val="28"/>
          <w:szCs w:val="28"/>
        </w:rPr>
      </w:pPr>
      <w:r w:rsidRPr="005A6E0D">
        <w:rPr>
          <w:rFonts w:ascii="Times New Roman" w:hAnsi="Times New Roman" w:cs="Times New Roman"/>
          <w:b/>
          <w:bCs/>
          <w:sz w:val="28"/>
          <w:szCs w:val="28"/>
        </w:rPr>
        <w:t>Obstacles of CTD</w:t>
      </w:r>
      <w:r w:rsidR="00CD76DB" w:rsidRPr="005A6E0D">
        <w:rPr>
          <w:rFonts w:ascii="Times New Roman" w:hAnsi="Times New Roman" w:cs="Times New Roman"/>
          <w:b/>
          <w:bCs/>
          <w:sz w:val="28"/>
          <w:szCs w:val="28"/>
        </w:rPr>
        <w:t xml:space="preserve"> (c67)</w:t>
      </w:r>
    </w:p>
    <w:p w14:paraId="55BEEBFC" w14:textId="29A7AC7A" w:rsidR="00AF09DD" w:rsidRPr="005A6E0D" w:rsidRDefault="00AF09DD" w:rsidP="005A6E0D">
      <w:pPr>
        <w:spacing w:line="360" w:lineRule="auto"/>
        <w:jc w:val="both"/>
        <w:rPr>
          <w:rFonts w:ascii="Times New Roman" w:hAnsi="Times New Roman" w:cs="Times New Roman"/>
          <w:sz w:val="24"/>
          <w:szCs w:val="24"/>
        </w:rPr>
      </w:pPr>
      <w:r w:rsidRPr="005A6E0D">
        <w:rPr>
          <w:rFonts w:ascii="Times New Roman" w:hAnsi="Times New Roman" w:cs="Times New Roman"/>
          <w:sz w:val="24"/>
          <w:szCs w:val="24"/>
        </w:rPr>
        <w:t>1. CTD is just an organization and it's anything but a single dossier with a solitary substance.</w:t>
      </w:r>
    </w:p>
    <w:p w14:paraId="1A018159" w14:textId="63812590" w:rsidR="00AF09DD" w:rsidRPr="005A6E0D" w:rsidRDefault="00AF09DD" w:rsidP="005A6E0D">
      <w:pPr>
        <w:spacing w:line="360" w:lineRule="auto"/>
        <w:jc w:val="both"/>
        <w:rPr>
          <w:rFonts w:ascii="Times New Roman" w:hAnsi="Times New Roman" w:cs="Times New Roman"/>
          <w:sz w:val="24"/>
          <w:szCs w:val="24"/>
        </w:rPr>
      </w:pPr>
      <w:r w:rsidRPr="005A6E0D">
        <w:rPr>
          <w:rFonts w:ascii="Times New Roman" w:hAnsi="Times New Roman" w:cs="Times New Roman"/>
          <w:sz w:val="24"/>
          <w:szCs w:val="24"/>
        </w:rPr>
        <w:t>2. Lawful prerequisites different in the different areas.</w:t>
      </w:r>
    </w:p>
    <w:p w14:paraId="46CBF532" w14:textId="77777777" w:rsidR="00AF09DD" w:rsidRPr="005A6E0D" w:rsidRDefault="00AF09DD" w:rsidP="005A6E0D">
      <w:pPr>
        <w:spacing w:line="360" w:lineRule="auto"/>
        <w:jc w:val="both"/>
        <w:rPr>
          <w:rFonts w:ascii="Times New Roman" w:hAnsi="Times New Roman" w:cs="Times New Roman"/>
          <w:sz w:val="24"/>
          <w:szCs w:val="24"/>
        </w:rPr>
      </w:pPr>
      <w:r w:rsidRPr="005A6E0D">
        <w:rPr>
          <w:rFonts w:ascii="Times New Roman" w:hAnsi="Times New Roman" w:cs="Times New Roman"/>
          <w:sz w:val="24"/>
          <w:szCs w:val="24"/>
        </w:rPr>
        <w:t>3. All requirements have not yet been harmonised by the ICH guidelines.</w:t>
      </w:r>
    </w:p>
    <w:p w14:paraId="69940368" w14:textId="3D4CFD8A" w:rsidR="00AF09DD" w:rsidRPr="005A6E0D" w:rsidRDefault="00AF09DD" w:rsidP="005A6E0D">
      <w:pPr>
        <w:spacing w:line="360" w:lineRule="auto"/>
        <w:jc w:val="both"/>
        <w:rPr>
          <w:rFonts w:ascii="Times New Roman" w:hAnsi="Times New Roman" w:cs="Times New Roman"/>
          <w:sz w:val="24"/>
          <w:szCs w:val="24"/>
        </w:rPr>
      </w:pPr>
      <w:r w:rsidRPr="005A6E0D">
        <w:rPr>
          <w:rFonts w:ascii="Times New Roman" w:hAnsi="Times New Roman" w:cs="Times New Roman"/>
          <w:sz w:val="24"/>
          <w:szCs w:val="24"/>
        </w:rPr>
        <w:t>4. Pharmacopeia’s are not orchestrated.</w:t>
      </w:r>
    </w:p>
    <w:p w14:paraId="18AA8D8B" w14:textId="79A4837D" w:rsidR="00AF09DD" w:rsidRPr="005A6E0D" w:rsidRDefault="00AF09DD" w:rsidP="005A6E0D">
      <w:pPr>
        <w:spacing w:line="360" w:lineRule="auto"/>
        <w:jc w:val="both"/>
        <w:rPr>
          <w:rFonts w:ascii="Times New Roman" w:hAnsi="Times New Roman" w:cs="Times New Roman"/>
          <w:sz w:val="24"/>
          <w:szCs w:val="24"/>
        </w:rPr>
      </w:pPr>
      <w:r w:rsidRPr="005A6E0D">
        <w:rPr>
          <w:rFonts w:ascii="Times New Roman" w:hAnsi="Times New Roman" w:cs="Times New Roman"/>
          <w:sz w:val="24"/>
          <w:szCs w:val="24"/>
        </w:rPr>
        <w:t>5. Candidate might have provincial inclinations.</w:t>
      </w:r>
    </w:p>
    <w:p w14:paraId="0610D142" w14:textId="6204D4C0" w:rsidR="000E5A62" w:rsidRPr="005A6E0D" w:rsidRDefault="00AF09DD" w:rsidP="005A6E0D">
      <w:pPr>
        <w:spacing w:line="360" w:lineRule="auto"/>
        <w:jc w:val="both"/>
        <w:rPr>
          <w:rFonts w:ascii="Times New Roman" w:hAnsi="Times New Roman" w:cs="Times New Roman"/>
          <w:sz w:val="24"/>
          <w:szCs w:val="24"/>
        </w:rPr>
      </w:pPr>
      <w:r w:rsidRPr="005A6E0D">
        <w:rPr>
          <w:rFonts w:ascii="Times New Roman" w:hAnsi="Times New Roman" w:cs="Times New Roman"/>
          <w:sz w:val="24"/>
          <w:szCs w:val="24"/>
        </w:rPr>
        <w:t>6. The eCTD has proven to be essential and comprehensive in boosting application submission efficiency and reviewer productivity.</w:t>
      </w:r>
    </w:p>
    <w:p w14:paraId="64794E12" w14:textId="77777777" w:rsidR="00B949FC" w:rsidRDefault="004F714B">
      <w:pPr>
        <w:rPr>
          <w:rFonts w:ascii="Times New Roman" w:hAnsi="Times New Roman" w:cs="Times New Roman"/>
          <w:b/>
          <w:bCs/>
          <w:i/>
          <w:iCs/>
          <w:sz w:val="24"/>
          <w:szCs w:val="24"/>
        </w:rPr>
      </w:pPr>
      <w:r w:rsidRPr="004F714B">
        <w:rPr>
          <w:rFonts w:ascii="Times New Roman" w:hAnsi="Times New Roman" w:cs="Times New Roman"/>
          <w:b/>
          <w:bCs/>
          <w:i/>
          <w:iCs/>
          <w:sz w:val="28"/>
          <w:szCs w:val="28"/>
        </w:rPr>
        <w:t>Advantages</w:t>
      </w:r>
      <w:r>
        <w:rPr>
          <w:rFonts w:ascii="Times New Roman" w:hAnsi="Times New Roman" w:cs="Times New Roman"/>
          <w:b/>
          <w:bCs/>
          <w:i/>
          <w:iCs/>
          <w:sz w:val="24"/>
          <w:szCs w:val="24"/>
        </w:rPr>
        <w:t>:</w:t>
      </w:r>
    </w:p>
    <w:p w14:paraId="49C86219" w14:textId="74B4E00B" w:rsidR="004B2C05" w:rsidRDefault="004B2C05">
      <w:pPr>
        <w:rPr>
          <w:rFonts w:ascii="Times New Roman" w:hAnsi="Times New Roman" w:cs="Times New Roman"/>
          <w:b/>
          <w:bCs/>
          <w:i/>
          <w:iCs/>
          <w:sz w:val="24"/>
          <w:szCs w:val="24"/>
        </w:rPr>
      </w:pPr>
      <w:r>
        <w:rPr>
          <w:rFonts w:ascii="Times New Roman" w:hAnsi="Times New Roman" w:cs="Times New Roman"/>
          <w:b/>
          <w:bCs/>
          <w:i/>
          <w:iCs/>
          <w:sz w:val="24"/>
          <w:szCs w:val="24"/>
        </w:rPr>
        <w:t>1. Simplifies the application review process and avoids delays by ensuring essential information is included.</w:t>
      </w:r>
    </w:p>
    <w:p w14:paraId="01778555" w14:textId="77777777" w:rsidR="004B2C05" w:rsidRDefault="004B2C05">
      <w:pPr>
        <w:rPr>
          <w:rFonts w:ascii="Times New Roman" w:hAnsi="Times New Roman" w:cs="Times New Roman"/>
          <w:b/>
          <w:bCs/>
          <w:i/>
          <w:iCs/>
          <w:sz w:val="24"/>
          <w:szCs w:val="24"/>
        </w:rPr>
      </w:pPr>
      <w:r>
        <w:rPr>
          <w:rFonts w:ascii="Times New Roman" w:hAnsi="Times New Roman" w:cs="Times New Roman"/>
          <w:b/>
          <w:bCs/>
          <w:i/>
          <w:iCs/>
          <w:sz w:val="24"/>
          <w:szCs w:val="24"/>
        </w:rPr>
        <w:t>2. Reduces time and resources needed for human drug registration applications and streamlines electronic submission processes.</w:t>
      </w:r>
    </w:p>
    <w:p w14:paraId="41034085" w14:textId="77777777" w:rsidR="004B2C05" w:rsidRDefault="004B2C05">
      <w:pPr>
        <w:rPr>
          <w:rFonts w:ascii="Times New Roman" w:hAnsi="Times New Roman" w:cs="Times New Roman"/>
          <w:b/>
          <w:bCs/>
          <w:i/>
          <w:iCs/>
          <w:sz w:val="24"/>
          <w:szCs w:val="24"/>
        </w:rPr>
      </w:pPr>
      <w:r>
        <w:rPr>
          <w:rFonts w:ascii="Times New Roman" w:hAnsi="Times New Roman" w:cs="Times New Roman"/>
          <w:b/>
          <w:bCs/>
          <w:i/>
          <w:iCs/>
          <w:sz w:val="24"/>
          <w:szCs w:val="24"/>
        </w:rPr>
        <w:t>3. Standardized documentation facilitates regulatory reviews and communication with applicants.</w:t>
      </w:r>
    </w:p>
    <w:p w14:paraId="5BA1309D" w14:textId="77777777" w:rsidR="004B2C05" w:rsidRDefault="004B2C05">
      <w:pPr>
        <w:rPr>
          <w:rFonts w:ascii="Times New Roman" w:hAnsi="Times New Roman" w:cs="Times New Roman"/>
          <w:b/>
          <w:bCs/>
          <w:i/>
          <w:iCs/>
          <w:sz w:val="24"/>
          <w:szCs w:val="24"/>
        </w:rPr>
      </w:pPr>
      <w:r>
        <w:rPr>
          <w:rFonts w:ascii="Times New Roman" w:hAnsi="Times New Roman" w:cs="Times New Roman"/>
          <w:b/>
          <w:bCs/>
          <w:i/>
          <w:iCs/>
          <w:sz w:val="24"/>
          <w:szCs w:val="24"/>
        </w:rPr>
        <w:t>4. Saves time and resources.</w:t>
      </w:r>
    </w:p>
    <w:p w14:paraId="58228D57" w14:textId="77777777" w:rsidR="004B2C05" w:rsidRDefault="004B2C05">
      <w:pPr>
        <w:rPr>
          <w:rFonts w:ascii="Times New Roman" w:hAnsi="Times New Roman" w:cs="Times New Roman"/>
          <w:b/>
          <w:bCs/>
          <w:i/>
          <w:iCs/>
          <w:sz w:val="24"/>
          <w:szCs w:val="24"/>
        </w:rPr>
      </w:pPr>
      <w:r>
        <w:rPr>
          <w:rFonts w:ascii="Times New Roman" w:hAnsi="Times New Roman" w:cs="Times New Roman"/>
          <w:b/>
          <w:bCs/>
          <w:i/>
          <w:iCs/>
          <w:sz w:val="24"/>
          <w:szCs w:val="24"/>
        </w:rPr>
        <w:t>5. Enhances the efficiency of regulatory reviews and communication.</w:t>
      </w:r>
    </w:p>
    <w:p w14:paraId="6664DA4F" w14:textId="77777777" w:rsidR="004B2C05" w:rsidRDefault="004B2C05">
      <w:pPr>
        <w:rPr>
          <w:rFonts w:ascii="Times New Roman" w:hAnsi="Times New Roman" w:cs="Times New Roman"/>
          <w:b/>
          <w:bCs/>
          <w:i/>
          <w:iCs/>
          <w:sz w:val="24"/>
          <w:szCs w:val="24"/>
        </w:rPr>
      </w:pPr>
      <w:r>
        <w:rPr>
          <w:rFonts w:ascii="Times New Roman" w:hAnsi="Times New Roman" w:cs="Times New Roman"/>
          <w:b/>
          <w:bCs/>
          <w:i/>
          <w:iCs/>
          <w:sz w:val="24"/>
          <w:szCs w:val="24"/>
        </w:rPr>
        <w:t>6. Ensures proper data organization.</w:t>
      </w:r>
    </w:p>
    <w:p w14:paraId="1E1E1103" w14:textId="77777777" w:rsidR="004B2C05" w:rsidRDefault="004B2C05">
      <w:pPr>
        <w:rPr>
          <w:rFonts w:ascii="Times New Roman" w:hAnsi="Times New Roman" w:cs="Times New Roman"/>
          <w:b/>
          <w:bCs/>
          <w:i/>
          <w:iCs/>
          <w:sz w:val="24"/>
          <w:szCs w:val="24"/>
        </w:rPr>
      </w:pPr>
    </w:p>
    <w:p w14:paraId="3EF2FC75" w14:textId="77777777" w:rsidR="004B2C05" w:rsidRDefault="004B2C05">
      <w:pPr>
        <w:rPr>
          <w:rFonts w:ascii="Times New Roman" w:hAnsi="Times New Roman" w:cs="Times New Roman"/>
          <w:b/>
          <w:bCs/>
          <w:i/>
          <w:iCs/>
          <w:sz w:val="24"/>
          <w:szCs w:val="24"/>
        </w:rPr>
      </w:pPr>
      <w:r>
        <w:rPr>
          <w:rFonts w:ascii="Times New Roman" w:hAnsi="Times New Roman" w:cs="Times New Roman"/>
          <w:b/>
          <w:bCs/>
          <w:i/>
          <w:iCs/>
          <w:sz w:val="24"/>
          <w:szCs w:val="24"/>
        </w:rPr>
        <w:t>**Hidden Benefits by CTD:**</w:t>
      </w:r>
    </w:p>
    <w:p w14:paraId="066943EF" w14:textId="77777777" w:rsidR="004B2C05" w:rsidRDefault="004B2C05">
      <w:pPr>
        <w:rPr>
          <w:rFonts w:ascii="Times New Roman" w:hAnsi="Times New Roman" w:cs="Times New Roman"/>
          <w:b/>
          <w:bCs/>
          <w:i/>
          <w:iCs/>
          <w:sz w:val="24"/>
          <w:szCs w:val="24"/>
        </w:rPr>
      </w:pPr>
      <w:r>
        <w:rPr>
          <w:rFonts w:ascii="Times New Roman" w:hAnsi="Times New Roman" w:cs="Times New Roman"/>
          <w:b/>
          <w:bCs/>
          <w:i/>
          <w:iCs/>
          <w:sz w:val="24"/>
          <w:szCs w:val="24"/>
        </w:rPr>
        <w:t>1. Promotes global application harmonization.</w:t>
      </w:r>
    </w:p>
    <w:p w14:paraId="2CAE1422" w14:textId="77777777" w:rsidR="004B2C05" w:rsidRDefault="004B2C05">
      <w:pPr>
        <w:rPr>
          <w:rFonts w:ascii="Times New Roman" w:hAnsi="Times New Roman" w:cs="Times New Roman"/>
          <w:b/>
          <w:bCs/>
          <w:i/>
          <w:iCs/>
          <w:sz w:val="24"/>
          <w:szCs w:val="24"/>
        </w:rPr>
      </w:pPr>
      <w:r>
        <w:rPr>
          <w:rFonts w:ascii="Times New Roman" w:hAnsi="Times New Roman" w:cs="Times New Roman"/>
          <w:b/>
          <w:bCs/>
          <w:i/>
          <w:iCs/>
          <w:sz w:val="24"/>
          <w:szCs w:val="24"/>
        </w:rPr>
        <w:t>2. Establishes standards for document preparation during the IND stages.</w:t>
      </w:r>
    </w:p>
    <w:p w14:paraId="6902DB48" w14:textId="77777777" w:rsidR="004B2C05" w:rsidRDefault="004B2C05">
      <w:pPr>
        <w:rPr>
          <w:rFonts w:ascii="Times New Roman" w:hAnsi="Times New Roman" w:cs="Times New Roman"/>
          <w:b/>
          <w:bCs/>
          <w:i/>
          <w:iCs/>
          <w:sz w:val="24"/>
          <w:szCs w:val="24"/>
        </w:rPr>
      </w:pPr>
      <w:r>
        <w:rPr>
          <w:rFonts w:ascii="Times New Roman" w:hAnsi="Times New Roman" w:cs="Times New Roman"/>
          <w:b/>
          <w:bCs/>
          <w:i/>
          <w:iCs/>
          <w:sz w:val="24"/>
          <w:szCs w:val="24"/>
        </w:rPr>
        <w:t>3. Simplifies data and project management through standardization.</w:t>
      </w:r>
    </w:p>
    <w:p w14:paraId="45926DC0" w14:textId="77777777" w:rsidR="004B2C05" w:rsidRDefault="004B2C05">
      <w:pPr>
        <w:rPr>
          <w:rFonts w:ascii="Times New Roman" w:hAnsi="Times New Roman" w:cs="Times New Roman"/>
          <w:b/>
          <w:bCs/>
          <w:i/>
          <w:iCs/>
          <w:sz w:val="24"/>
          <w:szCs w:val="24"/>
        </w:rPr>
      </w:pPr>
      <w:r>
        <w:rPr>
          <w:rFonts w:ascii="Times New Roman" w:hAnsi="Times New Roman" w:cs="Times New Roman"/>
          <w:b/>
          <w:bCs/>
          <w:i/>
          <w:iCs/>
          <w:sz w:val="24"/>
          <w:szCs w:val="24"/>
        </w:rPr>
        <w:t>4. Leads to more predictable reviews.</w:t>
      </w:r>
    </w:p>
    <w:p w14:paraId="6DBF5394" w14:textId="77777777" w:rsidR="004B2C05" w:rsidRDefault="004B2C05">
      <w:pPr>
        <w:rPr>
          <w:rFonts w:ascii="Times New Roman" w:hAnsi="Times New Roman" w:cs="Times New Roman"/>
          <w:b/>
          <w:bCs/>
          <w:i/>
          <w:iCs/>
          <w:sz w:val="24"/>
          <w:szCs w:val="24"/>
        </w:rPr>
      </w:pPr>
      <w:r>
        <w:rPr>
          <w:rFonts w:ascii="Times New Roman" w:hAnsi="Times New Roman" w:cs="Times New Roman"/>
          <w:b/>
          <w:bCs/>
          <w:i/>
          <w:iCs/>
          <w:sz w:val="24"/>
          <w:szCs w:val="24"/>
        </w:rPr>
        <w:t>5. Streamlines application analysis.</w:t>
      </w:r>
    </w:p>
    <w:p w14:paraId="3CB62051" w14:textId="77777777" w:rsidR="004B2C05" w:rsidRDefault="004B2C05">
      <w:pPr>
        <w:rPr>
          <w:rFonts w:ascii="Times New Roman" w:hAnsi="Times New Roman" w:cs="Times New Roman"/>
          <w:b/>
          <w:bCs/>
          <w:i/>
          <w:iCs/>
          <w:sz w:val="24"/>
          <w:szCs w:val="24"/>
        </w:rPr>
      </w:pPr>
      <w:r>
        <w:rPr>
          <w:rFonts w:ascii="Times New Roman" w:hAnsi="Times New Roman" w:cs="Times New Roman"/>
          <w:b/>
          <w:bCs/>
          <w:i/>
          <w:iCs/>
          <w:sz w:val="24"/>
          <w:szCs w:val="24"/>
        </w:rPr>
        <w:t>6. Eases data exchange.</w:t>
      </w:r>
    </w:p>
    <w:p w14:paraId="620520E5" w14:textId="32029B78" w:rsidR="005A6E0D" w:rsidRDefault="004B2C05">
      <w:pPr>
        <w:rPr>
          <w:rFonts w:ascii="Times New Roman" w:hAnsi="Times New Roman" w:cs="Times New Roman"/>
          <w:b/>
          <w:bCs/>
          <w:i/>
          <w:iCs/>
          <w:sz w:val="24"/>
          <w:szCs w:val="24"/>
        </w:rPr>
      </w:pPr>
      <w:r>
        <w:rPr>
          <w:rFonts w:ascii="Times New Roman" w:hAnsi="Times New Roman" w:cs="Times New Roman"/>
          <w:b/>
          <w:bCs/>
          <w:i/>
          <w:iCs/>
          <w:sz w:val="24"/>
          <w:szCs w:val="24"/>
        </w:rPr>
        <w:t>7. Facilitates electronic submissions and reports.</w:t>
      </w:r>
      <w:r w:rsidR="005A6E0D">
        <w:rPr>
          <w:rFonts w:ascii="Times New Roman" w:hAnsi="Times New Roman" w:cs="Times New Roman"/>
          <w:b/>
          <w:bCs/>
          <w:i/>
          <w:iCs/>
          <w:sz w:val="24"/>
          <w:szCs w:val="24"/>
        </w:rPr>
        <w:br w:type="page"/>
      </w:r>
    </w:p>
    <w:p w14:paraId="24532A60" w14:textId="0E5806AF" w:rsidR="00A75B1F" w:rsidRPr="005A6E0D" w:rsidRDefault="00A75B1F" w:rsidP="005A6E0D">
      <w:pPr>
        <w:pStyle w:val="ListParagraph"/>
        <w:numPr>
          <w:ilvl w:val="0"/>
          <w:numId w:val="11"/>
        </w:numPr>
        <w:spacing w:line="360" w:lineRule="auto"/>
        <w:jc w:val="both"/>
        <w:rPr>
          <w:rFonts w:ascii="Times New Roman" w:hAnsi="Times New Roman" w:cs="Times New Roman"/>
          <w:b/>
          <w:bCs/>
          <w:sz w:val="28"/>
          <w:szCs w:val="28"/>
        </w:rPr>
      </w:pPr>
      <w:r w:rsidRPr="005A6E0D">
        <w:rPr>
          <w:rFonts w:ascii="Times New Roman" w:hAnsi="Times New Roman" w:cs="Times New Roman"/>
          <w:b/>
          <w:bCs/>
          <w:sz w:val="28"/>
          <w:szCs w:val="28"/>
        </w:rPr>
        <w:lastRenderedPageBreak/>
        <w:t>Conclusion:</w:t>
      </w:r>
    </w:p>
    <w:p w14:paraId="59094D8D" w14:textId="7E3D6BD4" w:rsidR="001B3403" w:rsidRPr="005A6E0D" w:rsidRDefault="00A75B1F" w:rsidP="005A6E0D">
      <w:pPr>
        <w:spacing w:line="360" w:lineRule="auto"/>
        <w:jc w:val="both"/>
        <w:rPr>
          <w:rFonts w:ascii="Times New Roman" w:hAnsi="Times New Roman" w:cs="Times New Roman"/>
          <w:sz w:val="24"/>
          <w:szCs w:val="24"/>
        </w:rPr>
      </w:pPr>
      <w:r w:rsidRPr="005A6E0D">
        <w:rPr>
          <w:rFonts w:ascii="Times New Roman" w:hAnsi="Times New Roman" w:cs="Times New Roman"/>
          <w:sz w:val="24"/>
          <w:szCs w:val="24"/>
        </w:rPr>
        <w:t>An excellent dossier is necessary for any export market and can be produced through an accurate Formulation Development process. Proper planning and implementation of Formulation development will facilitate the creation of superior dossiers and the ability to address inquiries from regulatory bodies. Pharmaceutical product registration in any of the exporting nations requires the assembly of documentation in a format that is globally acceptable for both regulated and unregulated markets. The CTD and eCTD formats were created in response to notable differences in the specifications for pharmaceutical product dossier registration.</w:t>
      </w:r>
    </w:p>
    <w:p w14:paraId="19F6A68E" w14:textId="77777777" w:rsidR="005A6E0D" w:rsidRDefault="005A6E0D">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1035135D" w14:textId="79CBC94E" w:rsidR="00A75B1F" w:rsidRPr="005A6E0D" w:rsidRDefault="00A75B1F" w:rsidP="005A6E0D">
      <w:pPr>
        <w:pStyle w:val="ListParagraph"/>
        <w:numPr>
          <w:ilvl w:val="0"/>
          <w:numId w:val="11"/>
        </w:numPr>
        <w:spacing w:line="360" w:lineRule="auto"/>
        <w:jc w:val="both"/>
        <w:rPr>
          <w:rFonts w:ascii="Times New Roman" w:hAnsi="Times New Roman" w:cs="Times New Roman"/>
          <w:b/>
          <w:bCs/>
          <w:i/>
          <w:iCs/>
          <w:sz w:val="24"/>
          <w:szCs w:val="24"/>
        </w:rPr>
      </w:pPr>
      <w:r w:rsidRPr="005A6E0D">
        <w:rPr>
          <w:rFonts w:ascii="Times New Roman" w:hAnsi="Times New Roman" w:cs="Times New Roman"/>
          <w:b/>
          <w:bCs/>
          <w:i/>
          <w:iCs/>
          <w:sz w:val="24"/>
          <w:szCs w:val="24"/>
        </w:rPr>
        <w:lastRenderedPageBreak/>
        <w:t>References:</w:t>
      </w:r>
    </w:p>
    <w:p w14:paraId="162F1839" w14:textId="3C6FDC0A" w:rsidR="00A75B1F" w:rsidRPr="005A6E0D" w:rsidRDefault="00B53618" w:rsidP="005A6E0D">
      <w:pPr>
        <w:pStyle w:val="ListParagraph"/>
        <w:numPr>
          <w:ilvl w:val="0"/>
          <w:numId w:val="12"/>
        </w:numPr>
        <w:spacing w:line="360" w:lineRule="auto"/>
        <w:jc w:val="both"/>
        <w:rPr>
          <w:rFonts w:ascii="Times New Roman" w:hAnsi="Times New Roman" w:cs="Times New Roman"/>
          <w:b/>
          <w:bCs/>
          <w:i/>
          <w:iCs/>
          <w:sz w:val="24"/>
          <w:szCs w:val="24"/>
        </w:rPr>
      </w:pPr>
      <w:r w:rsidRPr="005A6E0D">
        <w:rPr>
          <w:rFonts w:ascii="Times New Roman" w:hAnsi="Times New Roman" w:cs="Times New Roman"/>
          <w:sz w:val="24"/>
          <w:szCs w:val="24"/>
        </w:rPr>
        <w:t>Jordan D. An overview of the Common Technical Document (CTD) regulatory dossier. Med Writ. 2014;23(2):101-105</w:t>
      </w:r>
      <w:r w:rsidR="009035E3" w:rsidRPr="005A6E0D">
        <w:rPr>
          <w:rFonts w:ascii="Times New Roman" w:hAnsi="Times New Roman" w:cs="Times New Roman"/>
          <w:sz w:val="24"/>
          <w:szCs w:val="24"/>
        </w:rPr>
        <w:t>.</w:t>
      </w:r>
    </w:p>
    <w:p w14:paraId="6BFA79E8" w14:textId="52A32955" w:rsidR="00B53618" w:rsidRPr="005A6E0D" w:rsidRDefault="00B53618" w:rsidP="005A6E0D">
      <w:pPr>
        <w:pStyle w:val="ListParagraph"/>
        <w:numPr>
          <w:ilvl w:val="0"/>
          <w:numId w:val="12"/>
        </w:numPr>
        <w:spacing w:line="360" w:lineRule="auto"/>
        <w:jc w:val="both"/>
        <w:rPr>
          <w:rFonts w:ascii="Times New Roman" w:hAnsi="Times New Roman" w:cs="Times New Roman"/>
          <w:b/>
          <w:bCs/>
          <w:i/>
          <w:iCs/>
          <w:sz w:val="24"/>
          <w:szCs w:val="24"/>
        </w:rPr>
      </w:pPr>
      <w:r w:rsidRPr="005A6E0D">
        <w:rPr>
          <w:rFonts w:ascii="Times New Roman" w:hAnsi="Times New Roman" w:cs="Times New Roman"/>
          <w:sz w:val="24"/>
          <w:szCs w:val="24"/>
        </w:rPr>
        <w:t>Patel DH, Badjatya JK, Patel AA. Preparation and Reviewof Chemistry, Manufacturing and Control (CMC) sectionsof CTD Dossier for Marketing Authorization. InternationalJournal of Drug Regulatory Affairs. 2017;5(2):1-12</w:t>
      </w:r>
      <w:r w:rsidRPr="005A6E0D">
        <w:rPr>
          <w:rFonts w:ascii="Times New Roman" w:hAnsi="Times New Roman" w:cs="Times New Roman"/>
          <w:b/>
          <w:bCs/>
          <w:sz w:val="24"/>
          <w:szCs w:val="24"/>
        </w:rPr>
        <w:t>.</w:t>
      </w:r>
    </w:p>
    <w:p w14:paraId="1EAE1966" w14:textId="1E1F8EE7" w:rsidR="00B53618" w:rsidRPr="005A6E0D" w:rsidRDefault="00B53618" w:rsidP="005A6E0D">
      <w:pPr>
        <w:pStyle w:val="ListParagraph"/>
        <w:numPr>
          <w:ilvl w:val="0"/>
          <w:numId w:val="12"/>
        </w:numPr>
        <w:spacing w:line="360" w:lineRule="auto"/>
        <w:jc w:val="both"/>
        <w:rPr>
          <w:rFonts w:ascii="Times New Roman" w:hAnsi="Times New Roman" w:cs="Times New Roman"/>
          <w:b/>
          <w:bCs/>
          <w:i/>
          <w:iCs/>
          <w:sz w:val="24"/>
          <w:szCs w:val="24"/>
        </w:rPr>
      </w:pPr>
      <w:r w:rsidRPr="005A6E0D">
        <w:rPr>
          <w:rFonts w:ascii="Times New Roman" w:hAnsi="Times New Roman" w:cs="Times New Roman"/>
          <w:sz w:val="24"/>
          <w:szCs w:val="24"/>
        </w:rPr>
        <w:t>Mahaparale, S., and Desai, B. (2018) 'Role and Overview of Drug Regulatory Affairs in the Pharmaceutical Industry with Implementation of CTD and eCTD.’ World Journal of Pharmaceutical Research. [Internet], 201-215. Available from: www.wjpr.net. [21 March 2018].</w:t>
      </w:r>
    </w:p>
    <w:p w14:paraId="1565192F" w14:textId="7D6022E6" w:rsidR="009871E2" w:rsidRPr="005A6E0D" w:rsidRDefault="009871E2" w:rsidP="005A6E0D">
      <w:pPr>
        <w:pStyle w:val="ListParagraph"/>
        <w:numPr>
          <w:ilvl w:val="0"/>
          <w:numId w:val="12"/>
        </w:numPr>
        <w:spacing w:line="360" w:lineRule="auto"/>
        <w:jc w:val="both"/>
        <w:rPr>
          <w:rFonts w:ascii="Times New Roman" w:hAnsi="Times New Roman" w:cs="Times New Roman"/>
          <w:b/>
          <w:bCs/>
          <w:i/>
          <w:iCs/>
          <w:sz w:val="24"/>
          <w:szCs w:val="24"/>
        </w:rPr>
      </w:pPr>
      <w:r w:rsidRPr="005A6E0D">
        <w:rPr>
          <w:rFonts w:ascii="Times New Roman" w:hAnsi="Times New Roman" w:cs="Times New Roman"/>
          <w:sz w:val="24"/>
          <w:szCs w:val="24"/>
        </w:rPr>
        <w:t>Janjal, V. (2021) 'Recent Drug Regulatory Affairs and CTD Module Progress Review for Submission of Pharmaceutical Products.’ GSC Biological and Pharmaceutical Sciences. [Internet], 16 200-221. Available from: https.//doi.org|10.30574| gscbps. 2021.16.3.0279. [26 September 2021].</w:t>
      </w:r>
    </w:p>
    <w:p w14:paraId="22A4D580" w14:textId="30CE7BD7" w:rsidR="009035E3" w:rsidRPr="005A6E0D" w:rsidRDefault="009035E3" w:rsidP="005A6E0D">
      <w:pPr>
        <w:pStyle w:val="ListParagraph"/>
        <w:numPr>
          <w:ilvl w:val="0"/>
          <w:numId w:val="12"/>
        </w:numPr>
        <w:spacing w:line="360" w:lineRule="auto"/>
        <w:jc w:val="both"/>
        <w:rPr>
          <w:rFonts w:ascii="Times New Roman" w:hAnsi="Times New Roman" w:cs="Times New Roman"/>
          <w:b/>
          <w:bCs/>
          <w:i/>
          <w:iCs/>
          <w:sz w:val="24"/>
          <w:szCs w:val="24"/>
        </w:rPr>
      </w:pPr>
      <w:r w:rsidRPr="005A6E0D">
        <w:rPr>
          <w:rFonts w:ascii="Times New Roman" w:hAnsi="Times New Roman" w:cs="Times New Roman"/>
          <w:sz w:val="24"/>
          <w:szCs w:val="24"/>
        </w:rPr>
        <w:t>10.Bhalodiya H. A.*, Boda J. M., Shah J. S., Patel P. B., Vaghela J. P. The Common Technical Document (CTD): Taking Indian NDA process towards Globalization. International Journal of Pharmaceutical Sciences Review and Research (IJPSRR). July–Aug: 2011; 9(2): 181-187.</w:t>
      </w:r>
    </w:p>
    <w:p w14:paraId="6E95A1CB" w14:textId="277BB9C8" w:rsidR="002C216C" w:rsidRPr="005A6E0D" w:rsidRDefault="002C216C" w:rsidP="005A6E0D">
      <w:pPr>
        <w:pStyle w:val="ListParagraph"/>
        <w:numPr>
          <w:ilvl w:val="0"/>
          <w:numId w:val="12"/>
        </w:numPr>
        <w:spacing w:line="360" w:lineRule="auto"/>
        <w:jc w:val="both"/>
        <w:rPr>
          <w:rFonts w:ascii="Times New Roman" w:hAnsi="Times New Roman" w:cs="Times New Roman"/>
          <w:b/>
          <w:bCs/>
          <w:i/>
          <w:iCs/>
          <w:sz w:val="24"/>
          <w:szCs w:val="24"/>
        </w:rPr>
      </w:pPr>
      <w:r w:rsidRPr="005A6E0D">
        <w:rPr>
          <w:rFonts w:ascii="Times New Roman" w:hAnsi="Times New Roman" w:cs="Times New Roman"/>
          <w:sz w:val="24"/>
          <w:szCs w:val="24"/>
        </w:rPr>
        <w:t>ICH M4 Guideline: Organisation of the Common Technical Document for the Registration of Pharmaceuticals for Human Use (R3) [cited 2004 Jan 13]. Available from:http://www.ich.org/fileadmin/Public_Web_Site/ICH_Products/CTD/M4_R3_Orga nisation/M4_R3__organisation.pdf.</w:t>
      </w:r>
    </w:p>
    <w:p w14:paraId="66043D3A" w14:textId="2F866B75" w:rsidR="00B90790" w:rsidRPr="005A6E0D" w:rsidRDefault="00B90790" w:rsidP="005A6E0D">
      <w:pPr>
        <w:pStyle w:val="ListParagraph"/>
        <w:numPr>
          <w:ilvl w:val="0"/>
          <w:numId w:val="12"/>
        </w:numPr>
        <w:spacing w:line="360" w:lineRule="auto"/>
        <w:jc w:val="both"/>
        <w:rPr>
          <w:rFonts w:ascii="Times New Roman" w:hAnsi="Times New Roman" w:cs="Times New Roman"/>
          <w:b/>
          <w:bCs/>
          <w:i/>
          <w:iCs/>
          <w:sz w:val="24"/>
          <w:szCs w:val="24"/>
        </w:rPr>
      </w:pPr>
      <w:r w:rsidRPr="005A6E0D">
        <w:rPr>
          <w:rFonts w:ascii="Times New Roman" w:hAnsi="Times New Roman" w:cs="Times New Roman"/>
          <w:sz w:val="24"/>
          <w:szCs w:val="24"/>
        </w:rPr>
        <w:t xml:space="preserve">ICH M4 Guideline: General Questions &amp; Answers Document (R3) [2004 Jun]. Available from: http:// </w:t>
      </w:r>
      <w:hyperlink r:id="rId8" w:history="1">
        <w:r w:rsidRPr="005A6E0D">
          <w:rPr>
            <w:rStyle w:val="Hyperlink"/>
            <w:rFonts w:ascii="Times New Roman" w:hAnsi="Times New Roman" w:cs="Times New Roman"/>
            <w:sz w:val="24"/>
            <w:szCs w:val="24"/>
          </w:rPr>
          <w:t>www.ich.org/fileadmin/Public_Web_Site/ICH_Prod ucts/CTD/M4_R3_Organisation/M4_QAs.pdf</w:t>
        </w:r>
      </w:hyperlink>
      <w:r w:rsidRPr="005A6E0D">
        <w:rPr>
          <w:rFonts w:ascii="Times New Roman" w:hAnsi="Times New Roman" w:cs="Times New Roman"/>
          <w:sz w:val="24"/>
          <w:szCs w:val="24"/>
        </w:rPr>
        <w:t>.</w:t>
      </w:r>
    </w:p>
    <w:p w14:paraId="78E0A2EA" w14:textId="29A0A97F" w:rsidR="00B90790" w:rsidRPr="005A6E0D" w:rsidRDefault="00B90790" w:rsidP="005A6E0D">
      <w:pPr>
        <w:pStyle w:val="ListParagraph"/>
        <w:numPr>
          <w:ilvl w:val="0"/>
          <w:numId w:val="12"/>
        </w:numPr>
        <w:spacing w:line="360" w:lineRule="auto"/>
        <w:jc w:val="both"/>
        <w:rPr>
          <w:rFonts w:ascii="Times New Roman" w:hAnsi="Times New Roman" w:cs="Times New Roman"/>
          <w:b/>
          <w:bCs/>
          <w:i/>
          <w:iCs/>
          <w:sz w:val="24"/>
          <w:szCs w:val="24"/>
        </w:rPr>
      </w:pPr>
      <w:r w:rsidRPr="005A6E0D">
        <w:rPr>
          <w:rFonts w:ascii="Times New Roman" w:hAnsi="Times New Roman" w:cs="Times New Roman"/>
          <w:sz w:val="24"/>
          <w:szCs w:val="24"/>
        </w:rPr>
        <w:t>Sahitya, K. et al. (2020) 'Regulatory Pathway for Registration and Approval of Indian Drug Products in Overseas Market.’ Journal of Pharmaceutical Science and Research. [Internet], 12 (0975-1459), 1150- 1161. Available from: www. Just. Pharma info. In.</w:t>
      </w:r>
    </w:p>
    <w:p w14:paraId="6C508B34" w14:textId="7A865280" w:rsidR="00710CE5" w:rsidRPr="005A6E0D" w:rsidRDefault="00710CE5" w:rsidP="005A6E0D">
      <w:pPr>
        <w:pStyle w:val="ListParagraph"/>
        <w:numPr>
          <w:ilvl w:val="0"/>
          <w:numId w:val="12"/>
        </w:numPr>
        <w:spacing w:line="360" w:lineRule="auto"/>
        <w:jc w:val="both"/>
        <w:rPr>
          <w:rFonts w:ascii="Times New Roman" w:hAnsi="Times New Roman" w:cs="Times New Roman"/>
          <w:b/>
          <w:bCs/>
          <w:i/>
          <w:iCs/>
          <w:sz w:val="24"/>
          <w:szCs w:val="24"/>
        </w:rPr>
      </w:pPr>
      <w:r w:rsidRPr="005A6E0D">
        <w:rPr>
          <w:rFonts w:ascii="Times New Roman" w:hAnsi="Times New Roman" w:cs="Times New Roman"/>
          <w:sz w:val="24"/>
          <w:szCs w:val="24"/>
        </w:rPr>
        <w:t xml:space="preserve"> Chowdary, K., and Ravi Shankar, K. (2015) 'CTD - A Critical Document for Dossier Submission: An Overview.’ World Journal of Pharmacy and Pharmaceutical Science.</w:t>
      </w:r>
    </w:p>
    <w:p w14:paraId="0E17FC61" w14:textId="73A73967" w:rsidR="00710CE5" w:rsidRPr="005A6E0D" w:rsidRDefault="00710CE5" w:rsidP="005A6E0D">
      <w:pPr>
        <w:pStyle w:val="ListParagraph"/>
        <w:numPr>
          <w:ilvl w:val="0"/>
          <w:numId w:val="12"/>
        </w:numPr>
        <w:spacing w:line="360" w:lineRule="auto"/>
        <w:jc w:val="both"/>
        <w:rPr>
          <w:rFonts w:ascii="Times New Roman" w:hAnsi="Times New Roman" w:cs="Times New Roman"/>
          <w:b/>
          <w:bCs/>
          <w:i/>
          <w:iCs/>
          <w:sz w:val="24"/>
          <w:szCs w:val="24"/>
        </w:rPr>
      </w:pPr>
      <w:r w:rsidRPr="005A6E0D">
        <w:rPr>
          <w:rFonts w:ascii="Times New Roman" w:hAnsi="Times New Roman" w:cs="Times New Roman"/>
          <w:sz w:val="24"/>
          <w:szCs w:val="24"/>
        </w:rPr>
        <w:lastRenderedPageBreak/>
        <w:t>ICH M4Q Guideline: Quality Overall Summary of Module 2 and Module 3: Quality (R1) [cited 2002 Sep 12]. Available from: http://www.ich.org/filead min/Public_Web_Site/ICH_Products/CTD/M4_R1_ Quality/M4Q__R1_.pdf.</w:t>
      </w:r>
    </w:p>
    <w:sectPr w:rsidR="00710CE5" w:rsidRPr="005A6E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9EB00" w14:textId="77777777" w:rsidR="009C4D13" w:rsidRDefault="009C4D13" w:rsidP="001B3403">
      <w:pPr>
        <w:spacing w:after="0" w:line="240" w:lineRule="auto"/>
      </w:pPr>
      <w:r>
        <w:separator/>
      </w:r>
    </w:p>
  </w:endnote>
  <w:endnote w:type="continuationSeparator" w:id="0">
    <w:p w14:paraId="0DE3E355" w14:textId="77777777" w:rsidR="009C4D13" w:rsidRDefault="009C4D13" w:rsidP="001B3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25936" w14:textId="77777777" w:rsidR="009C4D13" w:rsidRDefault="009C4D13" w:rsidP="001B3403">
      <w:pPr>
        <w:spacing w:after="0" w:line="240" w:lineRule="auto"/>
      </w:pPr>
      <w:r>
        <w:separator/>
      </w:r>
    </w:p>
  </w:footnote>
  <w:footnote w:type="continuationSeparator" w:id="0">
    <w:p w14:paraId="5D8B022B" w14:textId="77777777" w:rsidR="009C4D13" w:rsidRDefault="009C4D13" w:rsidP="001B34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A7321"/>
    <w:multiLevelType w:val="hybridMultilevel"/>
    <w:tmpl w:val="0400C44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DE646E6"/>
    <w:multiLevelType w:val="hybridMultilevel"/>
    <w:tmpl w:val="5AFC0C7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27952FC9"/>
    <w:multiLevelType w:val="hybridMultilevel"/>
    <w:tmpl w:val="C2329F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2C27575"/>
    <w:multiLevelType w:val="hybridMultilevel"/>
    <w:tmpl w:val="A656CC2E"/>
    <w:lvl w:ilvl="0" w:tplc="4009000B">
      <w:start w:val="1"/>
      <w:numFmt w:val="bullet"/>
      <w:lvlText w:val=""/>
      <w:lvlJc w:val="left"/>
      <w:pPr>
        <w:ind w:left="776" w:hanging="360"/>
      </w:pPr>
      <w:rPr>
        <w:rFonts w:ascii="Wingdings" w:hAnsi="Wingdings" w:hint="default"/>
      </w:rPr>
    </w:lvl>
    <w:lvl w:ilvl="1" w:tplc="40090003" w:tentative="1">
      <w:start w:val="1"/>
      <w:numFmt w:val="bullet"/>
      <w:lvlText w:val="o"/>
      <w:lvlJc w:val="left"/>
      <w:pPr>
        <w:ind w:left="1496" w:hanging="360"/>
      </w:pPr>
      <w:rPr>
        <w:rFonts w:ascii="Courier New" w:hAnsi="Courier New" w:cs="Courier New" w:hint="default"/>
      </w:rPr>
    </w:lvl>
    <w:lvl w:ilvl="2" w:tplc="40090005" w:tentative="1">
      <w:start w:val="1"/>
      <w:numFmt w:val="bullet"/>
      <w:lvlText w:val=""/>
      <w:lvlJc w:val="left"/>
      <w:pPr>
        <w:ind w:left="2216" w:hanging="360"/>
      </w:pPr>
      <w:rPr>
        <w:rFonts w:ascii="Wingdings" w:hAnsi="Wingdings" w:hint="default"/>
      </w:rPr>
    </w:lvl>
    <w:lvl w:ilvl="3" w:tplc="40090001" w:tentative="1">
      <w:start w:val="1"/>
      <w:numFmt w:val="bullet"/>
      <w:lvlText w:val=""/>
      <w:lvlJc w:val="left"/>
      <w:pPr>
        <w:ind w:left="2936" w:hanging="360"/>
      </w:pPr>
      <w:rPr>
        <w:rFonts w:ascii="Symbol" w:hAnsi="Symbol" w:hint="default"/>
      </w:rPr>
    </w:lvl>
    <w:lvl w:ilvl="4" w:tplc="40090003" w:tentative="1">
      <w:start w:val="1"/>
      <w:numFmt w:val="bullet"/>
      <w:lvlText w:val="o"/>
      <w:lvlJc w:val="left"/>
      <w:pPr>
        <w:ind w:left="3656" w:hanging="360"/>
      </w:pPr>
      <w:rPr>
        <w:rFonts w:ascii="Courier New" w:hAnsi="Courier New" w:cs="Courier New" w:hint="default"/>
      </w:rPr>
    </w:lvl>
    <w:lvl w:ilvl="5" w:tplc="40090005" w:tentative="1">
      <w:start w:val="1"/>
      <w:numFmt w:val="bullet"/>
      <w:lvlText w:val=""/>
      <w:lvlJc w:val="left"/>
      <w:pPr>
        <w:ind w:left="4376" w:hanging="360"/>
      </w:pPr>
      <w:rPr>
        <w:rFonts w:ascii="Wingdings" w:hAnsi="Wingdings" w:hint="default"/>
      </w:rPr>
    </w:lvl>
    <w:lvl w:ilvl="6" w:tplc="40090001" w:tentative="1">
      <w:start w:val="1"/>
      <w:numFmt w:val="bullet"/>
      <w:lvlText w:val=""/>
      <w:lvlJc w:val="left"/>
      <w:pPr>
        <w:ind w:left="5096" w:hanging="360"/>
      </w:pPr>
      <w:rPr>
        <w:rFonts w:ascii="Symbol" w:hAnsi="Symbol" w:hint="default"/>
      </w:rPr>
    </w:lvl>
    <w:lvl w:ilvl="7" w:tplc="40090003" w:tentative="1">
      <w:start w:val="1"/>
      <w:numFmt w:val="bullet"/>
      <w:lvlText w:val="o"/>
      <w:lvlJc w:val="left"/>
      <w:pPr>
        <w:ind w:left="5816" w:hanging="360"/>
      </w:pPr>
      <w:rPr>
        <w:rFonts w:ascii="Courier New" w:hAnsi="Courier New" w:cs="Courier New" w:hint="default"/>
      </w:rPr>
    </w:lvl>
    <w:lvl w:ilvl="8" w:tplc="40090005" w:tentative="1">
      <w:start w:val="1"/>
      <w:numFmt w:val="bullet"/>
      <w:lvlText w:val=""/>
      <w:lvlJc w:val="left"/>
      <w:pPr>
        <w:ind w:left="6536" w:hanging="360"/>
      </w:pPr>
      <w:rPr>
        <w:rFonts w:ascii="Wingdings" w:hAnsi="Wingdings" w:hint="default"/>
      </w:rPr>
    </w:lvl>
  </w:abstractNum>
  <w:abstractNum w:abstractNumId="4" w15:restartNumberingAfterBreak="0">
    <w:nsid w:val="399A0D87"/>
    <w:multiLevelType w:val="hybridMultilevel"/>
    <w:tmpl w:val="725EF4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BB01C4E"/>
    <w:multiLevelType w:val="hybridMultilevel"/>
    <w:tmpl w:val="3D344E4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4F9D6DE4"/>
    <w:multiLevelType w:val="hybridMultilevel"/>
    <w:tmpl w:val="037636C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362255C"/>
    <w:multiLevelType w:val="hybridMultilevel"/>
    <w:tmpl w:val="A34AD9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C8D65F1"/>
    <w:multiLevelType w:val="hybridMultilevel"/>
    <w:tmpl w:val="B2026B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A4117AC"/>
    <w:multiLevelType w:val="hybridMultilevel"/>
    <w:tmpl w:val="B2FC1D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ED12718"/>
    <w:multiLevelType w:val="hybridMultilevel"/>
    <w:tmpl w:val="027467D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734863B6"/>
    <w:multiLevelType w:val="hybridMultilevel"/>
    <w:tmpl w:val="01E2835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F2E5087"/>
    <w:multiLevelType w:val="hybridMultilevel"/>
    <w:tmpl w:val="26B44F4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725371359">
    <w:abstractNumId w:val="4"/>
  </w:num>
  <w:num w:numId="2" w16cid:durableId="632633173">
    <w:abstractNumId w:val="0"/>
  </w:num>
  <w:num w:numId="3" w16cid:durableId="1477454314">
    <w:abstractNumId w:val="9"/>
  </w:num>
  <w:num w:numId="4" w16cid:durableId="1635940488">
    <w:abstractNumId w:val="8"/>
  </w:num>
  <w:num w:numId="5" w16cid:durableId="1023240815">
    <w:abstractNumId w:val="7"/>
  </w:num>
  <w:num w:numId="6" w16cid:durableId="1211260050">
    <w:abstractNumId w:val="1"/>
  </w:num>
  <w:num w:numId="7" w16cid:durableId="1730491281">
    <w:abstractNumId w:val="11"/>
  </w:num>
  <w:num w:numId="8" w16cid:durableId="1748572258">
    <w:abstractNumId w:val="3"/>
  </w:num>
  <w:num w:numId="9" w16cid:durableId="2012021847">
    <w:abstractNumId w:val="5"/>
  </w:num>
  <w:num w:numId="10" w16cid:durableId="300429113">
    <w:abstractNumId w:val="10"/>
  </w:num>
  <w:num w:numId="11" w16cid:durableId="903831828">
    <w:abstractNumId w:val="6"/>
  </w:num>
  <w:num w:numId="12" w16cid:durableId="1894653298">
    <w:abstractNumId w:val="12"/>
  </w:num>
  <w:num w:numId="13" w16cid:durableId="1237932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0FD3"/>
    <w:rsid w:val="00080189"/>
    <w:rsid w:val="000D3111"/>
    <w:rsid w:val="000E5A62"/>
    <w:rsid w:val="0013192B"/>
    <w:rsid w:val="00134AAE"/>
    <w:rsid w:val="001646C9"/>
    <w:rsid w:val="001921BE"/>
    <w:rsid w:val="001B3403"/>
    <w:rsid w:val="001B3C74"/>
    <w:rsid w:val="001C480F"/>
    <w:rsid w:val="001E559C"/>
    <w:rsid w:val="0021578C"/>
    <w:rsid w:val="002814C9"/>
    <w:rsid w:val="002C216C"/>
    <w:rsid w:val="002C50F1"/>
    <w:rsid w:val="002C7B78"/>
    <w:rsid w:val="002C7E10"/>
    <w:rsid w:val="002F30B6"/>
    <w:rsid w:val="00312F1B"/>
    <w:rsid w:val="003325C5"/>
    <w:rsid w:val="0035740D"/>
    <w:rsid w:val="003B418A"/>
    <w:rsid w:val="004B2C05"/>
    <w:rsid w:val="004F25A6"/>
    <w:rsid w:val="004F714B"/>
    <w:rsid w:val="00505CD3"/>
    <w:rsid w:val="00540748"/>
    <w:rsid w:val="005A6E0D"/>
    <w:rsid w:val="005F47A5"/>
    <w:rsid w:val="00612361"/>
    <w:rsid w:val="006315BF"/>
    <w:rsid w:val="00655E42"/>
    <w:rsid w:val="006D69FE"/>
    <w:rsid w:val="006F0FD3"/>
    <w:rsid w:val="00710CE5"/>
    <w:rsid w:val="0071496D"/>
    <w:rsid w:val="00714B05"/>
    <w:rsid w:val="00795F87"/>
    <w:rsid w:val="007A6B56"/>
    <w:rsid w:val="007D14DA"/>
    <w:rsid w:val="007D174E"/>
    <w:rsid w:val="008355AC"/>
    <w:rsid w:val="008B5D44"/>
    <w:rsid w:val="008E1112"/>
    <w:rsid w:val="008F601C"/>
    <w:rsid w:val="009035E3"/>
    <w:rsid w:val="009207A9"/>
    <w:rsid w:val="009237AD"/>
    <w:rsid w:val="0093255B"/>
    <w:rsid w:val="00943D24"/>
    <w:rsid w:val="009871E2"/>
    <w:rsid w:val="009969C5"/>
    <w:rsid w:val="009C4D13"/>
    <w:rsid w:val="00A010BE"/>
    <w:rsid w:val="00A3402C"/>
    <w:rsid w:val="00A34074"/>
    <w:rsid w:val="00A75B1F"/>
    <w:rsid w:val="00AD5F99"/>
    <w:rsid w:val="00AF09DD"/>
    <w:rsid w:val="00B15F30"/>
    <w:rsid w:val="00B2637C"/>
    <w:rsid w:val="00B342A4"/>
    <w:rsid w:val="00B45DD6"/>
    <w:rsid w:val="00B53618"/>
    <w:rsid w:val="00B651EF"/>
    <w:rsid w:val="00B72600"/>
    <w:rsid w:val="00B74B8F"/>
    <w:rsid w:val="00B90790"/>
    <w:rsid w:val="00B949FC"/>
    <w:rsid w:val="00BD1614"/>
    <w:rsid w:val="00C04CD5"/>
    <w:rsid w:val="00C1357C"/>
    <w:rsid w:val="00C82C29"/>
    <w:rsid w:val="00CA6E24"/>
    <w:rsid w:val="00CD0454"/>
    <w:rsid w:val="00CD3E3A"/>
    <w:rsid w:val="00CD76DB"/>
    <w:rsid w:val="00CF2FA6"/>
    <w:rsid w:val="00D73905"/>
    <w:rsid w:val="00D96A90"/>
    <w:rsid w:val="00DD5D29"/>
    <w:rsid w:val="00DE4F05"/>
    <w:rsid w:val="00E47B55"/>
    <w:rsid w:val="00E66FFD"/>
    <w:rsid w:val="00E6781D"/>
    <w:rsid w:val="00EF38E5"/>
    <w:rsid w:val="00F04E84"/>
    <w:rsid w:val="00FB186E"/>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A3A6F"/>
  <w15:docId w15:val="{8E36A3C7-4F7D-4E6D-A733-8310053F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hitespace-pre-wrap">
    <w:name w:val="whitespace-pre-wrap"/>
    <w:basedOn w:val="DefaultParagraphFont"/>
    <w:rsid w:val="002814C9"/>
  </w:style>
  <w:style w:type="paragraph" w:styleId="NormalWeb">
    <w:name w:val="Normal (Web)"/>
    <w:basedOn w:val="Normal"/>
    <w:uiPriority w:val="99"/>
    <w:semiHidden/>
    <w:unhideWhenUsed/>
    <w:rsid w:val="002814C9"/>
    <w:pPr>
      <w:spacing w:before="100" w:beforeAutospacing="1" w:after="100" w:afterAutospacing="1" w:line="240" w:lineRule="auto"/>
    </w:pPr>
    <w:rPr>
      <w:rFonts w:ascii="Times New Roman" w:eastAsia="Times New Roman" w:hAnsi="Times New Roman" w:cs="Times New Roman"/>
      <w:sz w:val="24"/>
      <w:szCs w:val="24"/>
      <w:lang w:eastAsia="en-IN" w:bidi="mr-IN"/>
    </w:rPr>
  </w:style>
  <w:style w:type="paragraph" w:styleId="BalloonText">
    <w:name w:val="Balloon Text"/>
    <w:basedOn w:val="Normal"/>
    <w:link w:val="BalloonTextChar"/>
    <w:uiPriority w:val="99"/>
    <w:semiHidden/>
    <w:unhideWhenUsed/>
    <w:rsid w:val="007D14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4DA"/>
    <w:rPr>
      <w:rFonts w:ascii="Tahoma" w:hAnsi="Tahoma" w:cs="Tahoma"/>
      <w:sz w:val="16"/>
      <w:szCs w:val="16"/>
    </w:rPr>
  </w:style>
  <w:style w:type="paragraph" w:styleId="ListParagraph">
    <w:name w:val="List Paragraph"/>
    <w:basedOn w:val="Normal"/>
    <w:uiPriority w:val="34"/>
    <w:qFormat/>
    <w:rsid w:val="003325C5"/>
    <w:pPr>
      <w:ind w:left="720"/>
      <w:contextualSpacing/>
    </w:pPr>
  </w:style>
  <w:style w:type="paragraph" w:styleId="Header">
    <w:name w:val="header"/>
    <w:basedOn w:val="Normal"/>
    <w:link w:val="HeaderChar"/>
    <w:uiPriority w:val="99"/>
    <w:unhideWhenUsed/>
    <w:rsid w:val="001B34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403"/>
  </w:style>
  <w:style w:type="paragraph" w:styleId="Footer">
    <w:name w:val="footer"/>
    <w:basedOn w:val="Normal"/>
    <w:link w:val="FooterChar"/>
    <w:uiPriority w:val="99"/>
    <w:unhideWhenUsed/>
    <w:rsid w:val="001B34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403"/>
  </w:style>
  <w:style w:type="character" w:styleId="Hyperlink">
    <w:name w:val="Hyperlink"/>
    <w:basedOn w:val="DefaultParagraphFont"/>
    <w:uiPriority w:val="99"/>
    <w:unhideWhenUsed/>
    <w:rsid w:val="00B907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154250">
      <w:bodyDiv w:val="1"/>
      <w:marLeft w:val="0"/>
      <w:marRight w:val="0"/>
      <w:marTop w:val="0"/>
      <w:marBottom w:val="0"/>
      <w:divBdr>
        <w:top w:val="none" w:sz="0" w:space="0" w:color="auto"/>
        <w:left w:val="none" w:sz="0" w:space="0" w:color="auto"/>
        <w:bottom w:val="none" w:sz="0" w:space="0" w:color="auto"/>
        <w:right w:val="none" w:sz="0" w:space="0" w:color="auto"/>
      </w:divBdr>
      <w:divsChild>
        <w:div w:id="1106198663">
          <w:marLeft w:val="0"/>
          <w:marRight w:val="0"/>
          <w:marTop w:val="0"/>
          <w:marBottom w:val="300"/>
          <w:divBdr>
            <w:top w:val="none" w:sz="0" w:space="0" w:color="auto"/>
            <w:left w:val="none" w:sz="0" w:space="0" w:color="auto"/>
            <w:bottom w:val="none" w:sz="0" w:space="0" w:color="auto"/>
            <w:right w:val="none" w:sz="0" w:space="0" w:color="auto"/>
          </w:divBdr>
          <w:divsChild>
            <w:div w:id="1220019088">
              <w:marLeft w:val="0"/>
              <w:marRight w:val="0"/>
              <w:marTop w:val="0"/>
              <w:marBottom w:val="0"/>
              <w:divBdr>
                <w:top w:val="none" w:sz="0" w:space="0" w:color="auto"/>
                <w:left w:val="none" w:sz="0" w:space="0" w:color="auto"/>
                <w:bottom w:val="none" w:sz="0" w:space="0" w:color="auto"/>
                <w:right w:val="none" w:sz="0" w:space="0" w:color="auto"/>
              </w:divBdr>
              <w:divsChild>
                <w:div w:id="1141846778">
                  <w:marLeft w:val="0"/>
                  <w:marRight w:val="0"/>
                  <w:marTop w:val="0"/>
                  <w:marBottom w:val="0"/>
                  <w:divBdr>
                    <w:top w:val="none" w:sz="0" w:space="0" w:color="auto"/>
                    <w:left w:val="none" w:sz="0" w:space="0" w:color="auto"/>
                    <w:bottom w:val="none" w:sz="0" w:space="0" w:color="auto"/>
                    <w:right w:val="none" w:sz="0" w:space="0" w:color="auto"/>
                  </w:divBdr>
                  <w:divsChild>
                    <w:div w:id="716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69878">
          <w:marLeft w:val="0"/>
          <w:marRight w:val="0"/>
          <w:marTop w:val="0"/>
          <w:marBottom w:val="300"/>
          <w:divBdr>
            <w:top w:val="none" w:sz="0" w:space="0" w:color="auto"/>
            <w:left w:val="none" w:sz="0" w:space="0" w:color="auto"/>
            <w:bottom w:val="none" w:sz="0" w:space="0" w:color="auto"/>
            <w:right w:val="none" w:sz="0" w:space="0" w:color="auto"/>
          </w:divBdr>
          <w:divsChild>
            <w:div w:id="609554487">
              <w:marLeft w:val="0"/>
              <w:marRight w:val="0"/>
              <w:marTop w:val="0"/>
              <w:marBottom w:val="60"/>
              <w:divBdr>
                <w:top w:val="none" w:sz="0" w:space="0" w:color="auto"/>
                <w:left w:val="none" w:sz="0" w:space="0" w:color="auto"/>
                <w:bottom w:val="none" w:sz="0" w:space="0" w:color="auto"/>
                <w:right w:val="none" w:sz="0" w:space="0" w:color="auto"/>
              </w:divBdr>
              <w:divsChild>
                <w:div w:id="539709276">
                  <w:marLeft w:val="0"/>
                  <w:marRight w:val="0"/>
                  <w:marTop w:val="0"/>
                  <w:marBottom w:val="0"/>
                  <w:divBdr>
                    <w:top w:val="none" w:sz="0" w:space="0" w:color="auto"/>
                    <w:left w:val="none" w:sz="0" w:space="0" w:color="auto"/>
                    <w:bottom w:val="none" w:sz="0" w:space="0" w:color="auto"/>
                    <w:right w:val="none" w:sz="0" w:space="0" w:color="auto"/>
                  </w:divBdr>
                </w:div>
              </w:divsChild>
            </w:div>
            <w:div w:id="1744444543">
              <w:marLeft w:val="0"/>
              <w:marRight w:val="0"/>
              <w:marTop w:val="0"/>
              <w:marBottom w:val="0"/>
              <w:divBdr>
                <w:top w:val="none" w:sz="0" w:space="0" w:color="auto"/>
                <w:left w:val="none" w:sz="0" w:space="0" w:color="auto"/>
                <w:bottom w:val="none" w:sz="0" w:space="0" w:color="auto"/>
                <w:right w:val="none" w:sz="0" w:space="0" w:color="auto"/>
              </w:divBdr>
              <w:divsChild>
                <w:div w:id="87585225">
                  <w:marLeft w:val="0"/>
                  <w:marRight w:val="0"/>
                  <w:marTop w:val="0"/>
                  <w:marBottom w:val="0"/>
                  <w:divBdr>
                    <w:top w:val="none" w:sz="0" w:space="0" w:color="auto"/>
                    <w:left w:val="none" w:sz="0" w:space="0" w:color="auto"/>
                    <w:bottom w:val="none" w:sz="0" w:space="0" w:color="auto"/>
                    <w:right w:val="none" w:sz="0" w:space="0" w:color="auto"/>
                  </w:divBdr>
                  <w:divsChild>
                    <w:div w:id="1399938121">
                      <w:marLeft w:val="0"/>
                      <w:marRight w:val="0"/>
                      <w:marTop w:val="0"/>
                      <w:marBottom w:val="0"/>
                      <w:divBdr>
                        <w:top w:val="none" w:sz="0" w:space="0" w:color="auto"/>
                        <w:left w:val="none" w:sz="0" w:space="0" w:color="auto"/>
                        <w:bottom w:val="none" w:sz="0" w:space="0" w:color="auto"/>
                        <w:right w:val="none" w:sz="0" w:space="0" w:color="auto"/>
                      </w:divBdr>
                      <w:divsChild>
                        <w:div w:id="496309615">
                          <w:marLeft w:val="0"/>
                          <w:marRight w:val="0"/>
                          <w:marTop w:val="0"/>
                          <w:marBottom w:val="0"/>
                          <w:divBdr>
                            <w:top w:val="none" w:sz="0" w:space="0" w:color="auto"/>
                            <w:left w:val="none" w:sz="0" w:space="0" w:color="auto"/>
                            <w:bottom w:val="none" w:sz="0" w:space="0" w:color="auto"/>
                            <w:right w:val="none" w:sz="0" w:space="0" w:color="auto"/>
                          </w:divBdr>
                          <w:divsChild>
                            <w:div w:id="2886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h.org/fileadmin/Public_Web_Site/ICH_Prod%20ucts/CTD/M4_R3_Organisation/M4_QAs.pdf" TargetMode="Externa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1651</Words>
  <Characters>9412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Sudip Pansare</dc:creator>
  <cp:lastModifiedBy>sakshihase001@gmail.com</cp:lastModifiedBy>
  <cp:revision>2</cp:revision>
  <dcterms:created xsi:type="dcterms:W3CDTF">2025-01-10T08:09:00Z</dcterms:created>
  <dcterms:modified xsi:type="dcterms:W3CDTF">2025-01-10T08:09:00Z</dcterms:modified>
</cp:coreProperties>
</file>