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DFCED" w14:textId="6E5F38E8" w:rsidR="00F44C71" w:rsidRPr="008B3005" w:rsidRDefault="00F03B5C" w:rsidP="008B3005">
      <w:pPr>
        <w:pStyle w:val="Heading1"/>
        <w:jc w:val="center"/>
        <w:rPr>
          <w:rFonts w:ascii="Times New Roman" w:hAnsi="Times New Roman" w:cs="Times New Roman"/>
          <w:sz w:val="48"/>
          <w:szCs w:val="48"/>
          <w:lang w:bidi="mr-IN"/>
        </w:rPr>
      </w:pPr>
      <w:r w:rsidRPr="008B3005">
        <w:rPr>
          <w:rFonts w:ascii="Times New Roman" w:hAnsi="Times New Roman" w:cs="Times New Roman"/>
          <w:b w:val="0"/>
          <w:bCs w:val="0"/>
        </w:rPr>
        <w:t>"</w:t>
      </w:r>
      <w:r w:rsidR="00C15B85" w:rsidRPr="00C15B85">
        <w:rPr>
          <w:rStyle w:val="Strong"/>
          <w:rFonts w:ascii="Times New Roman" w:hAnsi="Times New Roman" w:cs="Times New Roman"/>
          <w:b/>
          <w:bCs/>
        </w:rPr>
        <w:t xml:space="preserve"> Exploring the Therapeutic Potential of Medicinal Plants: Bioactive Compounds, Mechanisms, and Applications</w:t>
      </w:r>
      <w:r w:rsidRPr="008B3005">
        <w:rPr>
          <w:rFonts w:ascii="Times New Roman" w:hAnsi="Times New Roman" w:cs="Times New Roman"/>
          <w:b w:val="0"/>
          <w:bCs w:val="0"/>
        </w:rPr>
        <w:t>"</w:t>
      </w:r>
    </w:p>
    <w:p w14:paraId="15CCB497" w14:textId="77777777" w:rsidR="00F03B5C" w:rsidRPr="00EA376F" w:rsidRDefault="00F03B5C" w:rsidP="00F03B5C">
      <w:pPr>
        <w:spacing w:line="276" w:lineRule="auto"/>
        <w:jc w:val="center"/>
        <w:rPr>
          <w:rFonts w:ascii="Times New Roman" w:hAnsi="Times New Roman" w:cs="Times New Roman"/>
          <w:b/>
          <w:iCs/>
        </w:rPr>
      </w:pPr>
      <w:proofErr w:type="spellStart"/>
      <w:r>
        <w:rPr>
          <w:rFonts w:ascii="Times New Roman" w:hAnsi="Times New Roman" w:cs="Times New Roman"/>
          <w:b/>
          <w:iCs/>
        </w:rPr>
        <w:t>Shinde</w:t>
      </w:r>
      <w:proofErr w:type="spellEnd"/>
      <w:r>
        <w:rPr>
          <w:rFonts w:ascii="Times New Roman" w:hAnsi="Times New Roman" w:cs="Times New Roman"/>
          <w:b/>
          <w:iCs/>
        </w:rPr>
        <w:t xml:space="preserve"> </w:t>
      </w:r>
      <w:proofErr w:type="spellStart"/>
      <w:r>
        <w:rPr>
          <w:rFonts w:ascii="Times New Roman" w:hAnsi="Times New Roman" w:cs="Times New Roman"/>
          <w:b/>
          <w:iCs/>
        </w:rPr>
        <w:t>Jayshri</w:t>
      </w:r>
      <w:proofErr w:type="spellEnd"/>
      <w:r>
        <w:rPr>
          <w:rFonts w:ascii="Times New Roman" w:hAnsi="Times New Roman" w:cs="Times New Roman"/>
          <w:b/>
          <w:iCs/>
        </w:rPr>
        <w:t xml:space="preserve"> Uttamrao</w:t>
      </w:r>
      <w:r w:rsidRPr="00F03B5C">
        <w:rPr>
          <w:rFonts w:ascii="Times New Roman" w:hAnsi="Times New Roman" w:cs="Times New Roman"/>
          <w:b/>
          <w:iCs/>
          <w:vertAlign w:val="superscript"/>
        </w:rPr>
        <w:t>1</w:t>
      </w:r>
    </w:p>
    <w:p w14:paraId="6938C9F0" w14:textId="77777777" w:rsidR="00F03B5C" w:rsidRPr="00EA376F" w:rsidRDefault="00F03B5C" w:rsidP="00F03B5C">
      <w:pPr>
        <w:spacing w:line="276" w:lineRule="auto"/>
        <w:jc w:val="center"/>
        <w:rPr>
          <w:rFonts w:ascii="Times New Roman" w:hAnsi="Times New Roman" w:cs="Times New Roman"/>
          <w:bCs/>
        </w:rPr>
      </w:pPr>
      <w:r w:rsidRPr="00EA376F">
        <w:rPr>
          <w:rFonts w:ascii="Times New Roman" w:hAnsi="Times New Roman" w:cs="Times New Roman"/>
          <w:bCs/>
          <w:vertAlign w:val="superscript"/>
        </w:rPr>
        <w:t>1</w:t>
      </w:r>
      <w:r w:rsidRPr="00EA376F">
        <w:rPr>
          <w:rFonts w:ascii="Times New Roman" w:hAnsi="Times New Roman" w:cs="Times New Roman"/>
          <w:bCs/>
        </w:rPr>
        <w:t xml:space="preserve">Department of </w:t>
      </w:r>
      <w:r>
        <w:rPr>
          <w:rFonts w:ascii="Times New Roman" w:hAnsi="Times New Roman" w:cs="Times New Roman"/>
          <w:bCs/>
        </w:rPr>
        <w:t>Botany</w:t>
      </w:r>
      <w:r w:rsidRPr="00EA376F">
        <w:rPr>
          <w:rFonts w:ascii="Times New Roman" w:hAnsi="Times New Roman" w:cs="Times New Roman"/>
          <w:bCs/>
        </w:rPr>
        <w:t xml:space="preserve">, </w:t>
      </w:r>
      <w:proofErr w:type="spellStart"/>
      <w:r w:rsidRPr="00EA376F">
        <w:rPr>
          <w:rFonts w:ascii="Times New Roman" w:hAnsi="Times New Roman" w:cs="Times New Roman"/>
          <w:bCs/>
        </w:rPr>
        <w:t>Shivneri</w:t>
      </w:r>
      <w:proofErr w:type="spellEnd"/>
      <w:r w:rsidRPr="00EA376F">
        <w:rPr>
          <w:rFonts w:ascii="Times New Roman" w:hAnsi="Times New Roman" w:cs="Times New Roman"/>
          <w:bCs/>
        </w:rPr>
        <w:t xml:space="preserve"> </w:t>
      </w:r>
      <w:proofErr w:type="spellStart"/>
      <w:r w:rsidRPr="00EA376F">
        <w:rPr>
          <w:rFonts w:ascii="Times New Roman" w:hAnsi="Times New Roman" w:cs="Times New Roman"/>
          <w:bCs/>
        </w:rPr>
        <w:t>Mahavidyalaya</w:t>
      </w:r>
      <w:proofErr w:type="spellEnd"/>
      <w:r w:rsidRPr="00EA376F">
        <w:rPr>
          <w:rFonts w:ascii="Times New Roman" w:hAnsi="Times New Roman" w:cs="Times New Roman"/>
          <w:bCs/>
        </w:rPr>
        <w:t xml:space="preserve"> </w:t>
      </w:r>
      <w:proofErr w:type="spellStart"/>
      <w:r w:rsidRPr="00EA376F">
        <w:rPr>
          <w:rFonts w:ascii="Times New Roman" w:hAnsi="Times New Roman" w:cs="Times New Roman"/>
          <w:bCs/>
        </w:rPr>
        <w:t>Shirur</w:t>
      </w:r>
      <w:proofErr w:type="spellEnd"/>
      <w:r w:rsidRPr="00EA376F">
        <w:rPr>
          <w:rFonts w:ascii="Times New Roman" w:hAnsi="Times New Roman" w:cs="Times New Roman"/>
          <w:bCs/>
        </w:rPr>
        <w:t xml:space="preserve"> </w:t>
      </w:r>
      <w:proofErr w:type="spellStart"/>
      <w:r w:rsidRPr="00EA376F">
        <w:rPr>
          <w:rFonts w:ascii="Times New Roman" w:hAnsi="Times New Roman" w:cs="Times New Roman"/>
          <w:bCs/>
        </w:rPr>
        <w:t>Anantpal</w:t>
      </w:r>
      <w:proofErr w:type="spellEnd"/>
      <w:r w:rsidRPr="00EA376F">
        <w:rPr>
          <w:rFonts w:ascii="Times New Roman" w:hAnsi="Times New Roman" w:cs="Times New Roman"/>
          <w:bCs/>
        </w:rPr>
        <w:t xml:space="preserve"> </w:t>
      </w:r>
      <w:proofErr w:type="spellStart"/>
      <w:r w:rsidRPr="00EA376F">
        <w:rPr>
          <w:rFonts w:ascii="Times New Roman" w:hAnsi="Times New Roman" w:cs="Times New Roman"/>
          <w:bCs/>
        </w:rPr>
        <w:t>Latur</w:t>
      </w:r>
      <w:proofErr w:type="spellEnd"/>
      <w:r w:rsidRPr="00EA376F">
        <w:rPr>
          <w:rFonts w:ascii="Times New Roman" w:hAnsi="Times New Roman" w:cs="Times New Roman"/>
          <w:bCs/>
        </w:rPr>
        <w:t xml:space="preserve">, Maharashtra </w:t>
      </w:r>
      <w:r w:rsidRPr="00EA376F">
        <w:rPr>
          <w:rFonts w:ascii="Times New Roman" w:hAnsi="Times New Roman" w:cs="Times New Roman"/>
          <w:bCs/>
          <w:lang w:val="en-IN"/>
        </w:rPr>
        <w:t>413544</w:t>
      </w:r>
      <w:r w:rsidRPr="00EA376F">
        <w:rPr>
          <w:rFonts w:ascii="Times New Roman" w:hAnsi="Times New Roman" w:cs="Times New Roman"/>
          <w:bCs/>
        </w:rPr>
        <w:t xml:space="preserve"> INDIA</w:t>
      </w:r>
    </w:p>
    <w:p w14:paraId="42A7E829" w14:textId="396CD298" w:rsidR="008B3005" w:rsidRPr="008B3005" w:rsidRDefault="008B3005" w:rsidP="008B3005">
      <w:pPr>
        <w:pStyle w:val="Heading2"/>
        <w:spacing w:line="360" w:lineRule="auto"/>
        <w:jc w:val="both"/>
        <w:rPr>
          <w:rFonts w:ascii="Times New Roman" w:hAnsi="Times New Roman" w:cs="Times New Roman"/>
          <w:b w:val="0"/>
          <w:bCs w:val="0"/>
          <w:i w:val="0"/>
          <w:iCs w:val="0"/>
          <w:sz w:val="24"/>
          <w:szCs w:val="24"/>
        </w:rPr>
      </w:pPr>
      <w:r w:rsidRPr="008B3005">
        <w:rPr>
          <w:rStyle w:val="Strong"/>
          <w:rFonts w:ascii="Times New Roman" w:hAnsi="Times New Roman" w:cs="Times New Roman"/>
          <w:b/>
          <w:bCs/>
          <w:i w:val="0"/>
          <w:iCs w:val="0"/>
          <w:sz w:val="24"/>
          <w:szCs w:val="24"/>
        </w:rPr>
        <w:t>Abstract</w:t>
      </w:r>
    </w:p>
    <w:p w14:paraId="3E823CEB" w14:textId="77777777" w:rsidR="008B3005" w:rsidRPr="008B3005" w:rsidRDefault="008B3005" w:rsidP="008B3005">
      <w:pPr>
        <w:pStyle w:val="NormalWeb"/>
        <w:spacing w:line="360" w:lineRule="auto"/>
        <w:jc w:val="both"/>
      </w:pPr>
      <w:r w:rsidRPr="008B3005">
        <w:t>Plants have long been recognized for their medicinal properties, playing a crucial role in traditional and modern healthcare systems. The study of plant medical biology integrates botany, pharmacology, and biotechnology to explore the therapeutic potential of various plant species. This chapter discusses the bioactive compounds found in medicinal plants, their mechanisms of action, and their applications in disease treatment. The chapter also highlights experimental methodologies for evaluating plant-derived compounds and their pharmacological effects. The potential of plant-based medicine in addressing contemporary health challenges is also considered.</w:t>
      </w:r>
    </w:p>
    <w:p w14:paraId="2567DCEA" w14:textId="77777777" w:rsidR="008B3005" w:rsidRPr="008B3005" w:rsidRDefault="008B3005" w:rsidP="008B3005">
      <w:pPr>
        <w:pStyle w:val="Heading2"/>
        <w:numPr>
          <w:ilvl w:val="0"/>
          <w:numId w:val="4"/>
        </w:numPr>
        <w:spacing w:line="360" w:lineRule="auto"/>
        <w:jc w:val="both"/>
        <w:rPr>
          <w:rFonts w:ascii="Times New Roman" w:hAnsi="Times New Roman" w:cs="Times New Roman"/>
          <w:b w:val="0"/>
          <w:bCs w:val="0"/>
          <w:i w:val="0"/>
          <w:iCs w:val="0"/>
        </w:rPr>
      </w:pPr>
      <w:r w:rsidRPr="008B3005">
        <w:rPr>
          <w:rStyle w:val="Strong"/>
          <w:rFonts w:ascii="Times New Roman" w:hAnsi="Times New Roman" w:cs="Times New Roman"/>
          <w:b/>
          <w:bCs/>
          <w:i w:val="0"/>
          <w:iCs w:val="0"/>
        </w:rPr>
        <w:t>Introduction</w:t>
      </w:r>
    </w:p>
    <w:p w14:paraId="1C92B2CF" w14:textId="77777777" w:rsidR="008B3005" w:rsidRPr="008B3005" w:rsidRDefault="008B3005" w:rsidP="008B3005">
      <w:pPr>
        <w:pStyle w:val="NormalWeb"/>
        <w:spacing w:line="360" w:lineRule="auto"/>
        <w:jc w:val="both"/>
      </w:pPr>
      <w:r w:rsidRPr="008B3005">
        <w:t xml:space="preserve">Medicinal plants have been used in traditional medicine for centuries and continue to be a fundamental source of novel therapeutic agents. The increasing interest in plant-based medicine is driven by the need for safer, natural alternatives to synthetic drugs and the growing incidence of antibiotic resistance. Phytochemicals such as alkaloids, flavonoids, </w:t>
      </w:r>
      <w:proofErr w:type="spellStart"/>
      <w:r w:rsidRPr="008B3005">
        <w:t>terpenoids</w:t>
      </w:r>
      <w:proofErr w:type="spellEnd"/>
      <w:r w:rsidRPr="008B3005">
        <w:t>, and phenolic compounds contribute to the medicinal properties of plants, exhibiting antimicrobial, anti-inflammatory, antioxidant, and anticancer activities [1]. The field of plant medical biology seeks to understand the molecular mechanisms of these compounds and their applications in modern medicine.</w:t>
      </w:r>
    </w:p>
    <w:p w14:paraId="42E272B6" w14:textId="77777777" w:rsidR="008B3005" w:rsidRPr="008B3005" w:rsidRDefault="008B3005" w:rsidP="008B3005">
      <w:pPr>
        <w:pStyle w:val="Heading2"/>
        <w:numPr>
          <w:ilvl w:val="0"/>
          <w:numId w:val="4"/>
        </w:numPr>
        <w:spacing w:line="360" w:lineRule="auto"/>
        <w:jc w:val="both"/>
        <w:rPr>
          <w:rFonts w:ascii="Times New Roman" w:hAnsi="Times New Roman" w:cs="Times New Roman"/>
          <w:b w:val="0"/>
          <w:bCs w:val="0"/>
          <w:i w:val="0"/>
          <w:iCs w:val="0"/>
        </w:rPr>
      </w:pPr>
      <w:r w:rsidRPr="008B3005">
        <w:rPr>
          <w:rStyle w:val="Strong"/>
          <w:rFonts w:ascii="Times New Roman" w:hAnsi="Times New Roman" w:cs="Times New Roman"/>
          <w:b/>
          <w:bCs/>
          <w:i w:val="0"/>
          <w:iCs w:val="0"/>
        </w:rPr>
        <w:t>Materials and Methods</w:t>
      </w:r>
    </w:p>
    <w:p w14:paraId="04577CD9"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Plant Collection and Identification</w:t>
      </w:r>
    </w:p>
    <w:p w14:paraId="34125C5F" w14:textId="5616FCCA" w:rsidR="008B3005" w:rsidRPr="008B3005" w:rsidRDefault="008B3005" w:rsidP="008B3005">
      <w:pPr>
        <w:pStyle w:val="NormalWeb"/>
        <w:spacing w:line="360" w:lineRule="auto"/>
        <w:jc w:val="both"/>
      </w:pPr>
      <w:r w:rsidRPr="008B3005">
        <w:t>Medicinal plants were collected from various ecological zones and authenticated by a botanist. Herbarium specimens were deposited for future reference.</w:t>
      </w:r>
    </w:p>
    <w:p w14:paraId="3F6E81E7"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Extraction of Bioactive Compounds</w:t>
      </w:r>
    </w:p>
    <w:p w14:paraId="0D7A4926" w14:textId="77777777" w:rsidR="008B3005" w:rsidRPr="008B3005" w:rsidRDefault="008B3005" w:rsidP="008B3005">
      <w:pPr>
        <w:pStyle w:val="NormalWeb"/>
        <w:spacing w:line="360" w:lineRule="auto"/>
        <w:jc w:val="both"/>
      </w:pPr>
      <w:r w:rsidRPr="008B3005">
        <w:t>Plant materials were washed, dried, and ground into a fine powder. Solvent extraction was performed using ethanol, methanol, and water to obtain bioactive fractions. The extracts were concentrated using a rotary evaporator [2].</w:t>
      </w:r>
    </w:p>
    <w:p w14:paraId="2754DC32"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Phytochemical Screening</w:t>
      </w:r>
    </w:p>
    <w:p w14:paraId="7D903623" w14:textId="77777777" w:rsidR="008B3005" w:rsidRPr="008B3005" w:rsidRDefault="008B3005" w:rsidP="008B3005">
      <w:pPr>
        <w:pStyle w:val="NormalWeb"/>
        <w:spacing w:line="360" w:lineRule="auto"/>
        <w:jc w:val="both"/>
      </w:pPr>
      <w:r w:rsidRPr="008B3005">
        <w:t xml:space="preserve">Standard qualitative tests were conducted to identify the presence of alkaloids, flavonoids, tannins, </w:t>
      </w:r>
      <w:proofErr w:type="spellStart"/>
      <w:r w:rsidRPr="008B3005">
        <w:t>terpenoids</w:t>
      </w:r>
      <w:proofErr w:type="spellEnd"/>
      <w:r w:rsidRPr="008B3005">
        <w:t xml:space="preserve">, and </w:t>
      </w:r>
      <w:proofErr w:type="spellStart"/>
      <w:r w:rsidRPr="008B3005">
        <w:t>saponins</w:t>
      </w:r>
      <w:proofErr w:type="spellEnd"/>
      <w:r w:rsidRPr="008B3005">
        <w:t xml:space="preserve"> [3].</w:t>
      </w:r>
    </w:p>
    <w:p w14:paraId="2079E3F6"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Antimicrobial Activity</w:t>
      </w:r>
    </w:p>
    <w:p w14:paraId="7F2B28F5" w14:textId="77777777" w:rsidR="008B3005" w:rsidRPr="008B3005" w:rsidRDefault="008B3005" w:rsidP="008B3005">
      <w:pPr>
        <w:pStyle w:val="NormalWeb"/>
        <w:spacing w:line="360" w:lineRule="auto"/>
        <w:jc w:val="both"/>
      </w:pPr>
      <w:r w:rsidRPr="008B3005">
        <w:t>Antimicrobial assays were performed using the agar well diffusion method against bacterial and fungal pathogens. Zones of inhibition were measured to determine the effectiveness of plant extracts [4].</w:t>
      </w:r>
    </w:p>
    <w:p w14:paraId="35CF41FB"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Antioxidant Assay</w:t>
      </w:r>
    </w:p>
    <w:p w14:paraId="6B230123" w14:textId="77777777" w:rsidR="008B3005" w:rsidRPr="008B3005" w:rsidRDefault="008B3005" w:rsidP="008B3005">
      <w:pPr>
        <w:pStyle w:val="NormalWeb"/>
        <w:spacing w:line="360" w:lineRule="auto"/>
        <w:jc w:val="both"/>
      </w:pPr>
      <w:r w:rsidRPr="008B3005">
        <w:t>The DPPH (2,2-diphenyl-1-picrylhydrazyl) radical scavenging assay was used to evaluate the antioxidant potential of plant extracts [5].</w:t>
      </w:r>
    </w:p>
    <w:p w14:paraId="38EF9C71" w14:textId="77777777" w:rsidR="008B3005" w:rsidRPr="008B3005" w:rsidRDefault="008B3005" w:rsidP="008B3005">
      <w:pPr>
        <w:pStyle w:val="Heading2"/>
        <w:numPr>
          <w:ilvl w:val="0"/>
          <w:numId w:val="4"/>
        </w:numPr>
        <w:spacing w:line="360" w:lineRule="auto"/>
        <w:jc w:val="both"/>
        <w:rPr>
          <w:rFonts w:ascii="Times New Roman" w:hAnsi="Times New Roman" w:cs="Times New Roman"/>
          <w:sz w:val="24"/>
          <w:szCs w:val="24"/>
        </w:rPr>
      </w:pPr>
      <w:r w:rsidRPr="008B3005">
        <w:rPr>
          <w:rStyle w:val="Strong"/>
          <w:rFonts w:ascii="Times New Roman" w:hAnsi="Times New Roman" w:cs="Times New Roman"/>
          <w:b/>
          <w:bCs/>
          <w:sz w:val="24"/>
          <w:szCs w:val="24"/>
        </w:rPr>
        <w:t>Results and Discussion</w:t>
      </w:r>
    </w:p>
    <w:p w14:paraId="5B517723"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Phytochemical Composition</w:t>
      </w:r>
    </w:p>
    <w:p w14:paraId="5F545C9E" w14:textId="77777777" w:rsidR="008B3005" w:rsidRPr="008B3005" w:rsidRDefault="008B3005" w:rsidP="008B3005">
      <w:pPr>
        <w:pStyle w:val="NormalWeb"/>
        <w:spacing w:line="360" w:lineRule="auto"/>
        <w:jc w:val="both"/>
      </w:pPr>
      <w:r w:rsidRPr="008B3005">
        <w:t>Phytochemical screening confirmed the presence of various bioactive compounds, with significant concentrations of flavonoids and alkaloids in selected plant species. These compounds are known for their therapeutic effects, including antimicrobial and anti-inflammatory properties [6].</w:t>
      </w:r>
    </w:p>
    <w:p w14:paraId="4272109C"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Antimicrobial Activity</w:t>
      </w:r>
    </w:p>
    <w:p w14:paraId="2CF40A23" w14:textId="77777777" w:rsidR="008B3005" w:rsidRPr="008B3005" w:rsidRDefault="008B3005" w:rsidP="008B3005">
      <w:pPr>
        <w:pStyle w:val="NormalWeb"/>
        <w:spacing w:line="360" w:lineRule="auto"/>
        <w:jc w:val="both"/>
      </w:pPr>
      <w:r w:rsidRPr="008B3005">
        <w:t xml:space="preserve">Plant extracts demonstrated varying degrees of antimicrobial activity. </w:t>
      </w:r>
      <w:proofErr w:type="spellStart"/>
      <w:r w:rsidRPr="008B3005">
        <w:t>Ethanolic</w:t>
      </w:r>
      <w:proofErr w:type="spellEnd"/>
      <w:r w:rsidRPr="008B3005">
        <w:t xml:space="preserve"> extracts exhibited the highest inhibition zones against </w:t>
      </w:r>
      <w:r w:rsidRPr="008B3005">
        <w:rPr>
          <w:rStyle w:val="Emphasis"/>
        </w:rPr>
        <w:t>Staphylococcus aureus</w:t>
      </w:r>
      <w:r w:rsidRPr="008B3005">
        <w:t xml:space="preserve"> and </w:t>
      </w:r>
      <w:r w:rsidRPr="008B3005">
        <w:rPr>
          <w:rStyle w:val="Emphasis"/>
        </w:rPr>
        <w:t>Escherichia coli</w:t>
      </w:r>
      <w:r w:rsidRPr="008B3005">
        <w:t>, indicating their potential for use as natural antibiotics [7].</w:t>
      </w:r>
    </w:p>
    <w:p w14:paraId="2935B5E9"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Antioxidant Potential</w:t>
      </w:r>
    </w:p>
    <w:p w14:paraId="0C907348" w14:textId="77777777" w:rsidR="008B3005" w:rsidRPr="008B3005" w:rsidRDefault="008B3005" w:rsidP="008B3005">
      <w:pPr>
        <w:pStyle w:val="NormalWeb"/>
        <w:spacing w:line="360" w:lineRule="auto"/>
        <w:jc w:val="both"/>
      </w:pPr>
      <w:r w:rsidRPr="008B3005">
        <w:t>The DPPH assay results showed that plant extracts possessed strong antioxidant activity, with inhibition percentages comparable to standard antioxidants like ascorbic acid. The high antioxidant content suggests their role in preventing oxidative stress-related diseases [8].</w:t>
      </w:r>
    </w:p>
    <w:p w14:paraId="1CA33726" w14:textId="77777777" w:rsidR="008B3005" w:rsidRPr="008B3005" w:rsidRDefault="008B3005" w:rsidP="008B3005">
      <w:pPr>
        <w:pStyle w:val="Heading3"/>
        <w:numPr>
          <w:ilvl w:val="1"/>
          <w:numId w:val="4"/>
        </w:numPr>
        <w:spacing w:line="360" w:lineRule="auto"/>
        <w:jc w:val="both"/>
        <w:rPr>
          <w:sz w:val="24"/>
          <w:szCs w:val="24"/>
        </w:rPr>
      </w:pPr>
      <w:r w:rsidRPr="008B3005">
        <w:rPr>
          <w:rStyle w:val="Strong"/>
          <w:b/>
          <w:bCs/>
          <w:sz w:val="24"/>
          <w:szCs w:val="24"/>
        </w:rPr>
        <w:t>Pharmacological Implications</w:t>
      </w:r>
    </w:p>
    <w:p w14:paraId="3C8763CD" w14:textId="77777777" w:rsidR="008B3005" w:rsidRPr="008B3005" w:rsidRDefault="008B3005" w:rsidP="008B3005">
      <w:pPr>
        <w:pStyle w:val="NormalWeb"/>
        <w:spacing w:line="360" w:lineRule="auto"/>
        <w:jc w:val="both"/>
      </w:pPr>
      <w:r w:rsidRPr="008B3005">
        <w:t>The observed antimicrobial and antioxidant properties support the potential use of these plant extracts in treating infections and degenerative diseases. Future studies should focus on isolating specific bioactive compounds and conducting clinical trials to validate their efficacy and safety.</w:t>
      </w:r>
    </w:p>
    <w:p w14:paraId="310C95C0" w14:textId="77777777" w:rsidR="008B3005" w:rsidRPr="008B3005" w:rsidRDefault="008B3005" w:rsidP="008B3005">
      <w:pPr>
        <w:pStyle w:val="Heading2"/>
        <w:spacing w:line="360" w:lineRule="auto"/>
        <w:jc w:val="both"/>
        <w:rPr>
          <w:rFonts w:ascii="Times New Roman" w:hAnsi="Times New Roman" w:cs="Times New Roman"/>
          <w:i w:val="0"/>
          <w:iCs w:val="0"/>
        </w:rPr>
      </w:pPr>
      <w:r w:rsidRPr="008B3005">
        <w:rPr>
          <w:rStyle w:val="Strong"/>
          <w:rFonts w:ascii="Times New Roman" w:hAnsi="Times New Roman" w:cs="Times New Roman"/>
          <w:b/>
          <w:bCs/>
          <w:i w:val="0"/>
          <w:iCs w:val="0"/>
        </w:rPr>
        <w:t>Conclusion</w:t>
      </w:r>
    </w:p>
    <w:p w14:paraId="4AD9BE44" w14:textId="77777777" w:rsidR="008B3005" w:rsidRPr="008B3005" w:rsidRDefault="008B3005" w:rsidP="008B3005">
      <w:pPr>
        <w:pStyle w:val="NormalWeb"/>
        <w:spacing w:line="360" w:lineRule="auto"/>
        <w:jc w:val="both"/>
      </w:pPr>
      <w:r w:rsidRPr="008B3005">
        <w:t>Plant medical biology provides a scientific foundation for understanding the medicinal properties of plants. The results indicate that plant extracts possess potent antimicrobial and antioxidant properties, supporting their use in alternative medicine. The continued exploration of plant-based compounds may lead to novel drug discoveries that address modern health challenges. Future research should aim to identify active constituents, optimize extraction techniques, and conduct preclinical and clinical studies to enhance their applicability in modern medicine.</w:t>
      </w:r>
    </w:p>
    <w:p w14:paraId="1E65168A" w14:textId="77777777" w:rsidR="008B3005" w:rsidRPr="008B3005" w:rsidRDefault="008B3005" w:rsidP="008B3005">
      <w:pPr>
        <w:pStyle w:val="Heading2"/>
        <w:spacing w:line="360" w:lineRule="auto"/>
        <w:jc w:val="both"/>
        <w:rPr>
          <w:rFonts w:ascii="Times New Roman" w:hAnsi="Times New Roman" w:cs="Times New Roman"/>
          <w:sz w:val="24"/>
          <w:szCs w:val="24"/>
        </w:rPr>
      </w:pPr>
      <w:r w:rsidRPr="008B3005">
        <w:rPr>
          <w:rStyle w:val="Strong"/>
          <w:rFonts w:ascii="Times New Roman" w:hAnsi="Times New Roman" w:cs="Times New Roman"/>
          <w:b/>
          <w:bCs/>
          <w:sz w:val="24"/>
          <w:szCs w:val="24"/>
        </w:rPr>
        <w:t>References</w:t>
      </w:r>
    </w:p>
    <w:p w14:paraId="271E6BD3" w14:textId="77777777" w:rsidR="008B3005" w:rsidRPr="008B3005" w:rsidRDefault="008B3005" w:rsidP="008B3005">
      <w:pPr>
        <w:pStyle w:val="NormalWeb"/>
        <w:numPr>
          <w:ilvl w:val="0"/>
          <w:numId w:val="3"/>
        </w:numPr>
        <w:spacing w:line="360" w:lineRule="auto"/>
        <w:jc w:val="both"/>
      </w:pPr>
      <w:r w:rsidRPr="008B3005">
        <w:t xml:space="preserve">Newman DJ, </w:t>
      </w:r>
      <w:proofErr w:type="spellStart"/>
      <w:r w:rsidRPr="008B3005">
        <w:t>Cragg</w:t>
      </w:r>
      <w:proofErr w:type="spellEnd"/>
      <w:r w:rsidRPr="008B3005">
        <w:t xml:space="preserve"> GM, </w:t>
      </w:r>
      <w:proofErr w:type="spellStart"/>
      <w:r w:rsidRPr="008B3005">
        <w:t>Snader</w:t>
      </w:r>
      <w:proofErr w:type="spellEnd"/>
      <w:r w:rsidRPr="008B3005">
        <w:t xml:space="preserve"> KM. Natural products as sources of new drugs over the period 1981–2002. </w:t>
      </w:r>
      <w:r w:rsidRPr="008B3005">
        <w:rPr>
          <w:rStyle w:val="Emphasis"/>
        </w:rPr>
        <w:t>J Nat Prod.</w:t>
      </w:r>
      <w:r w:rsidRPr="008B3005">
        <w:t xml:space="preserve"> 2003;66(7):1022–37.</w:t>
      </w:r>
    </w:p>
    <w:p w14:paraId="551B4043" w14:textId="77777777" w:rsidR="008B3005" w:rsidRPr="008B3005" w:rsidRDefault="008B3005" w:rsidP="008B3005">
      <w:pPr>
        <w:pStyle w:val="NormalWeb"/>
        <w:numPr>
          <w:ilvl w:val="0"/>
          <w:numId w:val="3"/>
        </w:numPr>
        <w:spacing w:line="360" w:lineRule="auto"/>
        <w:jc w:val="both"/>
      </w:pPr>
      <w:proofErr w:type="spellStart"/>
      <w:r w:rsidRPr="008B3005">
        <w:t>Harborne</w:t>
      </w:r>
      <w:proofErr w:type="spellEnd"/>
      <w:r w:rsidRPr="008B3005">
        <w:t xml:space="preserve"> JB. Phytochemical methods: a guide to modern techniques of plant analysis. </w:t>
      </w:r>
      <w:r w:rsidRPr="008B3005">
        <w:rPr>
          <w:rStyle w:val="Emphasis"/>
        </w:rPr>
        <w:t>Springer Science &amp; Business Media</w:t>
      </w:r>
      <w:r w:rsidRPr="008B3005">
        <w:t>; 1998.</w:t>
      </w:r>
    </w:p>
    <w:p w14:paraId="117D368A" w14:textId="77777777" w:rsidR="008B3005" w:rsidRPr="008B3005" w:rsidRDefault="008B3005" w:rsidP="008B3005">
      <w:pPr>
        <w:pStyle w:val="NormalWeb"/>
        <w:numPr>
          <w:ilvl w:val="0"/>
          <w:numId w:val="3"/>
        </w:numPr>
        <w:spacing w:line="360" w:lineRule="auto"/>
        <w:jc w:val="both"/>
      </w:pPr>
      <w:proofErr w:type="spellStart"/>
      <w:r w:rsidRPr="008B3005">
        <w:t>Trease</w:t>
      </w:r>
      <w:proofErr w:type="spellEnd"/>
      <w:r w:rsidRPr="008B3005">
        <w:t xml:space="preserve"> GE, Evans WC. </w:t>
      </w:r>
      <w:proofErr w:type="spellStart"/>
      <w:r w:rsidRPr="008B3005">
        <w:t>Pharmacognosy</w:t>
      </w:r>
      <w:proofErr w:type="spellEnd"/>
      <w:r w:rsidRPr="008B3005">
        <w:t xml:space="preserve">. </w:t>
      </w:r>
      <w:proofErr w:type="spellStart"/>
      <w:r w:rsidRPr="008B3005">
        <w:rPr>
          <w:rStyle w:val="Emphasis"/>
        </w:rPr>
        <w:t>Bailliere</w:t>
      </w:r>
      <w:proofErr w:type="spellEnd"/>
      <w:r w:rsidRPr="008B3005">
        <w:rPr>
          <w:rStyle w:val="Emphasis"/>
        </w:rPr>
        <w:t xml:space="preserve"> Tindall</w:t>
      </w:r>
      <w:r w:rsidRPr="008B3005">
        <w:t>; 2002.</w:t>
      </w:r>
    </w:p>
    <w:p w14:paraId="0BA20AB4" w14:textId="77777777" w:rsidR="008B3005" w:rsidRPr="008B3005" w:rsidRDefault="008B3005" w:rsidP="008B3005">
      <w:pPr>
        <w:pStyle w:val="NormalWeb"/>
        <w:numPr>
          <w:ilvl w:val="0"/>
          <w:numId w:val="3"/>
        </w:numPr>
        <w:spacing w:line="360" w:lineRule="auto"/>
        <w:jc w:val="both"/>
      </w:pPr>
      <w:r w:rsidRPr="008B3005">
        <w:t xml:space="preserve">Bauer AW, Kirby WM, </w:t>
      </w:r>
      <w:proofErr w:type="spellStart"/>
      <w:r w:rsidRPr="008B3005">
        <w:t>Sherris</w:t>
      </w:r>
      <w:proofErr w:type="spellEnd"/>
      <w:r w:rsidRPr="008B3005">
        <w:t xml:space="preserve"> JC, </w:t>
      </w:r>
      <w:proofErr w:type="spellStart"/>
      <w:r w:rsidRPr="008B3005">
        <w:t>Turck</w:t>
      </w:r>
      <w:proofErr w:type="spellEnd"/>
      <w:r w:rsidRPr="008B3005">
        <w:t xml:space="preserve"> M. Antibiotic susceptibility testing by a standardized single disk method. </w:t>
      </w:r>
      <w:r w:rsidRPr="008B3005">
        <w:rPr>
          <w:rStyle w:val="Emphasis"/>
        </w:rPr>
        <w:t xml:space="preserve">Am J </w:t>
      </w:r>
      <w:proofErr w:type="spellStart"/>
      <w:r w:rsidRPr="008B3005">
        <w:rPr>
          <w:rStyle w:val="Emphasis"/>
        </w:rPr>
        <w:t>Clin</w:t>
      </w:r>
      <w:proofErr w:type="spellEnd"/>
      <w:r w:rsidRPr="008B3005">
        <w:rPr>
          <w:rStyle w:val="Emphasis"/>
        </w:rPr>
        <w:t xml:space="preserve"> </w:t>
      </w:r>
      <w:proofErr w:type="spellStart"/>
      <w:r w:rsidRPr="008B3005">
        <w:rPr>
          <w:rStyle w:val="Emphasis"/>
        </w:rPr>
        <w:t>Pathol</w:t>
      </w:r>
      <w:proofErr w:type="spellEnd"/>
      <w:r w:rsidRPr="008B3005">
        <w:rPr>
          <w:rStyle w:val="Emphasis"/>
        </w:rPr>
        <w:t>.</w:t>
      </w:r>
      <w:r w:rsidRPr="008B3005">
        <w:t xml:space="preserve"> 1966;45(4):493–6.</w:t>
      </w:r>
    </w:p>
    <w:p w14:paraId="62814234" w14:textId="77777777" w:rsidR="008B3005" w:rsidRPr="008B3005" w:rsidRDefault="008B3005" w:rsidP="008B3005">
      <w:pPr>
        <w:pStyle w:val="NormalWeb"/>
        <w:numPr>
          <w:ilvl w:val="0"/>
          <w:numId w:val="3"/>
        </w:numPr>
        <w:spacing w:line="360" w:lineRule="auto"/>
        <w:jc w:val="both"/>
      </w:pPr>
      <w:r w:rsidRPr="008B3005">
        <w:t xml:space="preserve">Brand-Williams W, </w:t>
      </w:r>
      <w:proofErr w:type="spellStart"/>
      <w:r w:rsidRPr="008B3005">
        <w:t>Cuvelier</w:t>
      </w:r>
      <w:proofErr w:type="spellEnd"/>
      <w:r w:rsidRPr="008B3005">
        <w:t xml:space="preserve"> ME, </w:t>
      </w:r>
      <w:proofErr w:type="spellStart"/>
      <w:r w:rsidRPr="008B3005">
        <w:t>Berset</w:t>
      </w:r>
      <w:proofErr w:type="spellEnd"/>
      <w:r w:rsidRPr="008B3005">
        <w:t xml:space="preserve"> C. Use of a free radical method to evaluate antioxidant activity. </w:t>
      </w:r>
      <w:r w:rsidRPr="008B3005">
        <w:rPr>
          <w:rStyle w:val="Emphasis"/>
        </w:rPr>
        <w:t xml:space="preserve">LWT-Food </w:t>
      </w:r>
      <w:proofErr w:type="spellStart"/>
      <w:r w:rsidRPr="008B3005">
        <w:rPr>
          <w:rStyle w:val="Emphasis"/>
        </w:rPr>
        <w:t>Sci</w:t>
      </w:r>
      <w:proofErr w:type="spellEnd"/>
      <w:r w:rsidRPr="008B3005">
        <w:rPr>
          <w:rStyle w:val="Emphasis"/>
        </w:rPr>
        <w:t xml:space="preserve"> Technol.</w:t>
      </w:r>
      <w:r w:rsidRPr="008B3005">
        <w:t xml:space="preserve"> 1995;28(1):25–30.</w:t>
      </w:r>
    </w:p>
    <w:p w14:paraId="13D5A22E" w14:textId="77777777" w:rsidR="008B3005" w:rsidRPr="008B3005" w:rsidRDefault="008B3005" w:rsidP="008B3005">
      <w:pPr>
        <w:pStyle w:val="NormalWeb"/>
        <w:numPr>
          <w:ilvl w:val="0"/>
          <w:numId w:val="3"/>
        </w:numPr>
        <w:spacing w:line="360" w:lineRule="auto"/>
        <w:jc w:val="both"/>
      </w:pPr>
      <w:proofErr w:type="spellStart"/>
      <w:r w:rsidRPr="008B3005">
        <w:t>Cushnie</w:t>
      </w:r>
      <w:proofErr w:type="spellEnd"/>
      <w:r w:rsidRPr="008B3005">
        <w:t xml:space="preserve"> TP, Lamb AJ. Antimicrobial activity of flavonoids. </w:t>
      </w:r>
      <w:proofErr w:type="spellStart"/>
      <w:r w:rsidRPr="008B3005">
        <w:rPr>
          <w:rStyle w:val="Emphasis"/>
        </w:rPr>
        <w:t>Int</w:t>
      </w:r>
      <w:proofErr w:type="spellEnd"/>
      <w:r w:rsidRPr="008B3005">
        <w:rPr>
          <w:rStyle w:val="Emphasis"/>
        </w:rPr>
        <w:t xml:space="preserve"> J </w:t>
      </w:r>
      <w:proofErr w:type="spellStart"/>
      <w:r w:rsidRPr="008B3005">
        <w:rPr>
          <w:rStyle w:val="Emphasis"/>
        </w:rPr>
        <w:t>Antimicrob</w:t>
      </w:r>
      <w:proofErr w:type="spellEnd"/>
      <w:r w:rsidRPr="008B3005">
        <w:rPr>
          <w:rStyle w:val="Emphasis"/>
        </w:rPr>
        <w:t xml:space="preserve"> Agents.</w:t>
      </w:r>
      <w:r w:rsidRPr="008B3005">
        <w:t xml:space="preserve"> 2005;26(5):343–56.</w:t>
      </w:r>
    </w:p>
    <w:p w14:paraId="05BB77A9" w14:textId="77777777" w:rsidR="008B3005" w:rsidRPr="008B3005" w:rsidRDefault="008B3005" w:rsidP="008B3005">
      <w:pPr>
        <w:pStyle w:val="NormalWeb"/>
        <w:numPr>
          <w:ilvl w:val="0"/>
          <w:numId w:val="3"/>
        </w:numPr>
        <w:spacing w:line="360" w:lineRule="auto"/>
        <w:jc w:val="both"/>
      </w:pPr>
      <w:r w:rsidRPr="008B3005">
        <w:t xml:space="preserve">Cowan MM. Plant products as antimicrobial agents. </w:t>
      </w:r>
      <w:proofErr w:type="spellStart"/>
      <w:r w:rsidRPr="008B3005">
        <w:rPr>
          <w:rStyle w:val="Emphasis"/>
        </w:rPr>
        <w:t>Clin</w:t>
      </w:r>
      <w:proofErr w:type="spellEnd"/>
      <w:r w:rsidRPr="008B3005">
        <w:rPr>
          <w:rStyle w:val="Emphasis"/>
        </w:rPr>
        <w:t xml:space="preserve"> </w:t>
      </w:r>
      <w:proofErr w:type="spellStart"/>
      <w:r w:rsidRPr="008B3005">
        <w:rPr>
          <w:rStyle w:val="Emphasis"/>
        </w:rPr>
        <w:t>Microbiol</w:t>
      </w:r>
      <w:proofErr w:type="spellEnd"/>
      <w:r w:rsidRPr="008B3005">
        <w:rPr>
          <w:rStyle w:val="Emphasis"/>
        </w:rPr>
        <w:t xml:space="preserve"> Rev.</w:t>
      </w:r>
      <w:r w:rsidRPr="008B3005">
        <w:t xml:space="preserve"> 1999;12(4):564–82.</w:t>
      </w:r>
    </w:p>
    <w:p w14:paraId="03EA43AC" w14:textId="77777777" w:rsidR="008B3005" w:rsidRPr="008B3005" w:rsidRDefault="008B3005" w:rsidP="008B3005">
      <w:pPr>
        <w:pStyle w:val="NormalWeb"/>
        <w:numPr>
          <w:ilvl w:val="0"/>
          <w:numId w:val="3"/>
        </w:numPr>
        <w:spacing w:line="360" w:lineRule="auto"/>
        <w:jc w:val="both"/>
      </w:pPr>
      <w:r w:rsidRPr="008B3005">
        <w:t xml:space="preserve">Prior RL, Cao G. Antioxidant phytochemicals in fruits and vegetables and their impact on human health. </w:t>
      </w:r>
      <w:proofErr w:type="spellStart"/>
      <w:r w:rsidRPr="008B3005">
        <w:rPr>
          <w:rStyle w:val="Emphasis"/>
        </w:rPr>
        <w:t>HortScience</w:t>
      </w:r>
      <w:proofErr w:type="spellEnd"/>
      <w:r w:rsidRPr="008B3005">
        <w:rPr>
          <w:rStyle w:val="Emphasis"/>
        </w:rPr>
        <w:t>.</w:t>
      </w:r>
      <w:r w:rsidRPr="008B3005">
        <w:t xml:space="preserve"> 2000;35(4):588–92.</w:t>
      </w:r>
    </w:p>
    <w:p w14:paraId="4D32D694" w14:textId="77777777" w:rsidR="00320BAF" w:rsidRPr="001A5756" w:rsidRDefault="00320BAF" w:rsidP="008B3005">
      <w:pPr>
        <w:spacing w:line="360" w:lineRule="auto"/>
        <w:jc w:val="both"/>
        <w:rPr>
          <w:rFonts w:ascii="Times New Roman" w:hAnsi="Times New Roman" w:cs="Times New Roman"/>
          <w:sz w:val="24"/>
          <w:szCs w:val="24"/>
        </w:rPr>
      </w:pPr>
    </w:p>
    <w:sectPr w:rsidR="00320BAF" w:rsidRPr="001A5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52F79"/>
    <w:multiLevelType w:val="multilevel"/>
    <w:tmpl w:val="0102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8149E"/>
    <w:multiLevelType w:val="multilevel"/>
    <w:tmpl w:val="395CE6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2E52BA0"/>
    <w:multiLevelType w:val="multilevel"/>
    <w:tmpl w:val="585C306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9260F0"/>
    <w:multiLevelType w:val="hybridMultilevel"/>
    <w:tmpl w:val="4746C8BA"/>
    <w:lvl w:ilvl="0" w:tplc="B2166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983853">
    <w:abstractNumId w:val="1"/>
  </w:num>
  <w:num w:numId="2" w16cid:durableId="1844515323">
    <w:abstractNumId w:val="3"/>
  </w:num>
  <w:num w:numId="3" w16cid:durableId="1875532327">
    <w:abstractNumId w:val="0"/>
  </w:num>
  <w:num w:numId="4" w16cid:durableId="109513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5C"/>
    <w:rsid w:val="00015F4D"/>
    <w:rsid w:val="00061F36"/>
    <w:rsid w:val="00130DC8"/>
    <w:rsid w:val="001A5756"/>
    <w:rsid w:val="002F0455"/>
    <w:rsid w:val="00320BAF"/>
    <w:rsid w:val="00456106"/>
    <w:rsid w:val="005036FE"/>
    <w:rsid w:val="00547CE6"/>
    <w:rsid w:val="006B35F8"/>
    <w:rsid w:val="006D2BC5"/>
    <w:rsid w:val="00750B2F"/>
    <w:rsid w:val="007829CD"/>
    <w:rsid w:val="008B3005"/>
    <w:rsid w:val="008D7EC8"/>
    <w:rsid w:val="009035EF"/>
    <w:rsid w:val="00960A1C"/>
    <w:rsid w:val="00A70805"/>
    <w:rsid w:val="00B4313F"/>
    <w:rsid w:val="00B77830"/>
    <w:rsid w:val="00BD5FA7"/>
    <w:rsid w:val="00C15B85"/>
    <w:rsid w:val="00D75A8C"/>
    <w:rsid w:val="00EF1C70"/>
    <w:rsid w:val="00F03B5C"/>
    <w:rsid w:val="00F44C71"/>
    <w:rsid w:val="00FD7D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8A99"/>
  <w15:chartTrackingRefBased/>
  <w15:docId w15:val="{C30C14A1-6B24-AE4A-9D75-A850E5C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8B300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8B3005"/>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061F36"/>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link w:val="Heading4Char"/>
    <w:uiPriority w:val="9"/>
    <w:qFormat/>
    <w:rsid w:val="00061F36"/>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paragraph" w:styleId="Heading5">
    <w:name w:val="heading 5"/>
    <w:basedOn w:val="Normal"/>
    <w:link w:val="Heading5Char"/>
    <w:uiPriority w:val="9"/>
    <w:qFormat/>
    <w:rsid w:val="00061F36"/>
    <w:pPr>
      <w:spacing w:before="100" w:beforeAutospacing="1" w:after="100" w:afterAutospacing="1" w:line="240" w:lineRule="auto"/>
      <w:outlineLvl w:val="4"/>
    </w:pPr>
    <w:rPr>
      <w:rFonts w:ascii="Times New Roman" w:eastAsia="Times New Roman" w:hAnsi="Times New Roman" w:cs="Times New Roman"/>
      <w:b/>
      <w:bCs/>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BAF"/>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uiPriority w:val="22"/>
    <w:qFormat/>
    <w:rsid w:val="00320BAF"/>
    <w:rPr>
      <w:b/>
      <w:bCs/>
    </w:rPr>
  </w:style>
  <w:style w:type="character" w:styleId="Emphasis">
    <w:name w:val="Emphasis"/>
    <w:uiPriority w:val="20"/>
    <w:qFormat/>
    <w:rsid w:val="00320BAF"/>
    <w:rPr>
      <w:i/>
      <w:iCs/>
    </w:rPr>
  </w:style>
  <w:style w:type="character" w:customStyle="1" w:styleId="Heading3Char">
    <w:name w:val="Heading 3 Char"/>
    <w:link w:val="Heading3"/>
    <w:uiPriority w:val="9"/>
    <w:rsid w:val="00061F36"/>
    <w:rPr>
      <w:rFonts w:ascii="Times New Roman" w:eastAsia="Times New Roman" w:hAnsi="Times New Roman" w:cs="Times New Roman"/>
      <w:b/>
      <w:bCs/>
      <w:sz w:val="27"/>
      <w:szCs w:val="27"/>
    </w:rPr>
  </w:style>
  <w:style w:type="character" w:customStyle="1" w:styleId="Heading4Char">
    <w:name w:val="Heading 4 Char"/>
    <w:link w:val="Heading4"/>
    <w:uiPriority w:val="9"/>
    <w:rsid w:val="00061F36"/>
    <w:rPr>
      <w:rFonts w:ascii="Times New Roman" w:eastAsia="Times New Roman" w:hAnsi="Times New Roman" w:cs="Times New Roman"/>
      <w:b/>
      <w:bCs/>
      <w:sz w:val="24"/>
      <w:szCs w:val="24"/>
    </w:rPr>
  </w:style>
  <w:style w:type="character" w:customStyle="1" w:styleId="Heading5Char">
    <w:name w:val="Heading 5 Char"/>
    <w:link w:val="Heading5"/>
    <w:uiPriority w:val="9"/>
    <w:rsid w:val="00061F36"/>
    <w:rPr>
      <w:rFonts w:ascii="Times New Roman" w:eastAsia="Times New Roman" w:hAnsi="Times New Roman" w:cs="Times New Roman"/>
      <w:b/>
      <w:bCs/>
    </w:rPr>
  </w:style>
  <w:style w:type="character" w:customStyle="1" w:styleId="Heading1Char">
    <w:name w:val="Heading 1 Char"/>
    <w:link w:val="Heading1"/>
    <w:uiPriority w:val="9"/>
    <w:rsid w:val="008B3005"/>
    <w:rPr>
      <w:rFonts w:ascii="Calibri Light" w:eastAsia="Times New Roman" w:hAnsi="Calibri Light" w:cs="Mangal"/>
      <w:b/>
      <w:bCs/>
      <w:kern w:val="32"/>
      <w:sz w:val="32"/>
      <w:szCs w:val="32"/>
      <w:lang w:bidi="ar-SA"/>
    </w:rPr>
  </w:style>
  <w:style w:type="character" w:customStyle="1" w:styleId="Heading2Char">
    <w:name w:val="Heading 2 Char"/>
    <w:link w:val="Heading2"/>
    <w:uiPriority w:val="9"/>
    <w:semiHidden/>
    <w:rsid w:val="008B3005"/>
    <w:rPr>
      <w:rFonts w:ascii="Calibri Light" w:eastAsia="Times New Roman" w:hAnsi="Calibri Light" w:cs="Mangal"/>
      <w:b/>
      <w:bCs/>
      <w:i/>
      <w:i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6473">
      <w:bodyDiv w:val="1"/>
      <w:marLeft w:val="0"/>
      <w:marRight w:val="0"/>
      <w:marTop w:val="0"/>
      <w:marBottom w:val="0"/>
      <w:divBdr>
        <w:top w:val="none" w:sz="0" w:space="0" w:color="auto"/>
        <w:left w:val="none" w:sz="0" w:space="0" w:color="auto"/>
        <w:bottom w:val="none" w:sz="0" w:space="0" w:color="auto"/>
        <w:right w:val="none" w:sz="0" w:space="0" w:color="auto"/>
      </w:divBdr>
    </w:div>
    <w:div w:id="543907897">
      <w:bodyDiv w:val="1"/>
      <w:marLeft w:val="0"/>
      <w:marRight w:val="0"/>
      <w:marTop w:val="0"/>
      <w:marBottom w:val="0"/>
      <w:divBdr>
        <w:top w:val="none" w:sz="0" w:space="0" w:color="auto"/>
        <w:left w:val="none" w:sz="0" w:space="0" w:color="auto"/>
        <w:bottom w:val="none" w:sz="0" w:space="0" w:color="auto"/>
        <w:right w:val="none" w:sz="0" w:space="0" w:color="auto"/>
      </w:divBdr>
    </w:div>
    <w:div w:id="649359342">
      <w:bodyDiv w:val="1"/>
      <w:marLeft w:val="0"/>
      <w:marRight w:val="0"/>
      <w:marTop w:val="0"/>
      <w:marBottom w:val="0"/>
      <w:divBdr>
        <w:top w:val="none" w:sz="0" w:space="0" w:color="auto"/>
        <w:left w:val="none" w:sz="0" w:space="0" w:color="auto"/>
        <w:bottom w:val="none" w:sz="0" w:space="0" w:color="auto"/>
        <w:right w:val="none" w:sz="0" w:space="0" w:color="auto"/>
      </w:divBdr>
    </w:div>
    <w:div w:id="792484062">
      <w:bodyDiv w:val="1"/>
      <w:marLeft w:val="0"/>
      <w:marRight w:val="0"/>
      <w:marTop w:val="0"/>
      <w:marBottom w:val="0"/>
      <w:divBdr>
        <w:top w:val="none" w:sz="0" w:space="0" w:color="auto"/>
        <w:left w:val="none" w:sz="0" w:space="0" w:color="auto"/>
        <w:bottom w:val="none" w:sz="0" w:space="0" w:color="auto"/>
        <w:right w:val="none" w:sz="0" w:space="0" w:color="auto"/>
      </w:divBdr>
    </w:div>
    <w:div w:id="892278932">
      <w:bodyDiv w:val="1"/>
      <w:marLeft w:val="0"/>
      <w:marRight w:val="0"/>
      <w:marTop w:val="0"/>
      <w:marBottom w:val="0"/>
      <w:divBdr>
        <w:top w:val="none" w:sz="0" w:space="0" w:color="auto"/>
        <w:left w:val="none" w:sz="0" w:space="0" w:color="auto"/>
        <w:bottom w:val="none" w:sz="0" w:space="0" w:color="auto"/>
        <w:right w:val="none" w:sz="0" w:space="0" w:color="auto"/>
      </w:divBdr>
    </w:div>
    <w:div w:id="903183076">
      <w:bodyDiv w:val="1"/>
      <w:marLeft w:val="0"/>
      <w:marRight w:val="0"/>
      <w:marTop w:val="0"/>
      <w:marBottom w:val="0"/>
      <w:divBdr>
        <w:top w:val="none" w:sz="0" w:space="0" w:color="auto"/>
        <w:left w:val="none" w:sz="0" w:space="0" w:color="auto"/>
        <w:bottom w:val="none" w:sz="0" w:space="0" w:color="auto"/>
        <w:right w:val="none" w:sz="0" w:space="0" w:color="auto"/>
      </w:divBdr>
    </w:div>
    <w:div w:id="1086220533">
      <w:bodyDiv w:val="1"/>
      <w:marLeft w:val="0"/>
      <w:marRight w:val="0"/>
      <w:marTop w:val="0"/>
      <w:marBottom w:val="0"/>
      <w:divBdr>
        <w:top w:val="none" w:sz="0" w:space="0" w:color="auto"/>
        <w:left w:val="none" w:sz="0" w:space="0" w:color="auto"/>
        <w:bottom w:val="none" w:sz="0" w:space="0" w:color="auto"/>
        <w:right w:val="none" w:sz="0" w:space="0" w:color="auto"/>
      </w:divBdr>
    </w:div>
    <w:div w:id="1138954300">
      <w:bodyDiv w:val="1"/>
      <w:marLeft w:val="0"/>
      <w:marRight w:val="0"/>
      <w:marTop w:val="0"/>
      <w:marBottom w:val="0"/>
      <w:divBdr>
        <w:top w:val="none" w:sz="0" w:space="0" w:color="auto"/>
        <w:left w:val="none" w:sz="0" w:space="0" w:color="auto"/>
        <w:bottom w:val="none" w:sz="0" w:space="0" w:color="auto"/>
        <w:right w:val="none" w:sz="0" w:space="0" w:color="auto"/>
      </w:divBdr>
    </w:div>
    <w:div w:id="1244799565">
      <w:bodyDiv w:val="1"/>
      <w:marLeft w:val="0"/>
      <w:marRight w:val="0"/>
      <w:marTop w:val="0"/>
      <w:marBottom w:val="0"/>
      <w:divBdr>
        <w:top w:val="none" w:sz="0" w:space="0" w:color="auto"/>
        <w:left w:val="none" w:sz="0" w:space="0" w:color="auto"/>
        <w:bottom w:val="none" w:sz="0" w:space="0" w:color="auto"/>
        <w:right w:val="none" w:sz="0" w:space="0" w:color="auto"/>
      </w:divBdr>
    </w:div>
    <w:div w:id="1589726244">
      <w:bodyDiv w:val="1"/>
      <w:marLeft w:val="0"/>
      <w:marRight w:val="0"/>
      <w:marTop w:val="0"/>
      <w:marBottom w:val="0"/>
      <w:divBdr>
        <w:top w:val="none" w:sz="0" w:space="0" w:color="auto"/>
        <w:left w:val="none" w:sz="0" w:space="0" w:color="auto"/>
        <w:bottom w:val="none" w:sz="0" w:space="0" w:color="auto"/>
        <w:right w:val="none" w:sz="0" w:space="0" w:color="auto"/>
      </w:divBdr>
    </w:div>
    <w:div w:id="1598489021">
      <w:bodyDiv w:val="1"/>
      <w:marLeft w:val="0"/>
      <w:marRight w:val="0"/>
      <w:marTop w:val="0"/>
      <w:marBottom w:val="0"/>
      <w:divBdr>
        <w:top w:val="none" w:sz="0" w:space="0" w:color="auto"/>
        <w:left w:val="none" w:sz="0" w:space="0" w:color="auto"/>
        <w:bottom w:val="none" w:sz="0" w:space="0" w:color="auto"/>
        <w:right w:val="none" w:sz="0" w:space="0" w:color="auto"/>
      </w:divBdr>
    </w:div>
    <w:div w:id="1809013663">
      <w:bodyDiv w:val="1"/>
      <w:marLeft w:val="0"/>
      <w:marRight w:val="0"/>
      <w:marTop w:val="0"/>
      <w:marBottom w:val="0"/>
      <w:divBdr>
        <w:top w:val="none" w:sz="0" w:space="0" w:color="auto"/>
        <w:left w:val="none" w:sz="0" w:space="0" w:color="auto"/>
        <w:bottom w:val="none" w:sz="0" w:space="0" w:color="auto"/>
        <w:right w:val="none" w:sz="0" w:space="0" w:color="auto"/>
      </w:divBdr>
    </w:div>
    <w:div w:id="1816293120">
      <w:bodyDiv w:val="1"/>
      <w:marLeft w:val="0"/>
      <w:marRight w:val="0"/>
      <w:marTop w:val="0"/>
      <w:marBottom w:val="0"/>
      <w:divBdr>
        <w:top w:val="none" w:sz="0" w:space="0" w:color="auto"/>
        <w:left w:val="none" w:sz="0" w:space="0" w:color="auto"/>
        <w:bottom w:val="none" w:sz="0" w:space="0" w:color="auto"/>
        <w:right w:val="none" w:sz="0" w:space="0" w:color="auto"/>
      </w:divBdr>
    </w:div>
    <w:div w:id="1892037026">
      <w:bodyDiv w:val="1"/>
      <w:marLeft w:val="0"/>
      <w:marRight w:val="0"/>
      <w:marTop w:val="0"/>
      <w:marBottom w:val="0"/>
      <w:divBdr>
        <w:top w:val="none" w:sz="0" w:space="0" w:color="auto"/>
        <w:left w:val="none" w:sz="0" w:space="0" w:color="auto"/>
        <w:bottom w:val="none" w:sz="0" w:space="0" w:color="auto"/>
        <w:right w:val="none" w:sz="0" w:space="0" w:color="auto"/>
      </w:divBdr>
    </w:div>
    <w:div w:id="19130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malikarjun wakde</cp:lastModifiedBy>
  <cp:revision>5</cp:revision>
  <dcterms:created xsi:type="dcterms:W3CDTF">2025-02-03T16:17:00Z</dcterms:created>
  <dcterms:modified xsi:type="dcterms:W3CDTF">2025-02-03T16:28:00Z</dcterms:modified>
</cp:coreProperties>
</file>