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05B" w:rsidRPr="00FC76AF" w:rsidRDefault="002C505B" w:rsidP="00C613F4">
      <w:pPr>
        <w:bidi w:val="0"/>
        <w:spacing w:before="65" w:after="0" w:line="360" w:lineRule="exact"/>
        <w:ind w:right="60"/>
        <w:rPr>
          <w:rFonts w:asciiTheme="majorBidi" w:eastAsia="Times New Roman" w:hAnsiTheme="majorBidi" w:cstheme="majorBidi"/>
          <w:color w:val="000000" w:themeColor="text1"/>
          <w:sz w:val="24"/>
          <w:szCs w:val="24"/>
        </w:rPr>
      </w:pPr>
    </w:p>
    <w:p w:rsidR="003A7EE7" w:rsidRPr="00FC76AF" w:rsidRDefault="003A7EE7" w:rsidP="0042060D">
      <w:pPr>
        <w:bidi w:val="0"/>
        <w:spacing w:before="100" w:beforeAutospacing="1" w:after="100" w:afterAutospacing="1" w:line="240" w:lineRule="auto"/>
        <w:jc w:val="center"/>
        <w:outlineLvl w:val="2"/>
        <w:rPr>
          <w:rFonts w:asciiTheme="majorBidi" w:eastAsia="Times New Roman" w:hAnsiTheme="majorBidi" w:cstheme="majorBidi"/>
          <w:color w:val="000000" w:themeColor="text1"/>
          <w:sz w:val="24"/>
          <w:szCs w:val="24"/>
        </w:rPr>
      </w:pPr>
      <w:r w:rsidRPr="00FC76AF">
        <w:rPr>
          <w:rFonts w:asciiTheme="majorBidi" w:hAnsiTheme="majorBidi" w:cstheme="majorBidi"/>
          <w:i/>
          <w:iCs/>
          <w:color w:val="000000" w:themeColor="text1"/>
          <w:sz w:val="24"/>
          <w:szCs w:val="24"/>
        </w:rPr>
        <w:t>Role of</w:t>
      </w:r>
      <w:r w:rsidR="00EF7B32" w:rsidRPr="00FC76AF">
        <w:rPr>
          <w:rFonts w:asciiTheme="majorBidi" w:hAnsiTheme="majorBidi" w:cstheme="majorBidi"/>
          <w:i/>
          <w:iCs/>
          <w:color w:val="000000" w:themeColor="text1"/>
          <w:sz w:val="24"/>
          <w:szCs w:val="24"/>
        </w:rPr>
        <w:t xml:space="preserve"> </w:t>
      </w:r>
      <w:r w:rsidRPr="00FC76AF">
        <w:rPr>
          <w:rFonts w:asciiTheme="majorBidi" w:hAnsiTheme="majorBidi" w:cstheme="majorBidi"/>
          <w:i/>
          <w:iCs/>
          <w:color w:val="000000" w:themeColor="text1"/>
          <w:sz w:val="24"/>
          <w:szCs w:val="24"/>
        </w:rPr>
        <w:t xml:space="preserve"> CTAC Surfactant in </w:t>
      </w:r>
      <w:r w:rsidR="00B14E2D" w:rsidRPr="00FC76AF">
        <w:rPr>
          <w:rFonts w:asciiTheme="majorBidi" w:hAnsiTheme="majorBidi" w:cstheme="majorBidi"/>
          <w:i/>
          <w:iCs/>
          <w:color w:val="000000" w:themeColor="text1"/>
          <w:sz w:val="24"/>
          <w:szCs w:val="24"/>
        </w:rPr>
        <w:t xml:space="preserve">improvement </w:t>
      </w:r>
      <w:r w:rsidRPr="00FC76AF">
        <w:rPr>
          <w:rFonts w:asciiTheme="majorBidi" w:hAnsiTheme="majorBidi" w:cstheme="majorBidi"/>
          <w:i/>
          <w:iCs/>
          <w:color w:val="000000" w:themeColor="text1"/>
          <w:sz w:val="24"/>
          <w:szCs w:val="24"/>
        </w:rPr>
        <w:t xml:space="preserve"> </w:t>
      </w:r>
      <w:r w:rsidR="0042060D" w:rsidRPr="00FC76AF">
        <w:rPr>
          <w:rFonts w:asciiTheme="majorBidi" w:hAnsiTheme="majorBidi" w:cstheme="majorBidi"/>
          <w:i/>
          <w:iCs/>
          <w:color w:val="000000" w:themeColor="text1"/>
          <w:sz w:val="24"/>
          <w:szCs w:val="24"/>
        </w:rPr>
        <w:t>physical</w:t>
      </w:r>
      <w:r w:rsidRPr="00FC76AF">
        <w:rPr>
          <w:rFonts w:asciiTheme="majorBidi" w:hAnsiTheme="majorBidi" w:cstheme="majorBidi"/>
          <w:i/>
          <w:iCs/>
          <w:color w:val="000000" w:themeColor="text1"/>
          <w:sz w:val="24"/>
          <w:szCs w:val="24"/>
        </w:rPr>
        <w:t xml:space="preserve"> and Microstructural Properties of Sustainable Cementitious Pastes</w:t>
      </w:r>
      <w:r w:rsidR="0058450D" w:rsidRPr="00FC76AF">
        <w:rPr>
          <w:rFonts w:asciiTheme="majorBidi" w:eastAsia="Times New Roman" w:hAnsiTheme="majorBidi" w:cstheme="majorBidi"/>
          <w:color w:val="000000" w:themeColor="text1"/>
          <w:sz w:val="24"/>
          <w:szCs w:val="24"/>
        </w:rPr>
        <w:t xml:space="preserve"> </w:t>
      </w:r>
    </w:p>
    <w:p w:rsidR="00C577D3" w:rsidRPr="00FC76AF" w:rsidRDefault="00C577D3" w:rsidP="00C577D3">
      <w:pPr>
        <w:autoSpaceDE w:val="0"/>
        <w:autoSpaceDN w:val="0"/>
        <w:bidi w:val="0"/>
        <w:adjustRightInd w:val="0"/>
        <w:spacing w:after="0" w:line="240" w:lineRule="auto"/>
        <w:jc w:val="center"/>
        <w:rPr>
          <w:rFonts w:ascii="Times New Roman" w:hAnsi="Times New Roman" w:cs="Times New Roman"/>
          <w:b/>
          <w:bCs/>
          <w:color w:val="000000" w:themeColor="text1"/>
          <w:sz w:val="24"/>
          <w:szCs w:val="24"/>
        </w:rPr>
      </w:pPr>
      <w:r w:rsidRPr="00FC76AF">
        <w:rPr>
          <w:rFonts w:ascii="Times New Roman" w:hAnsi="Times New Roman" w:cs="Times New Roman"/>
          <w:b/>
          <w:bCs/>
          <w:color w:val="000000" w:themeColor="text1"/>
          <w:sz w:val="24"/>
          <w:szCs w:val="24"/>
        </w:rPr>
        <w:t>Abdel Fattah A. Qaraman*</w:t>
      </w:r>
    </w:p>
    <w:p w:rsidR="00C577D3" w:rsidRPr="00FC76AF" w:rsidRDefault="00C577D3" w:rsidP="00C577D3">
      <w:pPr>
        <w:bidi w:val="0"/>
        <w:spacing w:before="100" w:beforeAutospacing="1" w:after="100" w:afterAutospacing="1" w:line="240" w:lineRule="auto"/>
        <w:jc w:val="center"/>
        <w:outlineLvl w:val="2"/>
        <w:rPr>
          <w:rFonts w:asciiTheme="majorBidi" w:eastAsia="Times New Roman" w:hAnsiTheme="majorBidi" w:cstheme="majorBidi"/>
          <w:color w:val="000000" w:themeColor="text1"/>
          <w:sz w:val="24"/>
          <w:szCs w:val="24"/>
        </w:rPr>
      </w:pPr>
      <w:r w:rsidRPr="00FC76AF">
        <w:rPr>
          <w:rFonts w:ascii="Times New Roman" w:hAnsi="Times New Roman" w:cs="Times New Roman"/>
          <w:color w:val="000000" w:themeColor="text1"/>
          <w:sz w:val="24"/>
          <w:szCs w:val="24"/>
        </w:rPr>
        <w:t>* Israa University, Gaza, Palestine.</w:t>
      </w:r>
    </w:p>
    <w:p w:rsidR="00FD7D89" w:rsidRPr="00FC76AF" w:rsidRDefault="00FD7D89" w:rsidP="00FD7D89">
      <w:pPr>
        <w:bidi w:val="0"/>
        <w:spacing w:before="100" w:beforeAutospacing="1" w:after="100" w:afterAutospacing="1" w:line="240" w:lineRule="auto"/>
        <w:jc w:val="center"/>
        <w:outlineLvl w:val="2"/>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Email: fatahdeep@gmail.com</w:t>
      </w:r>
    </w:p>
    <w:p w:rsidR="00C577D3" w:rsidRPr="00FC76AF" w:rsidRDefault="00C577D3" w:rsidP="00C577D3">
      <w:pPr>
        <w:bidi w:val="0"/>
        <w:spacing w:before="100" w:beforeAutospacing="1" w:after="100" w:afterAutospacing="1" w:line="240" w:lineRule="auto"/>
        <w:jc w:val="center"/>
        <w:outlineLvl w:val="2"/>
        <w:rPr>
          <w:rFonts w:asciiTheme="majorBidi" w:eastAsia="Times New Roman" w:hAnsiTheme="majorBidi" w:cstheme="majorBidi"/>
          <w:color w:val="000000" w:themeColor="text1"/>
          <w:sz w:val="24"/>
          <w:szCs w:val="24"/>
        </w:rPr>
      </w:pPr>
    </w:p>
    <w:p w:rsidR="000B2073" w:rsidRPr="00FC76AF" w:rsidRDefault="000B2073" w:rsidP="003A7EE7">
      <w:pPr>
        <w:bidi w:val="0"/>
        <w:spacing w:before="100" w:beforeAutospacing="1" w:after="100" w:afterAutospacing="1" w:line="240" w:lineRule="auto"/>
        <w:outlineLvl w:val="2"/>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Abstract</w:t>
      </w:r>
    </w:p>
    <w:p w:rsidR="00EC48ED" w:rsidRPr="00FC76AF" w:rsidRDefault="002C76B4" w:rsidP="005032DA">
      <w:pPr>
        <w:bidi w:val="0"/>
        <w:spacing w:after="0" w:line="240" w:lineRule="auto"/>
        <w:jc w:val="both"/>
        <w:rPr>
          <w:rFonts w:asciiTheme="majorBidi" w:eastAsia="Times New Roman" w:hAnsiTheme="majorBidi" w:cstheme="majorBidi"/>
          <w:color w:val="000000" w:themeColor="text1"/>
          <w:sz w:val="24"/>
          <w:szCs w:val="24"/>
        </w:rPr>
      </w:pPr>
      <w:r w:rsidRPr="00FC76AF">
        <w:rPr>
          <w:rFonts w:ascii="Times New Roman" w:eastAsia="Times New Roman" w:hAnsi="Times New Roman" w:cs="Times New Roman"/>
          <w:color w:val="000000" w:themeColor="text1"/>
          <w:sz w:val="24"/>
          <w:szCs w:val="24"/>
        </w:rPr>
        <w:t xml:space="preserve">This study examines how the cationic surfactant </w:t>
      </w:r>
      <w:proofErr w:type="spellStart"/>
      <w:r w:rsidRPr="00FC76AF">
        <w:rPr>
          <w:rFonts w:ascii="Times New Roman" w:eastAsia="Times New Roman" w:hAnsi="Times New Roman" w:cs="Times New Roman"/>
          <w:color w:val="000000" w:themeColor="text1"/>
          <w:sz w:val="24"/>
          <w:szCs w:val="24"/>
        </w:rPr>
        <w:t>cetyltrimethylammonium</w:t>
      </w:r>
      <w:proofErr w:type="spellEnd"/>
      <w:r w:rsidRPr="00FC76AF">
        <w:rPr>
          <w:rFonts w:ascii="Times New Roman" w:eastAsia="Times New Roman" w:hAnsi="Times New Roman" w:cs="Times New Roman"/>
          <w:color w:val="000000" w:themeColor="text1"/>
          <w:sz w:val="24"/>
          <w:szCs w:val="24"/>
        </w:rPr>
        <w:t xml:space="preserve"> chloride (CTAC) affects the microstructural and physical characteristics of environmentally friendly, sustainable cementitious pastes. By systematically analyzing the density, air content, water absorption, thermal conductivity, and topography of hardened cementitious pastes, the study assesses the trade-offs between thermal insulation and structural integrity brought about by CTAC Surfactant. The findings indicate that at 2% concentration, CTAC dramatically increases porosity (up to 49.45%) and reduces thermal conductivity (0.24 W•m⁻¹•K⁻¹), but at the expense of compressive strength (79% compared with control). Changes in hydration disruption and pore structure lead to an increase in water absorption </w:t>
      </w:r>
      <w:r w:rsidR="005032DA" w:rsidRPr="00FC76AF">
        <w:rPr>
          <w:rFonts w:ascii="Times New Roman" w:eastAsia="Times New Roman" w:hAnsi="Times New Roman" w:cs="Times New Roman"/>
          <w:color w:val="000000" w:themeColor="text1"/>
          <w:sz w:val="24"/>
          <w:szCs w:val="24"/>
        </w:rPr>
        <w:t>from</w:t>
      </w:r>
      <w:r w:rsidRPr="00FC76AF">
        <w:rPr>
          <w:rFonts w:ascii="Times New Roman" w:eastAsia="Times New Roman" w:hAnsi="Times New Roman" w:cs="Times New Roman"/>
          <w:color w:val="000000" w:themeColor="text1"/>
          <w:sz w:val="24"/>
          <w:szCs w:val="24"/>
        </w:rPr>
        <w:t xml:space="preserve"> 2.1</w:t>
      </w:r>
      <w:r w:rsidR="005032DA" w:rsidRPr="00FC76AF">
        <w:rPr>
          <w:rFonts w:ascii="Times New Roman" w:eastAsia="Times New Roman" w:hAnsi="Times New Roman" w:cs="Times New Roman"/>
          <w:color w:val="000000" w:themeColor="text1"/>
          <w:sz w:val="24"/>
          <w:szCs w:val="24"/>
        </w:rPr>
        <w:t xml:space="preserve"> to </w:t>
      </w:r>
      <w:r w:rsidRPr="00FC76AF">
        <w:rPr>
          <w:rFonts w:ascii="Times New Roman" w:eastAsia="Times New Roman" w:hAnsi="Times New Roman" w:cs="Times New Roman"/>
          <w:color w:val="000000" w:themeColor="text1"/>
          <w:sz w:val="24"/>
          <w:szCs w:val="24"/>
        </w:rPr>
        <w:t>6.8%. According to the study, the best range for mechanical and insulating viability was between 0.5% and 1.0% CTAC. These findings highlight CTAC's potential for creating lightweight, thermally efficient building materials, but they also highlight the necessity of concentration optimization for performance and durability.</w:t>
      </w:r>
    </w:p>
    <w:p w:rsidR="00EC48ED" w:rsidRPr="00FC76AF" w:rsidRDefault="00EC48ED" w:rsidP="00EC48ED">
      <w:pPr>
        <w:bidi w:val="0"/>
        <w:spacing w:before="100" w:beforeAutospacing="1" w:after="100" w:afterAutospacing="1" w:line="240" w:lineRule="auto"/>
        <w:outlineLvl w:val="2"/>
        <w:rPr>
          <w:rFonts w:asciiTheme="majorBidi" w:eastAsia="Times New Roman" w:hAnsiTheme="majorBidi" w:cstheme="majorBidi"/>
          <w:color w:val="000000" w:themeColor="text1"/>
          <w:sz w:val="24"/>
          <w:szCs w:val="24"/>
        </w:rPr>
      </w:pPr>
    </w:p>
    <w:p w:rsidR="000057FF" w:rsidRPr="00FC76AF" w:rsidRDefault="00891C2F" w:rsidP="00EC48ED">
      <w:pPr>
        <w:bidi w:val="0"/>
        <w:spacing w:before="100" w:beforeAutospacing="1" w:after="100" w:afterAutospacing="1" w:line="240" w:lineRule="auto"/>
        <w:outlineLvl w:val="2"/>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Keywords</w:t>
      </w:r>
    </w:p>
    <w:p w:rsidR="00891C2F" w:rsidRPr="00FC76AF" w:rsidRDefault="00891C2F" w:rsidP="00435762">
      <w:pPr>
        <w:bidi w:val="0"/>
        <w:spacing w:before="100" w:beforeAutospacing="1" w:after="100" w:afterAutospacing="1" w:line="240" w:lineRule="auto"/>
        <w:jc w:val="both"/>
        <w:outlineLvl w:val="2"/>
        <w:rPr>
          <w:rFonts w:asciiTheme="majorBidi" w:eastAsia="Times New Roman" w:hAnsiTheme="majorBidi" w:cstheme="majorBidi"/>
          <w:color w:val="000000" w:themeColor="text1"/>
          <w:sz w:val="24"/>
          <w:szCs w:val="24"/>
        </w:rPr>
      </w:pPr>
      <w:proofErr w:type="spellStart"/>
      <w:r w:rsidRPr="00FC76AF">
        <w:rPr>
          <w:rFonts w:asciiTheme="majorBidi" w:eastAsia="Times New Roman" w:hAnsiTheme="majorBidi" w:cstheme="majorBidi"/>
          <w:color w:val="000000" w:themeColor="text1"/>
          <w:sz w:val="24"/>
          <w:szCs w:val="24"/>
        </w:rPr>
        <w:t>Cetyltrimethylammonium</w:t>
      </w:r>
      <w:proofErr w:type="spellEnd"/>
      <w:r w:rsidRPr="00FC76AF">
        <w:rPr>
          <w:rFonts w:asciiTheme="majorBidi" w:eastAsia="Times New Roman" w:hAnsiTheme="majorBidi" w:cstheme="majorBidi"/>
          <w:color w:val="000000" w:themeColor="text1"/>
          <w:sz w:val="24"/>
          <w:szCs w:val="24"/>
        </w:rPr>
        <w:t xml:space="preserve"> Chloride (CTAC), foam cement paste, thermal conductivity, compressive strength, air-entrained porosity, microstructure modification, sustainable construction materials</w:t>
      </w:r>
      <w:r w:rsidR="00932539" w:rsidRPr="00FC76AF">
        <w:rPr>
          <w:rFonts w:asciiTheme="majorBidi" w:eastAsia="Times New Roman" w:hAnsiTheme="majorBidi" w:cstheme="majorBidi"/>
          <w:color w:val="000000" w:themeColor="text1"/>
          <w:sz w:val="24"/>
          <w:szCs w:val="24"/>
        </w:rPr>
        <w:t>.</w:t>
      </w:r>
    </w:p>
    <w:p w:rsidR="000B4FB8" w:rsidRPr="00FC76AF" w:rsidRDefault="000B4FB8" w:rsidP="000B2073">
      <w:pPr>
        <w:bidi w:val="0"/>
        <w:spacing w:before="100" w:beforeAutospacing="1" w:after="100" w:afterAutospacing="1" w:line="240" w:lineRule="auto"/>
        <w:outlineLvl w:val="2"/>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Introduction</w:t>
      </w:r>
    </w:p>
    <w:p w:rsidR="0029279B" w:rsidRPr="00FC76AF" w:rsidRDefault="0029279B" w:rsidP="002D4A45">
      <w:pPr>
        <w:bidi w:val="0"/>
        <w:spacing w:before="65" w:after="0" w:line="360" w:lineRule="exact"/>
        <w:ind w:right="60"/>
        <w:jc w:val="both"/>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 xml:space="preserve">The </w:t>
      </w:r>
      <w:r w:rsidR="008643BE" w:rsidRPr="00FC76AF">
        <w:rPr>
          <w:rFonts w:asciiTheme="majorBidi" w:eastAsia="Times New Roman" w:hAnsiTheme="majorBidi" w:cstheme="majorBidi"/>
          <w:color w:val="000000" w:themeColor="text1"/>
          <w:sz w:val="24"/>
          <w:szCs w:val="24"/>
        </w:rPr>
        <w:t xml:space="preserve">efforts </w:t>
      </w:r>
      <w:r w:rsidRPr="00FC76AF">
        <w:rPr>
          <w:rFonts w:asciiTheme="majorBidi" w:eastAsia="Times New Roman" w:hAnsiTheme="majorBidi" w:cstheme="majorBidi"/>
          <w:color w:val="000000" w:themeColor="text1"/>
          <w:sz w:val="24"/>
          <w:szCs w:val="24"/>
        </w:rPr>
        <w:t xml:space="preserve">of energy-efficient construction practices has </w:t>
      </w:r>
      <w:r w:rsidR="002A50F3" w:rsidRPr="00FC76AF">
        <w:rPr>
          <w:rFonts w:asciiTheme="majorBidi" w:eastAsia="Times New Roman" w:hAnsiTheme="majorBidi" w:cstheme="majorBidi"/>
          <w:color w:val="000000" w:themeColor="text1"/>
          <w:sz w:val="24"/>
          <w:szCs w:val="24"/>
        </w:rPr>
        <w:t>enhanced</w:t>
      </w:r>
      <w:r w:rsidRPr="00FC76AF">
        <w:rPr>
          <w:rFonts w:asciiTheme="majorBidi" w:eastAsia="Times New Roman" w:hAnsiTheme="majorBidi" w:cstheme="majorBidi"/>
          <w:color w:val="000000" w:themeColor="text1"/>
          <w:sz w:val="24"/>
          <w:szCs w:val="24"/>
        </w:rPr>
        <w:t xml:space="preserve"> interest in insulating materials, </w:t>
      </w:r>
      <w:r w:rsidR="00352BE0" w:rsidRPr="00FC76AF">
        <w:rPr>
          <w:rFonts w:asciiTheme="majorBidi" w:eastAsia="Times New Roman" w:hAnsiTheme="majorBidi" w:cstheme="majorBidi"/>
          <w:color w:val="000000" w:themeColor="text1"/>
          <w:sz w:val="24"/>
          <w:szCs w:val="24"/>
        </w:rPr>
        <w:t>notably</w:t>
      </w:r>
      <w:r w:rsidRPr="00FC76AF">
        <w:rPr>
          <w:rFonts w:asciiTheme="majorBidi" w:eastAsia="Times New Roman" w:hAnsiTheme="majorBidi" w:cstheme="majorBidi"/>
          <w:color w:val="000000" w:themeColor="text1"/>
          <w:sz w:val="24"/>
          <w:szCs w:val="24"/>
        </w:rPr>
        <w:t xml:space="preserve"> for external walls, which account for </w:t>
      </w:r>
      <w:r w:rsidR="009A473C" w:rsidRPr="00FC76AF">
        <w:rPr>
          <w:rFonts w:asciiTheme="majorBidi" w:eastAsia="Times New Roman" w:hAnsiTheme="majorBidi" w:cstheme="majorBidi"/>
          <w:color w:val="000000" w:themeColor="text1"/>
          <w:sz w:val="24"/>
          <w:szCs w:val="24"/>
        </w:rPr>
        <w:t>a significant portion</w:t>
      </w:r>
      <w:r w:rsidRPr="00FC76AF">
        <w:rPr>
          <w:rFonts w:asciiTheme="majorBidi" w:eastAsia="Times New Roman" w:hAnsiTheme="majorBidi" w:cstheme="majorBidi"/>
          <w:color w:val="000000" w:themeColor="text1"/>
          <w:sz w:val="24"/>
          <w:szCs w:val="24"/>
        </w:rPr>
        <w:t xml:space="preserve"> of building envelopes and critically influence thermal performance (Harvey, 2009; </w:t>
      </w:r>
      <w:proofErr w:type="spellStart"/>
      <w:r w:rsidRPr="00FC76AF">
        <w:rPr>
          <w:rFonts w:asciiTheme="majorBidi" w:eastAsia="Times New Roman" w:hAnsiTheme="majorBidi" w:cstheme="majorBidi"/>
          <w:color w:val="000000" w:themeColor="text1"/>
          <w:sz w:val="24"/>
          <w:szCs w:val="24"/>
        </w:rPr>
        <w:t>Seppälä</w:t>
      </w:r>
      <w:proofErr w:type="spellEnd"/>
      <w:r w:rsidRPr="00FC76AF">
        <w:rPr>
          <w:rFonts w:asciiTheme="majorBidi" w:eastAsia="Times New Roman" w:hAnsiTheme="majorBidi" w:cstheme="majorBidi"/>
          <w:color w:val="000000" w:themeColor="text1"/>
          <w:sz w:val="24"/>
          <w:szCs w:val="24"/>
        </w:rPr>
        <w:t xml:space="preserve"> et al., 2008). </w:t>
      </w:r>
      <w:r w:rsidR="00875C97" w:rsidRPr="00FC76AF">
        <w:rPr>
          <w:rFonts w:asciiTheme="majorBidi" w:eastAsia="Times New Roman" w:hAnsiTheme="majorBidi" w:cstheme="majorBidi"/>
          <w:color w:val="000000" w:themeColor="text1"/>
          <w:sz w:val="24"/>
          <w:szCs w:val="24"/>
        </w:rPr>
        <w:t xml:space="preserve">Ordinary construction </w:t>
      </w:r>
      <w:r w:rsidR="00721A6A" w:rsidRPr="00FC76AF">
        <w:rPr>
          <w:rFonts w:asciiTheme="majorBidi" w:eastAsia="Times New Roman" w:hAnsiTheme="majorBidi" w:cstheme="majorBidi"/>
          <w:color w:val="000000" w:themeColor="text1"/>
          <w:sz w:val="24"/>
          <w:szCs w:val="24"/>
        </w:rPr>
        <w:t>units</w:t>
      </w:r>
      <w:r w:rsidRPr="00FC76AF">
        <w:rPr>
          <w:rFonts w:asciiTheme="majorBidi" w:eastAsia="Times New Roman" w:hAnsiTheme="majorBidi" w:cstheme="majorBidi"/>
          <w:color w:val="000000" w:themeColor="text1"/>
          <w:sz w:val="24"/>
          <w:szCs w:val="24"/>
        </w:rPr>
        <w:t xml:space="preserve">, such as standard bricks, often exhibit </w:t>
      </w:r>
      <w:r w:rsidR="00181F4D" w:rsidRPr="00FC76AF">
        <w:rPr>
          <w:rFonts w:asciiTheme="majorBidi" w:eastAsia="Times New Roman" w:hAnsiTheme="majorBidi" w:cstheme="majorBidi"/>
          <w:color w:val="000000" w:themeColor="text1"/>
          <w:sz w:val="24"/>
          <w:szCs w:val="24"/>
        </w:rPr>
        <w:t>insufficient</w:t>
      </w:r>
      <w:r w:rsidRPr="00FC76AF">
        <w:rPr>
          <w:rFonts w:asciiTheme="majorBidi" w:eastAsia="Times New Roman" w:hAnsiTheme="majorBidi" w:cstheme="majorBidi"/>
          <w:color w:val="000000" w:themeColor="text1"/>
          <w:sz w:val="24"/>
          <w:szCs w:val="24"/>
        </w:rPr>
        <w:t xml:space="preserve"> thermal insulation properties, </w:t>
      </w:r>
      <w:r w:rsidR="00521757" w:rsidRPr="00FC76AF">
        <w:rPr>
          <w:rFonts w:asciiTheme="majorBidi" w:eastAsia="Times New Roman" w:hAnsiTheme="majorBidi" w:cstheme="majorBidi"/>
          <w:color w:val="000000" w:themeColor="text1"/>
          <w:sz w:val="24"/>
          <w:szCs w:val="24"/>
        </w:rPr>
        <w:t xml:space="preserve">encouraging </w:t>
      </w:r>
      <w:r w:rsidRPr="00FC76AF">
        <w:rPr>
          <w:rFonts w:asciiTheme="majorBidi" w:eastAsia="Times New Roman" w:hAnsiTheme="majorBidi" w:cstheme="majorBidi"/>
          <w:color w:val="000000" w:themeColor="text1"/>
          <w:sz w:val="24"/>
          <w:szCs w:val="24"/>
        </w:rPr>
        <w:t xml:space="preserve">researchers to explore advanced materials </w:t>
      </w:r>
      <w:r w:rsidR="00693D90" w:rsidRPr="00FC76AF">
        <w:rPr>
          <w:rFonts w:asciiTheme="majorBidi" w:eastAsia="Times New Roman" w:hAnsiTheme="majorBidi" w:cstheme="majorBidi"/>
          <w:color w:val="000000" w:themeColor="text1"/>
          <w:sz w:val="24"/>
          <w:szCs w:val="24"/>
        </w:rPr>
        <w:t xml:space="preserve">efficient in reducing energy </w:t>
      </w:r>
      <w:r w:rsidRPr="00FC76AF">
        <w:rPr>
          <w:rFonts w:asciiTheme="majorBidi" w:eastAsia="Times New Roman" w:hAnsiTheme="majorBidi" w:cstheme="majorBidi"/>
          <w:color w:val="000000" w:themeColor="text1"/>
          <w:sz w:val="24"/>
          <w:szCs w:val="24"/>
        </w:rPr>
        <w:t xml:space="preserve">consumption and environmental footprints (Zhou et al., 2012; </w:t>
      </w:r>
      <w:proofErr w:type="spellStart"/>
      <w:r w:rsidRPr="00FC76AF">
        <w:rPr>
          <w:rFonts w:asciiTheme="majorBidi" w:eastAsia="Times New Roman" w:hAnsiTheme="majorBidi" w:cstheme="majorBidi"/>
          <w:color w:val="000000" w:themeColor="text1"/>
          <w:sz w:val="24"/>
          <w:szCs w:val="24"/>
        </w:rPr>
        <w:t>Peng</w:t>
      </w:r>
      <w:proofErr w:type="spellEnd"/>
      <w:r w:rsidRPr="00FC76AF">
        <w:rPr>
          <w:rFonts w:asciiTheme="majorBidi" w:eastAsia="Times New Roman" w:hAnsiTheme="majorBidi" w:cstheme="majorBidi"/>
          <w:color w:val="000000" w:themeColor="text1"/>
          <w:sz w:val="24"/>
          <w:szCs w:val="24"/>
        </w:rPr>
        <w:t xml:space="preserve"> et al., 2008). Among these </w:t>
      </w:r>
      <w:r w:rsidRPr="00FC76AF">
        <w:rPr>
          <w:rFonts w:asciiTheme="majorBidi" w:eastAsia="Times New Roman" w:hAnsiTheme="majorBidi" w:cstheme="majorBidi"/>
          <w:color w:val="000000" w:themeColor="text1"/>
          <w:sz w:val="24"/>
          <w:szCs w:val="24"/>
        </w:rPr>
        <w:lastRenderedPageBreak/>
        <w:t xml:space="preserve">innovations, foam </w:t>
      </w:r>
      <w:r w:rsidR="00265E85" w:rsidRPr="00FC76AF">
        <w:rPr>
          <w:rFonts w:asciiTheme="majorBidi" w:eastAsia="Times New Roman" w:hAnsiTheme="majorBidi" w:cstheme="majorBidi"/>
          <w:color w:val="000000" w:themeColor="text1"/>
          <w:sz w:val="24"/>
          <w:szCs w:val="24"/>
        </w:rPr>
        <w:t xml:space="preserve">Cementitious Paste has become a promising solution </w:t>
      </w:r>
      <w:r w:rsidRPr="00FC76AF">
        <w:rPr>
          <w:rFonts w:asciiTheme="majorBidi" w:eastAsia="Times New Roman" w:hAnsiTheme="majorBidi" w:cstheme="majorBidi"/>
          <w:color w:val="000000" w:themeColor="text1"/>
          <w:sz w:val="24"/>
          <w:szCs w:val="24"/>
        </w:rPr>
        <w:t xml:space="preserve">due to its low density, </w:t>
      </w:r>
      <w:r w:rsidR="00E44E04" w:rsidRPr="00FC76AF">
        <w:rPr>
          <w:rFonts w:asciiTheme="majorBidi" w:eastAsia="Times New Roman" w:hAnsiTheme="majorBidi" w:cstheme="majorBidi"/>
          <w:color w:val="000000" w:themeColor="text1"/>
          <w:sz w:val="24"/>
          <w:szCs w:val="24"/>
        </w:rPr>
        <w:t>desirable</w:t>
      </w:r>
      <w:r w:rsidRPr="00FC76AF">
        <w:rPr>
          <w:rFonts w:asciiTheme="majorBidi" w:eastAsia="Times New Roman" w:hAnsiTheme="majorBidi" w:cstheme="majorBidi"/>
          <w:color w:val="000000" w:themeColor="text1"/>
          <w:sz w:val="24"/>
          <w:szCs w:val="24"/>
        </w:rPr>
        <w:t xml:space="preserve"> thermal conductivity, and structural versatility, </w:t>
      </w:r>
      <w:r w:rsidR="00FF7EA0" w:rsidRPr="00FC76AF">
        <w:rPr>
          <w:rFonts w:asciiTheme="majorBidi" w:eastAsia="Times New Roman" w:hAnsiTheme="majorBidi" w:cstheme="majorBidi"/>
          <w:color w:val="000000" w:themeColor="text1"/>
          <w:sz w:val="24"/>
          <w:szCs w:val="24"/>
        </w:rPr>
        <w:t>allowing</w:t>
      </w:r>
      <w:r w:rsidR="00E9645D" w:rsidRPr="00FC76AF">
        <w:rPr>
          <w:rFonts w:asciiTheme="majorBidi" w:eastAsia="Times New Roman" w:hAnsiTheme="majorBidi" w:cstheme="majorBidi"/>
          <w:color w:val="000000" w:themeColor="text1"/>
          <w:sz w:val="24"/>
          <w:szCs w:val="24"/>
        </w:rPr>
        <w:t xml:space="preserve"> its dual functionality </w:t>
      </w:r>
      <w:r w:rsidRPr="00FC76AF">
        <w:rPr>
          <w:rFonts w:asciiTheme="majorBidi" w:eastAsia="Times New Roman" w:hAnsiTheme="majorBidi" w:cstheme="majorBidi"/>
          <w:color w:val="000000" w:themeColor="text1"/>
          <w:sz w:val="24"/>
          <w:szCs w:val="24"/>
        </w:rPr>
        <w:t>as a thermal insulator and load-bearing component (</w:t>
      </w:r>
      <w:proofErr w:type="spellStart"/>
      <w:r w:rsidRPr="00FC76AF">
        <w:rPr>
          <w:rFonts w:asciiTheme="majorBidi" w:eastAsia="Times New Roman" w:hAnsiTheme="majorBidi" w:cstheme="majorBidi"/>
          <w:color w:val="000000" w:themeColor="text1"/>
          <w:sz w:val="24"/>
          <w:szCs w:val="24"/>
        </w:rPr>
        <w:t>Bumanis</w:t>
      </w:r>
      <w:proofErr w:type="spellEnd"/>
      <w:r w:rsidRPr="00FC76AF">
        <w:rPr>
          <w:rFonts w:asciiTheme="majorBidi" w:eastAsia="Times New Roman" w:hAnsiTheme="majorBidi" w:cstheme="majorBidi"/>
          <w:color w:val="000000" w:themeColor="text1"/>
          <w:sz w:val="24"/>
          <w:szCs w:val="24"/>
        </w:rPr>
        <w:t xml:space="preserve">, 2013). Additionally, its cost-effectiveness, ease of </w:t>
      </w:r>
      <w:r w:rsidR="002D4A45" w:rsidRPr="00FC76AF">
        <w:rPr>
          <w:rFonts w:asciiTheme="majorBidi" w:eastAsia="Times New Roman" w:hAnsiTheme="majorBidi" w:cstheme="majorBidi"/>
          <w:color w:val="000000" w:themeColor="text1"/>
          <w:sz w:val="24"/>
          <w:szCs w:val="24"/>
        </w:rPr>
        <w:t>Production</w:t>
      </w:r>
      <w:r w:rsidRPr="00FC76AF">
        <w:rPr>
          <w:rFonts w:asciiTheme="majorBidi" w:eastAsia="Times New Roman" w:hAnsiTheme="majorBidi" w:cstheme="majorBidi"/>
          <w:color w:val="000000" w:themeColor="text1"/>
          <w:sz w:val="24"/>
          <w:szCs w:val="24"/>
        </w:rPr>
        <w:t xml:space="preserve">, and sustainable attributes position it as a viable </w:t>
      </w:r>
      <w:r w:rsidR="00F722F2" w:rsidRPr="00FC76AF">
        <w:rPr>
          <w:rFonts w:asciiTheme="majorBidi" w:eastAsia="Times New Roman" w:hAnsiTheme="majorBidi" w:cstheme="majorBidi"/>
          <w:color w:val="000000" w:themeColor="text1"/>
          <w:sz w:val="24"/>
          <w:szCs w:val="24"/>
        </w:rPr>
        <w:t xml:space="preserve">modern eco-friendly </w:t>
      </w:r>
      <w:r w:rsidRPr="00FC76AF">
        <w:rPr>
          <w:rFonts w:asciiTheme="majorBidi" w:eastAsia="Times New Roman" w:hAnsiTheme="majorBidi" w:cstheme="majorBidi"/>
          <w:color w:val="000000" w:themeColor="text1"/>
          <w:sz w:val="24"/>
          <w:szCs w:val="24"/>
        </w:rPr>
        <w:t>construction.</w:t>
      </w:r>
    </w:p>
    <w:p w:rsidR="0029279B" w:rsidRPr="00FC76AF" w:rsidRDefault="0029279B" w:rsidP="006C00B6">
      <w:pPr>
        <w:bidi w:val="0"/>
        <w:spacing w:before="65" w:after="0" w:line="360" w:lineRule="exact"/>
        <w:ind w:right="60"/>
        <w:jc w:val="both"/>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 xml:space="preserve">The efficacy of insulation materials </w:t>
      </w:r>
      <w:r w:rsidR="00FB7CD1" w:rsidRPr="00FC76AF">
        <w:rPr>
          <w:rFonts w:asciiTheme="majorBidi" w:eastAsia="Times New Roman" w:hAnsiTheme="majorBidi" w:cstheme="majorBidi"/>
          <w:color w:val="000000" w:themeColor="text1"/>
          <w:sz w:val="24"/>
          <w:szCs w:val="24"/>
        </w:rPr>
        <w:t>depend</w:t>
      </w:r>
      <w:r w:rsidR="00ED0411" w:rsidRPr="00FC76AF">
        <w:rPr>
          <w:rFonts w:asciiTheme="majorBidi" w:eastAsia="Times New Roman" w:hAnsiTheme="majorBidi" w:cstheme="majorBidi"/>
          <w:color w:val="000000" w:themeColor="text1"/>
          <w:sz w:val="24"/>
          <w:szCs w:val="24"/>
        </w:rPr>
        <w:t>s</w:t>
      </w:r>
      <w:r w:rsidRPr="00FC76AF">
        <w:rPr>
          <w:rFonts w:asciiTheme="majorBidi" w:eastAsia="Times New Roman" w:hAnsiTheme="majorBidi" w:cstheme="majorBidi"/>
          <w:color w:val="000000" w:themeColor="text1"/>
          <w:sz w:val="24"/>
          <w:szCs w:val="24"/>
        </w:rPr>
        <w:t xml:space="preserve"> on their capacity to </w:t>
      </w:r>
      <w:r w:rsidR="00ED0411" w:rsidRPr="00FC76AF">
        <w:rPr>
          <w:rFonts w:asciiTheme="majorBidi" w:eastAsia="Times New Roman" w:hAnsiTheme="majorBidi" w:cstheme="majorBidi"/>
          <w:color w:val="000000" w:themeColor="text1"/>
          <w:sz w:val="24"/>
          <w:szCs w:val="24"/>
        </w:rPr>
        <w:t>diminish</w:t>
      </w:r>
      <w:r w:rsidRPr="00FC76AF">
        <w:rPr>
          <w:rFonts w:asciiTheme="majorBidi" w:eastAsia="Times New Roman" w:hAnsiTheme="majorBidi" w:cstheme="majorBidi"/>
          <w:color w:val="000000" w:themeColor="text1"/>
          <w:sz w:val="24"/>
          <w:szCs w:val="24"/>
        </w:rPr>
        <w:t xml:space="preserve"> heat transfer between </w:t>
      </w:r>
      <w:r w:rsidR="00461FBF" w:rsidRPr="00FC76AF">
        <w:rPr>
          <w:rFonts w:asciiTheme="majorBidi" w:eastAsia="Times New Roman" w:hAnsiTheme="majorBidi" w:cstheme="majorBidi"/>
          <w:color w:val="000000" w:themeColor="text1"/>
          <w:sz w:val="24"/>
          <w:szCs w:val="24"/>
        </w:rPr>
        <w:t>outdoor</w:t>
      </w:r>
      <w:r w:rsidRPr="00FC76AF">
        <w:rPr>
          <w:rFonts w:asciiTheme="majorBidi" w:eastAsia="Times New Roman" w:hAnsiTheme="majorBidi" w:cstheme="majorBidi"/>
          <w:color w:val="000000" w:themeColor="text1"/>
          <w:sz w:val="24"/>
          <w:szCs w:val="24"/>
        </w:rPr>
        <w:t xml:space="preserve"> and </w:t>
      </w:r>
      <w:r w:rsidR="00461FBF" w:rsidRPr="00FC76AF">
        <w:rPr>
          <w:rFonts w:asciiTheme="majorBidi" w:eastAsia="Times New Roman" w:hAnsiTheme="majorBidi" w:cstheme="majorBidi"/>
          <w:color w:val="000000" w:themeColor="text1"/>
          <w:sz w:val="24"/>
          <w:szCs w:val="24"/>
        </w:rPr>
        <w:t>indoor</w:t>
      </w:r>
      <w:r w:rsidRPr="00FC76AF">
        <w:rPr>
          <w:rFonts w:asciiTheme="majorBidi" w:eastAsia="Times New Roman" w:hAnsiTheme="majorBidi" w:cstheme="majorBidi"/>
          <w:color w:val="000000" w:themeColor="text1"/>
          <w:sz w:val="24"/>
          <w:szCs w:val="24"/>
        </w:rPr>
        <w:t xml:space="preserve"> environments, thereby regulating </w:t>
      </w:r>
      <w:r w:rsidR="008202F0" w:rsidRPr="00FC76AF">
        <w:rPr>
          <w:rFonts w:asciiTheme="majorBidi" w:eastAsia="Times New Roman" w:hAnsiTheme="majorBidi" w:cstheme="majorBidi"/>
          <w:color w:val="000000" w:themeColor="text1"/>
          <w:sz w:val="24"/>
          <w:szCs w:val="24"/>
        </w:rPr>
        <w:t xml:space="preserve">internal </w:t>
      </w:r>
      <w:r w:rsidRPr="00FC76AF">
        <w:rPr>
          <w:rFonts w:asciiTheme="majorBidi" w:eastAsia="Times New Roman" w:hAnsiTheme="majorBidi" w:cstheme="majorBidi"/>
          <w:color w:val="000000" w:themeColor="text1"/>
          <w:sz w:val="24"/>
          <w:szCs w:val="24"/>
        </w:rPr>
        <w:t>temperatures and preventing condensation (</w:t>
      </w:r>
      <w:proofErr w:type="spellStart"/>
      <w:r w:rsidRPr="00FC76AF">
        <w:rPr>
          <w:rFonts w:asciiTheme="majorBidi" w:eastAsia="Times New Roman" w:hAnsiTheme="majorBidi" w:cstheme="majorBidi"/>
          <w:color w:val="000000" w:themeColor="text1"/>
          <w:sz w:val="24"/>
          <w:szCs w:val="24"/>
        </w:rPr>
        <w:t>Meletse</w:t>
      </w:r>
      <w:proofErr w:type="spellEnd"/>
      <w:r w:rsidRPr="00FC76AF">
        <w:rPr>
          <w:rFonts w:asciiTheme="majorBidi" w:eastAsia="Times New Roman" w:hAnsiTheme="majorBidi" w:cstheme="majorBidi"/>
          <w:color w:val="000000" w:themeColor="text1"/>
          <w:sz w:val="24"/>
          <w:szCs w:val="24"/>
        </w:rPr>
        <w:t xml:space="preserve">, 2005). In foam </w:t>
      </w:r>
      <w:r w:rsidR="0070682C" w:rsidRPr="00FC76AF">
        <w:rPr>
          <w:rFonts w:asciiTheme="majorBidi" w:eastAsia="Times New Roman" w:hAnsiTheme="majorBidi" w:cstheme="majorBidi"/>
          <w:color w:val="000000" w:themeColor="text1"/>
          <w:sz w:val="24"/>
          <w:szCs w:val="24"/>
        </w:rPr>
        <w:t>cementitious</w:t>
      </w:r>
      <w:r w:rsidRPr="00FC76AF">
        <w:rPr>
          <w:rFonts w:asciiTheme="majorBidi" w:eastAsia="Times New Roman" w:hAnsiTheme="majorBidi" w:cstheme="majorBidi"/>
          <w:color w:val="000000" w:themeColor="text1"/>
          <w:sz w:val="24"/>
          <w:szCs w:val="24"/>
        </w:rPr>
        <w:t xml:space="preserve"> systems, thermal conductivity is </w:t>
      </w:r>
      <w:r w:rsidR="005B7A58" w:rsidRPr="00FC76AF">
        <w:rPr>
          <w:rFonts w:asciiTheme="majorBidi" w:eastAsia="Times New Roman" w:hAnsiTheme="majorBidi" w:cstheme="majorBidi"/>
          <w:color w:val="000000" w:themeColor="text1"/>
          <w:sz w:val="24"/>
          <w:szCs w:val="24"/>
        </w:rPr>
        <w:t>determined</w:t>
      </w:r>
      <w:r w:rsidRPr="00FC76AF">
        <w:rPr>
          <w:rFonts w:asciiTheme="majorBidi" w:eastAsia="Times New Roman" w:hAnsiTheme="majorBidi" w:cstheme="majorBidi"/>
          <w:color w:val="000000" w:themeColor="text1"/>
          <w:sz w:val="24"/>
          <w:szCs w:val="24"/>
        </w:rPr>
        <w:t xml:space="preserve"> by microstructural parameters such as </w:t>
      </w:r>
      <w:r w:rsidR="0042144E" w:rsidRPr="00FC76AF">
        <w:rPr>
          <w:rFonts w:asciiTheme="majorBidi" w:eastAsia="Times New Roman" w:hAnsiTheme="majorBidi" w:cstheme="majorBidi"/>
          <w:color w:val="000000" w:themeColor="text1"/>
          <w:sz w:val="24"/>
          <w:szCs w:val="24"/>
        </w:rPr>
        <w:t>porosity</w:t>
      </w:r>
      <w:r w:rsidRPr="00FC76AF">
        <w:rPr>
          <w:rFonts w:asciiTheme="majorBidi" w:eastAsia="Times New Roman" w:hAnsiTheme="majorBidi" w:cstheme="majorBidi"/>
          <w:color w:val="000000" w:themeColor="text1"/>
          <w:sz w:val="24"/>
          <w:szCs w:val="24"/>
        </w:rPr>
        <w:t xml:space="preserve">, </w:t>
      </w:r>
      <w:r w:rsidR="00FE113B" w:rsidRPr="00FC76AF">
        <w:rPr>
          <w:rFonts w:asciiTheme="majorBidi" w:eastAsia="Times New Roman" w:hAnsiTheme="majorBidi" w:cstheme="majorBidi"/>
          <w:color w:val="000000" w:themeColor="text1"/>
          <w:sz w:val="24"/>
          <w:szCs w:val="24"/>
        </w:rPr>
        <w:t>bulk</w:t>
      </w:r>
      <w:r w:rsidRPr="00FC76AF">
        <w:rPr>
          <w:rFonts w:asciiTheme="majorBidi" w:eastAsia="Times New Roman" w:hAnsiTheme="majorBidi" w:cstheme="majorBidi"/>
          <w:color w:val="000000" w:themeColor="text1"/>
          <w:sz w:val="24"/>
          <w:szCs w:val="24"/>
        </w:rPr>
        <w:t xml:space="preserve"> density, moisture content, and chemical composition (</w:t>
      </w:r>
      <w:proofErr w:type="spellStart"/>
      <w:r w:rsidRPr="00FC76AF">
        <w:rPr>
          <w:rFonts w:asciiTheme="majorBidi" w:eastAsia="Times New Roman" w:hAnsiTheme="majorBidi" w:cstheme="majorBidi"/>
          <w:color w:val="000000" w:themeColor="text1"/>
          <w:sz w:val="24"/>
          <w:szCs w:val="24"/>
        </w:rPr>
        <w:t>Bremner</w:t>
      </w:r>
      <w:proofErr w:type="spellEnd"/>
      <w:r w:rsidRPr="00FC76AF">
        <w:rPr>
          <w:rFonts w:asciiTheme="majorBidi" w:eastAsia="Times New Roman" w:hAnsiTheme="majorBidi" w:cstheme="majorBidi"/>
          <w:color w:val="000000" w:themeColor="text1"/>
          <w:sz w:val="24"/>
          <w:szCs w:val="24"/>
        </w:rPr>
        <w:t xml:space="preserve"> et al., 2000). Notably, the </w:t>
      </w:r>
      <w:r w:rsidR="00D80ACE" w:rsidRPr="00FC76AF">
        <w:rPr>
          <w:rFonts w:asciiTheme="majorBidi" w:eastAsia="Times New Roman" w:hAnsiTheme="majorBidi" w:cstheme="majorBidi"/>
          <w:color w:val="000000" w:themeColor="text1"/>
          <w:sz w:val="24"/>
          <w:szCs w:val="24"/>
        </w:rPr>
        <w:t xml:space="preserve">air content </w:t>
      </w:r>
      <w:r w:rsidRPr="00FC76AF">
        <w:rPr>
          <w:rFonts w:asciiTheme="majorBidi" w:eastAsia="Times New Roman" w:hAnsiTheme="majorBidi" w:cstheme="majorBidi"/>
          <w:color w:val="000000" w:themeColor="text1"/>
          <w:sz w:val="24"/>
          <w:szCs w:val="24"/>
        </w:rPr>
        <w:t xml:space="preserve">within the cement matrix enhances insulation performance, as air </w:t>
      </w:r>
      <w:r w:rsidR="00D80ACE" w:rsidRPr="00FC76AF">
        <w:rPr>
          <w:rFonts w:asciiTheme="majorBidi" w:eastAsia="Times New Roman" w:hAnsiTheme="majorBidi" w:cstheme="majorBidi"/>
          <w:color w:val="000000" w:themeColor="text1"/>
          <w:sz w:val="24"/>
          <w:szCs w:val="24"/>
        </w:rPr>
        <w:t xml:space="preserve">has an inherent </w:t>
      </w:r>
      <w:r w:rsidRPr="00FC76AF">
        <w:rPr>
          <w:rFonts w:asciiTheme="majorBidi" w:eastAsia="Times New Roman" w:hAnsiTheme="majorBidi" w:cstheme="majorBidi"/>
          <w:color w:val="000000" w:themeColor="text1"/>
          <w:sz w:val="24"/>
          <w:szCs w:val="24"/>
        </w:rPr>
        <w:t xml:space="preserve">low thermal conductivity. </w:t>
      </w:r>
      <w:r w:rsidR="00531EE1" w:rsidRPr="00FC76AF">
        <w:rPr>
          <w:rFonts w:asciiTheme="majorBidi" w:eastAsia="Times New Roman" w:hAnsiTheme="majorBidi" w:cstheme="majorBidi"/>
          <w:color w:val="000000" w:themeColor="text1"/>
          <w:sz w:val="24"/>
          <w:szCs w:val="24"/>
        </w:rPr>
        <w:t>Practical</w:t>
      </w:r>
      <w:r w:rsidRPr="00FC76AF">
        <w:rPr>
          <w:rFonts w:asciiTheme="majorBidi" w:eastAsia="Times New Roman" w:hAnsiTheme="majorBidi" w:cstheme="majorBidi"/>
          <w:color w:val="000000" w:themeColor="text1"/>
          <w:sz w:val="24"/>
          <w:szCs w:val="24"/>
        </w:rPr>
        <w:t xml:space="preserve"> studies have further established an inverse correlation between thermal conductivity and porosity, with higher water-to-cement (w/c) ratios </w:t>
      </w:r>
      <w:r w:rsidR="006C00B6" w:rsidRPr="00FC76AF">
        <w:rPr>
          <w:rFonts w:asciiTheme="majorBidi" w:eastAsia="Times New Roman" w:hAnsiTheme="majorBidi" w:cstheme="majorBidi"/>
          <w:color w:val="000000" w:themeColor="text1"/>
          <w:sz w:val="24"/>
          <w:szCs w:val="24"/>
        </w:rPr>
        <w:t>increasing</w:t>
      </w:r>
      <w:r w:rsidRPr="00FC76AF">
        <w:rPr>
          <w:rFonts w:asciiTheme="majorBidi" w:eastAsia="Times New Roman" w:hAnsiTheme="majorBidi" w:cstheme="majorBidi"/>
          <w:color w:val="000000" w:themeColor="text1"/>
          <w:sz w:val="24"/>
          <w:szCs w:val="24"/>
        </w:rPr>
        <w:t xml:space="preserve"> porosity and thus improving insulation (</w:t>
      </w:r>
      <w:proofErr w:type="spellStart"/>
      <w:r w:rsidRPr="00FC76AF">
        <w:rPr>
          <w:rFonts w:asciiTheme="majorBidi" w:eastAsia="Times New Roman" w:hAnsiTheme="majorBidi" w:cstheme="majorBidi"/>
          <w:color w:val="000000" w:themeColor="text1"/>
          <w:sz w:val="24"/>
          <w:szCs w:val="24"/>
        </w:rPr>
        <w:t>Uysal</w:t>
      </w:r>
      <w:proofErr w:type="spellEnd"/>
      <w:r w:rsidRPr="00FC76AF">
        <w:rPr>
          <w:rFonts w:asciiTheme="majorBidi" w:eastAsia="Times New Roman" w:hAnsiTheme="majorBidi" w:cstheme="majorBidi"/>
          <w:color w:val="000000" w:themeColor="text1"/>
          <w:sz w:val="24"/>
          <w:szCs w:val="24"/>
        </w:rPr>
        <w:t xml:space="preserve">, 2004; </w:t>
      </w:r>
      <w:proofErr w:type="spellStart"/>
      <w:r w:rsidRPr="00FC76AF">
        <w:rPr>
          <w:rFonts w:asciiTheme="majorBidi" w:eastAsia="Times New Roman" w:hAnsiTheme="majorBidi" w:cstheme="majorBidi"/>
          <w:color w:val="000000" w:themeColor="text1"/>
          <w:sz w:val="24"/>
          <w:szCs w:val="24"/>
        </w:rPr>
        <w:t>Bessenouci</w:t>
      </w:r>
      <w:proofErr w:type="spellEnd"/>
      <w:r w:rsidRPr="00FC76AF">
        <w:rPr>
          <w:rFonts w:asciiTheme="majorBidi" w:eastAsia="Times New Roman" w:hAnsiTheme="majorBidi" w:cstheme="majorBidi"/>
          <w:color w:val="000000" w:themeColor="text1"/>
          <w:sz w:val="24"/>
          <w:szCs w:val="24"/>
        </w:rPr>
        <w:t>, 2011).</w:t>
      </w:r>
    </w:p>
    <w:p w:rsidR="0029279B" w:rsidRPr="00FC76AF" w:rsidRDefault="0029279B" w:rsidP="002D0D98">
      <w:pPr>
        <w:bidi w:val="0"/>
        <w:spacing w:before="65" w:after="0" w:line="360" w:lineRule="exact"/>
        <w:ind w:right="60"/>
        <w:jc w:val="both"/>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 xml:space="preserve">To </w:t>
      </w:r>
      <w:r w:rsidR="00F849A1" w:rsidRPr="00FC76AF">
        <w:rPr>
          <w:rFonts w:asciiTheme="majorBidi" w:eastAsia="Times New Roman" w:hAnsiTheme="majorBidi" w:cstheme="majorBidi"/>
          <w:color w:val="000000" w:themeColor="text1"/>
          <w:sz w:val="24"/>
          <w:szCs w:val="24"/>
        </w:rPr>
        <w:t>improve</w:t>
      </w:r>
      <w:r w:rsidRPr="00FC76AF">
        <w:rPr>
          <w:rFonts w:asciiTheme="majorBidi" w:eastAsia="Times New Roman" w:hAnsiTheme="majorBidi" w:cstheme="majorBidi"/>
          <w:color w:val="000000" w:themeColor="text1"/>
          <w:sz w:val="24"/>
          <w:szCs w:val="24"/>
        </w:rPr>
        <w:t xml:space="preserve"> </w:t>
      </w:r>
      <w:r w:rsidR="00577EDC" w:rsidRPr="00FC76AF">
        <w:rPr>
          <w:rFonts w:asciiTheme="majorBidi" w:eastAsia="Times New Roman" w:hAnsiTheme="majorBidi" w:cstheme="majorBidi"/>
          <w:color w:val="000000" w:themeColor="text1"/>
          <w:sz w:val="24"/>
          <w:szCs w:val="24"/>
        </w:rPr>
        <w:t xml:space="preserve"> mechanical </w:t>
      </w:r>
      <w:r w:rsidRPr="00FC76AF">
        <w:rPr>
          <w:rFonts w:asciiTheme="majorBidi" w:eastAsia="Times New Roman" w:hAnsiTheme="majorBidi" w:cstheme="majorBidi"/>
          <w:color w:val="000000" w:themeColor="text1"/>
          <w:sz w:val="24"/>
          <w:szCs w:val="24"/>
        </w:rPr>
        <w:t xml:space="preserve">and </w:t>
      </w:r>
      <w:r w:rsidR="00577EDC" w:rsidRPr="00FC76AF">
        <w:rPr>
          <w:rFonts w:asciiTheme="majorBidi" w:eastAsia="Times New Roman" w:hAnsiTheme="majorBidi" w:cstheme="majorBidi"/>
          <w:color w:val="000000" w:themeColor="text1"/>
          <w:sz w:val="24"/>
          <w:szCs w:val="24"/>
        </w:rPr>
        <w:t xml:space="preserve">pore structure </w:t>
      </w:r>
      <w:r w:rsidRPr="00FC76AF">
        <w:rPr>
          <w:rFonts w:asciiTheme="majorBidi" w:eastAsia="Times New Roman" w:hAnsiTheme="majorBidi" w:cstheme="majorBidi"/>
          <w:color w:val="000000" w:themeColor="text1"/>
          <w:sz w:val="24"/>
          <w:szCs w:val="24"/>
        </w:rPr>
        <w:t xml:space="preserve">performance, </w:t>
      </w:r>
      <w:r w:rsidR="00184F5E" w:rsidRPr="00FC76AF">
        <w:rPr>
          <w:rFonts w:asciiTheme="majorBidi" w:eastAsia="Times New Roman" w:hAnsiTheme="majorBidi" w:cstheme="majorBidi"/>
          <w:color w:val="000000" w:themeColor="text1"/>
          <w:sz w:val="24"/>
          <w:szCs w:val="24"/>
        </w:rPr>
        <w:t xml:space="preserve">surfactants </w:t>
      </w:r>
      <w:r w:rsidRPr="00FC76AF">
        <w:rPr>
          <w:rFonts w:asciiTheme="majorBidi" w:eastAsia="Times New Roman" w:hAnsiTheme="majorBidi" w:cstheme="majorBidi"/>
          <w:color w:val="000000" w:themeColor="text1"/>
          <w:sz w:val="24"/>
          <w:szCs w:val="24"/>
        </w:rPr>
        <w:t xml:space="preserve">as </w:t>
      </w:r>
      <w:r w:rsidR="00184F5E" w:rsidRPr="00FC76AF">
        <w:rPr>
          <w:rFonts w:asciiTheme="majorBidi" w:eastAsia="Times New Roman" w:hAnsiTheme="majorBidi" w:cstheme="majorBidi"/>
          <w:color w:val="000000" w:themeColor="text1"/>
          <w:sz w:val="24"/>
          <w:szCs w:val="24"/>
        </w:rPr>
        <w:t xml:space="preserve">surface-active agents </w:t>
      </w:r>
      <w:r w:rsidRPr="00FC76AF">
        <w:rPr>
          <w:rFonts w:asciiTheme="majorBidi" w:eastAsia="Times New Roman" w:hAnsiTheme="majorBidi" w:cstheme="majorBidi"/>
          <w:color w:val="000000" w:themeColor="text1"/>
          <w:sz w:val="24"/>
          <w:szCs w:val="24"/>
        </w:rPr>
        <w:t xml:space="preserve">have been investigated for their ability to modify cementitious matrices. </w:t>
      </w:r>
      <w:proofErr w:type="spellStart"/>
      <w:r w:rsidRPr="00FC76AF">
        <w:rPr>
          <w:rFonts w:asciiTheme="majorBidi" w:eastAsia="Times New Roman" w:hAnsiTheme="majorBidi" w:cstheme="majorBidi"/>
          <w:color w:val="000000" w:themeColor="text1"/>
          <w:sz w:val="24"/>
          <w:szCs w:val="24"/>
        </w:rPr>
        <w:t>Cetyltrimethylammonium</w:t>
      </w:r>
      <w:proofErr w:type="spellEnd"/>
      <w:r w:rsidRPr="00FC76AF">
        <w:rPr>
          <w:rFonts w:asciiTheme="majorBidi" w:eastAsia="Times New Roman" w:hAnsiTheme="majorBidi" w:cstheme="majorBidi"/>
          <w:color w:val="000000" w:themeColor="text1"/>
          <w:sz w:val="24"/>
          <w:szCs w:val="24"/>
        </w:rPr>
        <w:t xml:space="preserve"> Chloride (CTAC), a cationic surfactant, </w:t>
      </w:r>
      <w:r w:rsidR="007C320C" w:rsidRPr="00FC76AF">
        <w:rPr>
          <w:rFonts w:asciiTheme="majorBidi" w:eastAsia="Times New Roman" w:hAnsiTheme="majorBidi" w:cstheme="majorBidi"/>
          <w:color w:val="000000" w:themeColor="text1"/>
          <w:sz w:val="24"/>
          <w:szCs w:val="24"/>
        </w:rPr>
        <w:t>has attracted attention</w:t>
      </w:r>
      <w:r w:rsidRPr="00FC76AF">
        <w:rPr>
          <w:rFonts w:asciiTheme="majorBidi" w:eastAsia="Times New Roman" w:hAnsiTheme="majorBidi" w:cstheme="majorBidi"/>
          <w:color w:val="000000" w:themeColor="text1"/>
          <w:sz w:val="24"/>
          <w:szCs w:val="24"/>
        </w:rPr>
        <w:t xml:space="preserve"> </w:t>
      </w:r>
      <w:r w:rsidR="00653566" w:rsidRPr="00FC76AF">
        <w:rPr>
          <w:rFonts w:asciiTheme="majorBidi" w:eastAsia="Times New Roman" w:hAnsiTheme="majorBidi" w:cstheme="majorBidi"/>
          <w:color w:val="000000" w:themeColor="text1"/>
          <w:sz w:val="24"/>
          <w:szCs w:val="24"/>
        </w:rPr>
        <w:t>for its influence on the rate of hydration and the evolution of microstructure</w:t>
      </w:r>
      <w:r w:rsidRPr="00FC76AF">
        <w:rPr>
          <w:rFonts w:asciiTheme="majorBidi" w:eastAsia="Times New Roman" w:hAnsiTheme="majorBidi" w:cstheme="majorBidi"/>
          <w:color w:val="000000" w:themeColor="text1"/>
          <w:sz w:val="24"/>
          <w:szCs w:val="24"/>
        </w:rPr>
        <w:t xml:space="preserve">. </w:t>
      </w:r>
      <w:r w:rsidR="0061562A" w:rsidRPr="00FC76AF">
        <w:rPr>
          <w:rFonts w:asciiTheme="majorBidi" w:eastAsia="Times New Roman" w:hAnsiTheme="majorBidi" w:cstheme="majorBidi"/>
          <w:color w:val="000000" w:themeColor="text1"/>
          <w:sz w:val="24"/>
          <w:szCs w:val="24"/>
        </w:rPr>
        <w:t>Through the</w:t>
      </w:r>
      <w:r w:rsidR="00560154" w:rsidRPr="00FC76AF">
        <w:rPr>
          <w:color w:val="000000" w:themeColor="text1"/>
        </w:rPr>
        <w:t xml:space="preserve"> </w:t>
      </w:r>
      <w:r w:rsidR="00560154" w:rsidRPr="00FC76AF">
        <w:rPr>
          <w:rFonts w:asciiTheme="majorBidi" w:eastAsia="Times New Roman" w:hAnsiTheme="majorBidi" w:cstheme="majorBidi"/>
          <w:color w:val="000000" w:themeColor="text1"/>
          <w:sz w:val="24"/>
          <w:szCs w:val="24"/>
        </w:rPr>
        <w:t>CTAC</w:t>
      </w:r>
      <w:r w:rsidR="0061562A" w:rsidRPr="00FC76AF">
        <w:rPr>
          <w:rFonts w:asciiTheme="majorBidi" w:eastAsia="Times New Roman" w:hAnsiTheme="majorBidi" w:cstheme="majorBidi"/>
          <w:color w:val="000000" w:themeColor="text1"/>
          <w:sz w:val="24"/>
          <w:szCs w:val="24"/>
        </w:rPr>
        <w:t xml:space="preserve"> surfactant adsorption onto cement particles, </w:t>
      </w:r>
      <w:r w:rsidRPr="00FC76AF">
        <w:rPr>
          <w:rFonts w:asciiTheme="majorBidi" w:eastAsia="Times New Roman" w:hAnsiTheme="majorBidi" w:cstheme="majorBidi"/>
          <w:color w:val="000000" w:themeColor="text1"/>
          <w:sz w:val="24"/>
          <w:szCs w:val="24"/>
        </w:rPr>
        <w:t xml:space="preserve">CTAC </w:t>
      </w:r>
      <w:r w:rsidR="00311494" w:rsidRPr="00FC76AF">
        <w:rPr>
          <w:rFonts w:asciiTheme="majorBidi" w:eastAsia="Times New Roman" w:hAnsiTheme="majorBidi" w:cstheme="majorBidi"/>
          <w:color w:val="000000" w:themeColor="text1"/>
          <w:sz w:val="24"/>
          <w:szCs w:val="24"/>
        </w:rPr>
        <w:t xml:space="preserve">affect </w:t>
      </w:r>
      <w:r w:rsidRPr="00FC76AF">
        <w:rPr>
          <w:rFonts w:asciiTheme="majorBidi" w:eastAsia="Times New Roman" w:hAnsiTheme="majorBidi" w:cstheme="majorBidi"/>
          <w:color w:val="000000" w:themeColor="text1"/>
          <w:sz w:val="24"/>
          <w:szCs w:val="24"/>
        </w:rPr>
        <w:t>particle dispersion, hydration product formation (e.g., calcium silicate hydrate (C-S-H) and calcium hydroxide (</w:t>
      </w:r>
      <w:proofErr w:type="spellStart"/>
      <w:r w:rsidRPr="00FC76AF">
        <w:rPr>
          <w:rFonts w:asciiTheme="majorBidi" w:eastAsia="Times New Roman" w:hAnsiTheme="majorBidi" w:cstheme="majorBidi"/>
          <w:color w:val="000000" w:themeColor="text1"/>
          <w:sz w:val="24"/>
          <w:szCs w:val="24"/>
        </w:rPr>
        <w:t>Ca</w:t>
      </w:r>
      <w:proofErr w:type="spellEnd"/>
      <w:r w:rsidRPr="00FC76AF">
        <w:rPr>
          <w:rFonts w:asciiTheme="majorBidi" w:eastAsia="Times New Roman" w:hAnsiTheme="majorBidi" w:cstheme="majorBidi"/>
          <w:color w:val="000000" w:themeColor="text1"/>
          <w:sz w:val="24"/>
          <w:szCs w:val="24"/>
        </w:rPr>
        <w:t xml:space="preserve">(OH)₂)), and pore </w:t>
      </w:r>
      <w:r w:rsidR="006A52BA" w:rsidRPr="00FC76AF">
        <w:rPr>
          <w:rFonts w:asciiTheme="majorBidi" w:eastAsia="Times New Roman" w:hAnsiTheme="majorBidi" w:cstheme="majorBidi"/>
          <w:color w:val="000000" w:themeColor="text1"/>
          <w:sz w:val="24"/>
          <w:szCs w:val="24"/>
        </w:rPr>
        <w:t>optimization</w:t>
      </w:r>
      <w:r w:rsidRPr="00FC76AF">
        <w:rPr>
          <w:rFonts w:asciiTheme="majorBidi" w:eastAsia="Times New Roman" w:hAnsiTheme="majorBidi" w:cstheme="majorBidi"/>
          <w:color w:val="000000" w:themeColor="text1"/>
          <w:sz w:val="24"/>
          <w:szCs w:val="24"/>
        </w:rPr>
        <w:t xml:space="preserve"> (</w:t>
      </w:r>
      <w:proofErr w:type="spellStart"/>
      <w:r w:rsidRPr="00FC76AF">
        <w:rPr>
          <w:rFonts w:asciiTheme="majorBidi" w:eastAsia="Times New Roman" w:hAnsiTheme="majorBidi" w:cstheme="majorBidi"/>
          <w:color w:val="000000" w:themeColor="text1"/>
          <w:sz w:val="24"/>
          <w:szCs w:val="24"/>
        </w:rPr>
        <w:t>Snoeck</w:t>
      </w:r>
      <w:proofErr w:type="spellEnd"/>
      <w:r w:rsidRPr="00FC76AF">
        <w:rPr>
          <w:rFonts w:asciiTheme="majorBidi" w:eastAsia="Times New Roman" w:hAnsiTheme="majorBidi" w:cstheme="majorBidi"/>
          <w:color w:val="000000" w:themeColor="text1"/>
          <w:sz w:val="24"/>
          <w:szCs w:val="24"/>
        </w:rPr>
        <w:t xml:space="preserve"> et al., 2017; Zhang et al., 2019). However, </w:t>
      </w:r>
      <w:r w:rsidR="007A0D15" w:rsidRPr="00FC76AF">
        <w:rPr>
          <w:rFonts w:asciiTheme="majorBidi" w:eastAsia="Times New Roman" w:hAnsiTheme="majorBidi" w:cstheme="majorBidi"/>
          <w:color w:val="000000" w:themeColor="text1"/>
          <w:sz w:val="24"/>
          <w:szCs w:val="24"/>
        </w:rPr>
        <w:t xml:space="preserve">the </w:t>
      </w:r>
      <w:r w:rsidR="00F57AC4" w:rsidRPr="00FC76AF">
        <w:rPr>
          <w:rFonts w:asciiTheme="majorBidi" w:eastAsia="Times New Roman" w:hAnsiTheme="majorBidi" w:cstheme="majorBidi"/>
          <w:color w:val="000000" w:themeColor="text1"/>
          <w:sz w:val="24"/>
          <w:szCs w:val="24"/>
        </w:rPr>
        <w:t>incre</w:t>
      </w:r>
      <w:r w:rsidR="007A0D15" w:rsidRPr="00FC76AF">
        <w:rPr>
          <w:rFonts w:asciiTheme="majorBidi" w:eastAsia="Times New Roman" w:hAnsiTheme="majorBidi" w:cstheme="majorBidi"/>
          <w:color w:val="000000" w:themeColor="text1"/>
          <w:sz w:val="24"/>
          <w:szCs w:val="24"/>
        </w:rPr>
        <w:t xml:space="preserve">ment of </w:t>
      </w:r>
      <w:r w:rsidRPr="00FC76AF">
        <w:rPr>
          <w:rFonts w:asciiTheme="majorBidi" w:eastAsia="Times New Roman" w:hAnsiTheme="majorBidi" w:cstheme="majorBidi"/>
          <w:color w:val="000000" w:themeColor="text1"/>
          <w:sz w:val="24"/>
          <w:szCs w:val="24"/>
        </w:rPr>
        <w:t xml:space="preserve"> CTAC concentrations may </w:t>
      </w:r>
      <w:r w:rsidR="006133C5" w:rsidRPr="00FC76AF">
        <w:rPr>
          <w:rFonts w:asciiTheme="majorBidi" w:eastAsia="Times New Roman" w:hAnsiTheme="majorBidi" w:cstheme="majorBidi"/>
          <w:color w:val="000000" w:themeColor="text1"/>
          <w:sz w:val="24"/>
          <w:szCs w:val="24"/>
        </w:rPr>
        <w:t>weaken mechanical strength</w:t>
      </w:r>
      <w:r w:rsidRPr="00FC76AF">
        <w:rPr>
          <w:rFonts w:asciiTheme="majorBidi" w:eastAsia="Times New Roman" w:hAnsiTheme="majorBidi" w:cstheme="majorBidi"/>
          <w:color w:val="000000" w:themeColor="text1"/>
          <w:sz w:val="24"/>
          <w:szCs w:val="24"/>
        </w:rPr>
        <w:t xml:space="preserve"> </w:t>
      </w:r>
      <w:r w:rsidR="006A6C0E" w:rsidRPr="00FC76AF">
        <w:rPr>
          <w:rFonts w:asciiTheme="majorBidi" w:eastAsia="Times New Roman" w:hAnsiTheme="majorBidi" w:cstheme="majorBidi"/>
          <w:color w:val="000000" w:themeColor="text1"/>
          <w:sz w:val="24"/>
          <w:szCs w:val="24"/>
        </w:rPr>
        <w:t xml:space="preserve">by creating a non-uniform </w:t>
      </w:r>
      <w:r w:rsidRPr="00FC76AF">
        <w:rPr>
          <w:rFonts w:asciiTheme="majorBidi" w:eastAsia="Times New Roman" w:hAnsiTheme="majorBidi" w:cstheme="majorBidi"/>
          <w:color w:val="000000" w:themeColor="text1"/>
          <w:sz w:val="24"/>
          <w:szCs w:val="24"/>
        </w:rPr>
        <w:t xml:space="preserve">porosity, </w:t>
      </w:r>
      <w:r w:rsidR="002D0D98" w:rsidRPr="00FC76AF">
        <w:rPr>
          <w:rFonts w:asciiTheme="majorBidi" w:eastAsia="Times New Roman" w:hAnsiTheme="majorBidi" w:cstheme="majorBidi"/>
          <w:color w:val="000000" w:themeColor="text1"/>
          <w:sz w:val="24"/>
          <w:szCs w:val="24"/>
        </w:rPr>
        <w:t>reinforcing the necessity of</w:t>
      </w:r>
      <w:r w:rsidR="00B020C8" w:rsidRPr="00FC76AF">
        <w:rPr>
          <w:rFonts w:asciiTheme="majorBidi" w:eastAsia="Times New Roman" w:hAnsiTheme="majorBidi" w:cstheme="majorBidi"/>
          <w:color w:val="000000" w:themeColor="text1"/>
          <w:sz w:val="24"/>
          <w:szCs w:val="24"/>
        </w:rPr>
        <w:t xml:space="preserve"> accurate dosage adjustment</w:t>
      </w:r>
      <w:r w:rsidRPr="00FC76AF">
        <w:rPr>
          <w:rFonts w:asciiTheme="majorBidi" w:eastAsia="Times New Roman" w:hAnsiTheme="majorBidi" w:cstheme="majorBidi"/>
          <w:color w:val="000000" w:themeColor="text1"/>
          <w:sz w:val="24"/>
          <w:szCs w:val="24"/>
        </w:rPr>
        <w:t xml:space="preserve"> (Jones &amp; McCarthy, 2005).</w:t>
      </w:r>
    </w:p>
    <w:p w:rsidR="0029279B" w:rsidRPr="00FC76AF" w:rsidRDefault="0029279B" w:rsidP="00B24EE0">
      <w:pPr>
        <w:bidi w:val="0"/>
        <w:spacing w:before="65" w:after="0" w:line="360" w:lineRule="exact"/>
        <w:ind w:right="60"/>
        <w:jc w:val="both"/>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 xml:space="preserve">This study aims to </w:t>
      </w:r>
      <w:r w:rsidR="009B0CB7" w:rsidRPr="00FC76AF">
        <w:rPr>
          <w:rFonts w:asciiTheme="majorBidi" w:eastAsia="Times New Roman" w:hAnsiTheme="majorBidi" w:cstheme="majorBidi"/>
          <w:color w:val="000000" w:themeColor="text1"/>
          <w:sz w:val="24"/>
          <w:szCs w:val="24"/>
        </w:rPr>
        <w:t>rigorously</w:t>
      </w:r>
      <w:r w:rsidRPr="00FC76AF">
        <w:rPr>
          <w:rFonts w:asciiTheme="majorBidi" w:eastAsia="Times New Roman" w:hAnsiTheme="majorBidi" w:cstheme="majorBidi"/>
          <w:color w:val="000000" w:themeColor="text1"/>
          <w:sz w:val="24"/>
          <w:szCs w:val="24"/>
        </w:rPr>
        <w:t xml:space="preserve"> evaluate the </w:t>
      </w:r>
      <w:r w:rsidR="00271399" w:rsidRPr="00FC76AF">
        <w:rPr>
          <w:rFonts w:asciiTheme="majorBidi" w:eastAsia="Times New Roman" w:hAnsiTheme="majorBidi" w:cstheme="majorBidi"/>
          <w:color w:val="000000" w:themeColor="text1"/>
          <w:sz w:val="24"/>
          <w:szCs w:val="24"/>
        </w:rPr>
        <w:t>physical</w:t>
      </w:r>
      <w:r w:rsidRPr="00FC76AF">
        <w:rPr>
          <w:rFonts w:asciiTheme="majorBidi" w:eastAsia="Times New Roman" w:hAnsiTheme="majorBidi" w:cstheme="majorBidi"/>
          <w:color w:val="000000" w:themeColor="text1"/>
          <w:sz w:val="24"/>
          <w:szCs w:val="24"/>
        </w:rPr>
        <w:t xml:space="preserve"> and microstructural effects of CTAC </w:t>
      </w:r>
      <w:r w:rsidR="00CF6BBD" w:rsidRPr="00FC76AF">
        <w:rPr>
          <w:rFonts w:asciiTheme="majorBidi" w:eastAsia="Times New Roman" w:hAnsiTheme="majorBidi" w:cstheme="majorBidi"/>
          <w:color w:val="000000" w:themeColor="text1"/>
          <w:sz w:val="24"/>
          <w:szCs w:val="24"/>
        </w:rPr>
        <w:t>blending</w:t>
      </w:r>
      <w:r w:rsidRPr="00FC76AF">
        <w:rPr>
          <w:rFonts w:asciiTheme="majorBidi" w:eastAsia="Times New Roman" w:hAnsiTheme="majorBidi" w:cstheme="majorBidi"/>
          <w:color w:val="000000" w:themeColor="text1"/>
          <w:sz w:val="24"/>
          <w:szCs w:val="24"/>
        </w:rPr>
        <w:t xml:space="preserve"> in </w:t>
      </w:r>
      <w:r w:rsidR="003410B8" w:rsidRPr="00FC76AF">
        <w:rPr>
          <w:rFonts w:asciiTheme="majorBidi" w:eastAsia="Times New Roman" w:hAnsiTheme="majorBidi" w:cstheme="majorBidi"/>
          <w:color w:val="000000" w:themeColor="text1"/>
          <w:sz w:val="24"/>
          <w:szCs w:val="24"/>
        </w:rPr>
        <w:t>sustainable and eco-friendly cementitious pastes</w:t>
      </w:r>
      <w:r w:rsidR="006F0C6A" w:rsidRPr="00FC76AF">
        <w:rPr>
          <w:rFonts w:asciiTheme="majorBidi" w:eastAsia="Times New Roman" w:hAnsiTheme="majorBidi" w:cstheme="majorBidi"/>
          <w:color w:val="000000" w:themeColor="text1"/>
          <w:sz w:val="24"/>
          <w:szCs w:val="24"/>
        </w:rPr>
        <w:t xml:space="preserve">. Key </w:t>
      </w:r>
      <w:r w:rsidR="001A5E9B" w:rsidRPr="00FC76AF">
        <w:rPr>
          <w:rFonts w:asciiTheme="majorBidi" w:eastAsia="Times New Roman" w:hAnsiTheme="majorBidi" w:cstheme="majorBidi"/>
          <w:color w:val="000000" w:themeColor="text1"/>
          <w:sz w:val="24"/>
          <w:szCs w:val="24"/>
        </w:rPr>
        <w:t>behavior</w:t>
      </w:r>
      <w:r w:rsidR="006F0C6A" w:rsidRPr="00FC76AF">
        <w:rPr>
          <w:rFonts w:asciiTheme="majorBidi" w:eastAsia="Times New Roman" w:hAnsiTheme="majorBidi" w:cstheme="majorBidi"/>
          <w:color w:val="000000" w:themeColor="text1"/>
          <w:sz w:val="24"/>
          <w:szCs w:val="24"/>
        </w:rPr>
        <w:t xml:space="preserve"> parameters</w:t>
      </w:r>
      <w:r w:rsidRPr="00FC76AF">
        <w:rPr>
          <w:rFonts w:asciiTheme="majorBidi" w:eastAsia="Times New Roman" w:hAnsiTheme="majorBidi" w:cstheme="majorBidi"/>
          <w:color w:val="000000" w:themeColor="text1"/>
          <w:sz w:val="24"/>
          <w:szCs w:val="24"/>
        </w:rPr>
        <w:t xml:space="preserve">, including </w:t>
      </w:r>
      <w:r w:rsidR="007F467B" w:rsidRPr="00FC76AF">
        <w:rPr>
          <w:rFonts w:asciiTheme="majorBidi" w:eastAsia="Times New Roman" w:hAnsiTheme="majorBidi" w:cstheme="majorBidi"/>
          <w:color w:val="000000" w:themeColor="text1"/>
          <w:sz w:val="24"/>
          <w:szCs w:val="24"/>
        </w:rPr>
        <w:t>density</w:t>
      </w:r>
      <w:r w:rsidRPr="00FC76AF">
        <w:rPr>
          <w:rFonts w:asciiTheme="majorBidi" w:eastAsia="Times New Roman" w:hAnsiTheme="majorBidi" w:cstheme="majorBidi"/>
          <w:color w:val="000000" w:themeColor="text1"/>
          <w:sz w:val="24"/>
          <w:szCs w:val="24"/>
        </w:rPr>
        <w:t xml:space="preserve">, </w:t>
      </w:r>
      <w:r w:rsidR="007F467B" w:rsidRPr="00FC76AF">
        <w:rPr>
          <w:rFonts w:asciiTheme="majorBidi" w:eastAsia="Times New Roman" w:hAnsiTheme="majorBidi" w:cstheme="majorBidi"/>
          <w:color w:val="000000" w:themeColor="text1"/>
          <w:sz w:val="24"/>
          <w:szCs w:val="24"/>
        </w:rPr>
        <w:t>compressive strength</w:t>
      </w:r>
      <w:r w:rsidRPr="00FC76AF">
        <w:rPr>
          <w:rFonts w:asciiTheme="majorBidi" w:eastAsia="Times New Roman" w:hAnsiTheme="majorBidi" w:cstheme="majorBidi"/>
          <w:color w:val="000000" w:themeColor="text1"/>
          <w:sz w:val="24"/>
          <w:szCs w:val="24"/>
        </w:rPr>
        <w:t xml:space="preserve">, </w:t>
      </w:r>
      <w:r w:rsidR="007F467B" w:rsidRPr="00FC76AF">
        <w:rPr>
          <w:rFonts w:asciiTheme="majorBidi" w:eastAsia="Times New Roman" w:hAnsiTheme="majorBidi" w:cstheme="majorBidi"/>
          <w:color w:val="000000" w:themeColor="text1"/>
          <w:sz w:val="24"/>
          <w:szCs w:val="24"/>
        </w:rPr>
        <w:t>water absorption</w:t>
      </w:r>
      <w:r w:rsidRPr="00FC76AF">
        <w:rPr>
          <w:rFonts w:asciiTheme="majorBidi" w:eastAsia="Times New Roman" w:hAnsiTheme="majorBidi" w:cstheme="majorBidi"/>
          <w:color w:val="000000" w:themeColor="text1"/>
          <w:sz w:val="24"/>
          <w:szCs w:val="24"/>
        </w:rPr>
        <w:t xml:space="preserve">, </w:t>
      </w:r>
      <w:r w:rsidR="007F467B" w:rsidRPr="00FC76AF">
        <w:rPr>
          <w:rFonts w:asciiTheme="majorBidi" w:eastAsia="Times New Roman" w:hAnsiTheme="majorBidi" w:cstheme="majorBidi"/>
          <w:color w:val="000000" w:themeColor="text1"/>
          <w:sz w:val="24"/>
          <w:szCs w:val="24"/>
        </w:rPr>
        <w:t>thermal conductivity</w:t>
      </w:r>
      <w:r w:rsidRPr="00FC76AF">
        <w:rPr>
          <w:rFonts w:asciiTheme="majorBidi" w:eastAsia="Times New Roman" w:hAnsiTheme="majorBidi" w:cstheme="majorBidi"/>
          <w:color w:val="000000" w:themeColor="text1"/>
          <w:sz w:val="24"/>
          <w:szCs w:val="24"/>
        </w:rPr>
        <w:t xml:space="preserve">, and </w:t>
      </w:r>
      <w:r w:rsidR="00B24EE0" w:rsidRPr="00FC76AF">
        <w:rPr>
          <w:rFonts w:asciiTheme="majorBidi" w:eastAsia="Times New Roman" w:hAnsiTheme="majorBidi" w:cstheme="majorBidi"/>
          <w:color w:val="000000" w:themeColor="text1"/>
          <w:sz w:val="24"/>
          <w:szCs w:val="24"/>
        </w:rPr>
        <w:t>microstructure performance</w:t>
      </w:r>
      <w:r w:rsidRPr="00FC76AF">
        <w:rPr>
          <w:rFonts w:asciiTheme="majorBidi" w:eastAsia="Times New Roman" w:hAnsiTheme="majorBidi" w:cstheme="majorBidi"/>
          <w:color w:val="000000" w:themeColor="text1"/>
          <w:sz w:val="24"/>
          <w:szCs w:val="24"/>
        </w:rPr>
        <w:t xml:space="preserve">, will be analyzed to identify the optimal surfactant </w:t>
      </w:r>
      <w:r w:rsidR="00B24EE0" w:rsidRPr="00FC76AF">
        <w:rPr>
          <w:rFonts w:asciiTheme="majorBidi" w:eastAsia="Times New Roman" w:hAnsiTheme="majorBidi" w:cstheme="majorBidi"/>
          <w:color w:val="000000" w:themeColor="text1"/>
          <w:sz w:val="24"/>
          <w:szCs w:val="24"/>
        </w:rPr>
        <w:t>concentration</w:t>
      </w:r>
      <w:r w:rsidRPr="00FC76AF">
        <w:rPr>
          <w:rFonts w:asciiTheme="majorBidi" w:eastAsia="Times New Roman" w:hAnsiTheme="majorBidi" w:cstheme="majorBidi"/>
          <w:color w:val="000000" w:themeColor="text1"/>
          <w:sz w:val="24"/>
          <w:szCs w:val="24"/>
        </w:rPr>
        <w:t xml:space="preserve"> that balances enhanced thermal insulation with structural durability and sustainability.</w:t>
      </w:r>
    </w:p>
    <w:p w:rsidR="003E4E12" w:rsidRPr="00FC76AF" w:rsidRDefault="003E4E12" w:rsidP="00C75019">
      <w:pPr>
        <w:bidi w:val="0"/>
        <w:spacing w:before="65" w:after="0" w:line="360" w:lineRule="exact"/>
        <w:ind w:right="60"/>
        <w:jc w:val="both"/>
        <w:rPr>
          <w:rFonts w:asciiTheme="majorBidi" w:eastAsia="Times New Roman" w:hAnsiTheme="majorBidi" w:cstheme="majorBidi"/>
          <w:color w:val="000000" w:themeColor="text1"/>
          <w:sz w:val="24"/>
          <w:szCs w:val="24"/>
        </w:rPr>
      </w:pPr>
    </w:p>
    <w:p w:rsidR="00CD787A" w:rsidRPr="00FC76AF" w:rsidRDefault="00CD787A" w:rsidP="001226CE">
      <w:pPr>
        <w:bidi w:val="0"/>
        <w:spacing w:before="100" w:beforeAutospacing="1" w:after="100" w:afterAutospacing="1"/>
        <w:outlineLvl w:val="3"/>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Materials</w:t>
      </w:r>
    </w:p>
    <w:p w:rsidR="00CD787A" w:rsidRPr="00FC76AF" w:rsidRDefault="00CD787A" w:rsidP="005C0F22">
      <w:pPr>
        <w:numPr>
          <w:ilvl w:val="0"/>
          <w:numId w:val="5"/>
        </w:numPr>
        <w:tabs>
          <w:tab w:val="clear" w:pos="720"/>
          <w:tab w:val="num" w:pos="142"/>
        </w:tabs>
        <w:bidi w:val="0"/>
        <w:spacing w:after="100" w:afterAutospacing="1"/>
        <w:ind w:left="142" w:hanging="284"/>
        <w:jc w:val="both"/>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 xml:space="preserve">Cement: Ordinary Portland cement (OPC) of grade CEM I 52.5N, compliant with international standards, was sourced from El-Arish Cement Factory. The chemical composition of the cement, as determined by X-ray fluorescence (XRF) analysis, is provided in Table 1. </w:t>
      </w:r>
    </w:p>
    <w:p w:rsidR="00CD787A" w:rsidRPr="00FC76AF" w:rsidRDefault="00CD787A" w:rsidP="001226CE">
      <w:pPr>
        <w:numPr>
          <w:ilvl w:val="0"/>
          <w:numId w:val="5"/>
        </w:numPr>
        <w:bidi w:val="0"/>
        <w:spacing w:after="100" w:afterAutospacing="1"/>
        <w:ind w:left="142" w:hanging="284"/>
        <w:jc w:val="both"/>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lastRenderedPageBreak/>
        <w:t xml:space="preserve">Water: Potable water from local sources, adhering to ASTM </w:t>
      </w:r>
      <w:bookmarkStart w:id="0" w:name="_GoBack"/>
      <w:bookmarkEnd w:id="0"/>
      <w:r w:rsidRPr="00FC76AF">
        <w:rPr>
          <w:rFonts w:asciiTheme="majorBidi" w:eastAsia="Times New Roman" w:hAnsiTheme="majorBidi" w:cstheme="majorBidi"/>
          <w:color w:val="000000" w:themeColor="text1"/>
          <w:sz w:val="24"/>
          <w:szCs w:val="24"/>
        </w:rPr>
        <w:t>C1602/C1602M standards for mixing and curing concrete, was utilized throughout the experiment.</w:t>
      </w:r>
    </w:p>
    <w:p w:rsidR="00CD787A" w:rsidRPr="00FC76AF" w:rsidRDefault="00CD787A" w:rsidP="008917AE">
      <w:pPr>
        <w:numPr>
          <w:ilvl w:val="0"/>
          <w:numId w:val="5"/>
        </w:numPr>
        <w:bidi w:val="0"/>
        <w:spacing w:after="100" w:afterAutospacing="1"/>
        <w:ind w:left="142" w:hanging="284"/>
        <w:jc w:val="both"/>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Surfactant: </w:t>
      </w:r>
      <w:proofErr w:type="spellStart"/>
      <w:r w:rsidRPr="00FC76AF">
        <w:rPr>
          <w:rFonts w:asciiTheme="majorBidi" w:eastAsia="Times New Roman" w:hAnsiTheme="majorBidi" w:cstheme="majorBidi"/>
          <w:color w:val="000000" w:themeColor="text1"/>
          <w:sz w:val="24"/>
          <w:szCs w:val="24"/>
        </w:rPr>
        <w:t>Cetyltrimethylammonium</w:t>
      </w:r>
      <w:proofErr w:type="spellEnd"/>
      <w:r w:rsidRPr="00FC76AF">
        <w:rPr>
          <w:rFonts w:asciiTheme="majorBidi" w:eastAsia="Times New Roman" w:hAnsiTheme="majorBidi" w:cstheme="majorBidi"/>
          <w:color w:val="000000" w:themeColor="text1"/>
          <w:sz w:val="24"/>
          <w:szCs w:val="24"/>
        </w:rPr>
        <w:t xml:space="preserve"> chloride (CTAC), a cationic surfactant with the chemical formula C₁₉H₄₂</w:t>
      </w:r>
      <w:proofErr w:type="spellStart"/>
      <w:r w:rsidRPr="00FC76AF">
        <w:rPr>
          <w:rFonts w:asciiTheme="majorBidi" w:eastAsia="Times New Roman" w:hAnsiTheme="majorBidi" w:cstheme="majorBidi"/>
          <w:color w:val="000000" w:themeColor="text1"/>
          <w:sz w:val="24"/>
          <w:szCs w:val="24"/>
        </w:rPr>
        <w:t>ClN</w:t>
      </w:r>
      <w:proofErr w:type="spellEnd"/>
      <w:r w:rsidRPr="00FC76AF">
        <w:rPr>
          <w:rFonts w:asciiTheme="majorBidi" w:eastAsia="Times New Roman" w:hAnsiTheme="majorBidi" w:cstheme="majorBidi"/>
          <w:color w:val="000000" w:themeColor="text1"/>
          <w:sz w:val="24"/>
          <w:szCs w:val="24"/>
        </w:rPr>
        <w:t> , was procured from Sigma-Aldrich. Key physicochemical properties of CTAC</w:t>
      </w:r>
      <w:r w:rsidR="008917AE" w:rsidRPr="00FC76AF">
        <w:rPr>
          <w:rFonts w:asciiTheme="majorBidi" w:eastAsia="Times New Roman" w:hAnsiTheme="majorBidi" w:cstheme="majorBidi"/>
          <w:color w:val="000000" w:themeColor="text1"/>
          <w:sz w:val="24"/>
          <w:szCs w:val="24"/>
        </w:rPr>
        <w:t xml:space="preserve"> </w:t>
      </w:r>
      <w:r w:rsidRPr="00FC76AF">
        <w:rPr>
          <w:rFonts w:asciiTheme="majorBidi" w:eastAsia="Times New Roman" w:hAnsiTheme="majorBidi" w:cstheme="majorBidi"/>
          <w:color w:val="000000" w:themeColor="text1"/>
          <w:sz w:val="24"/>
          <w:szCs w:val="24"/>
        </w:rPr>
        <w:t>are summarized in Table 2.</w:t>
      </w:r>
    </w:p>
    <w:p w:rsidR="003E4E12" w:rsidRPr="00FC76AF" w:rsidRDefault="003E4E12" w:rsidP="003E4E12">
      <w:pPr>
        <w:bidi w:val="0"/>
        <w:spacing w:after="0" w:line="240" w:lineRule="auto"/>
        <w:ind w:right="2278"/>
        <w:jc w:val="both"/>
        <w:rPr>
          <w:rFonts w:asciiTheme="majorBidi" w:eastAsia="Times New Roman" w:hAnsiTheme="majorBidi" w:cstheme="majorBidi"/>
          <w:color w:val="000000" w:themeColor="text1"/>
          <w:sz w:val="24"/>
          <w:szCs w:val="24"/>
        </w:rPr>
      </w:pPr>
    </w:p>
    <w:p w:rsidR="000C6583" w:rsidRPr="00FC76AF" w:rsidRDefault="000C6583" w:rsidP="000C6583">
      <w:pPr>
        <w:bidi w:val="0"/>
        <w:spacing w:after="0" w:line="240" w:lineRule="auto"/>
        <w:ind w:left="360" w:right="197"/>
        <w:contextualSpacing/>
        <w:jc w:val="both"/>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 xml:space="preserve">Table 1.  The chemical composition of the used ordinary Portland cement (OPC). </w:t>
      </w:r>
    </w:p>
    <w:p w:rsidR="003E4E12" w:rsidRPr="00FC76AF" w:rsidRDefault="003E4E12" w:rsidP="003E4E12">
      <w:pPr>
        <w:bidi w:val="0"/>
        <w:spacing w:after="0" w:line="240" w:lineRule="auto"/>
        <w:ind w:right="2278"/>
        <w:jc w:val="both"/>
        <w:rPr>
          <w:rFonts w:asciiTheme="majorBidi" w:eastAsia="Times New Roman" w:hAnsiTheme="majorBidi" w:cstheme="majorBidi"/>
          <w:color w:val="000000" w:themeColor="text1"/>
          <w:sz w:val="24"/>
          <w:szCs w:val="24"/>
        </w:rPr>
      </w:pPr>
    </w:p>
    <w:p w:rsidR="005F5356" w:rsidRPr="00FC76AF" w:rsidRDefault="005F5356" w:rsidP="005F5356">
      <w:pPr>
        <w:autoSpaceDE w:val="0"/>
        <w:autoSpaceDN w:val="0"/>
        <w:bidi w:val="0"/>
        <w:adjustRightInd w:val="0"/>
        <w:spacing w:after="0" w:line="240" w:lineRule="auto"/>
        <w:rPr>
          <w:rFonts w:ascii="Times New Roman" w:hAnsi="Times New Roman" w:cs="Times New Roman"/>
          <w:b/>
          <w:bCs/>
          <w:color w:val="000000" w:themeColor="text1"/>
          <w:sz w:val="18"/>
          <w:szCs w:val="18"/>
        </w:rPr>
      </w:pPr>
    </w:p>
    <w:p w:rsidR="005F5356" w:rsidRPr="00FC76AF" w:rsidRDefault="005F5356" w:rsidP="005F5356">
      <w:pPr>
        <w:autoSpaceDE w:val="0"/>
        <w:autoSpaceDN w:val="0"/>
        <w:bidi w:val="0"/>
        <w:adjustRightInd w:val="0"/>
        <w:spacing w:after="0" w:line="240" w:lineRule="auto"/>
        <w:rPr>
          <w:rFonts w:ascii="Times New Roman" w:hAnsi="Times New Roman" w:cs="Times New Roman"/>
          <w:b/>
          <w:bCs/>
          <w:color w:val="000000" w:themeColor="text1"/>
          <w:sz w:val="18"/>
          <w:szCs w:val="18"/>
        </w:rPr>
      </w:pPr>
    </w:p>
    <w:p w:rsidR="00917D12" w:rsidRPr="00FC76AF" w:rsidRDefault="00917D12" w:rsidP="00917D12">
      <w:pPr>
        <w:autoSpaceDE w:val="0"/>
        <w:autoSpaceDN w:val="0"/>
        <w:bidi w:val="0"/>
        <w:adjustRightInd w:val="0"/>
        <w:spacing w:after="0" w:line="240" w:lineRule="auto"/>
        <w:rPr>
          <w:rFonts w:ascii="Times New Roman" w:hAnsi="Times New Roman" w:cs="Times New Roman"/>
          <w:b/>
          <w:bCs/>
          <w:color w:val="000000" w:themeColor="text1"/>
          <w:sz w:val="18"/>
          <w:szCs w:val="18"/>
        </w:rPr>
      </w:pPr>
    </w:p>
    <w:tbl>
      <w:tblPr>
        <w:tblStyle w:val="a3"/>
        <w:tblW w:w="8472" w:type="dxa"/>
        <w:tblLook w:val="04A0" w:firstRow="1" w:lastRow="0" w:firstColumn="1" w:lastColumn="0" w:noHBand="0" w:noVBand="1"/>
      </w:tblPr>
      <w:tblGrid>
        <w:gridCol w:w="768"/>
        <w:gridCol w:w="637"/>
        <w:gridCol w:w="657"/>
        <w:gridCol w:w="666"/>
        <w:gridCol w:w="639"/>
        <w:gridCol w:w="642"/>
        <w:gridCol w:w="625"/>
        <w:gridCol w:w="619"/>
        <w:gridCol w:w="639"/>
        <w:gridCol w:w="620"/>
        <w:gridCol w:w="630"/>
        <w:gridCol w:w="1330"/>
      </w:tblGrid>
      <w:tr w:rsidR="00FC76AF" w:rsidRPr="00FC76AF" w:rsidTr="00583E2C">
        <w:tc>
          <w:tcPr>
            <w:tcW w:w="768" w:type="dxa"/>
          </w:tcPr>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r w:rsidRPr="00FC76AF">
              <w:rPr>
                <w:rFonts w:ascii="Times New Roman" w:hAnsi="Times New Roman" w:cs="Times New Roman"/>
                <w:b/>
                <w:bCs/>
                <w:color w:val="000000" w:themeColor="text1"/>
                <w:sz w:val="18"/>
                <w:szCs w:val="18"/>
              </w:rPr>
              <w:t>Oxide</w:t>
            </w:r>
          </w:p>
        </w:tc>
        <w:tc>
          <w:tcPr>
            <w:tcW w:w="637" w:type="dxa"/>
          </w:tcPr>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r w:rsidRPr="00FC76AF">
              <w:rPr>
                <w:rFonts w:ascii="Times New Roman" w:hAnsi="Times New Roman" w:cs="Times New Roman"/>
                <w:b/>
                <w:bCs/>
                <w:color w:val="000000" w:themeColor="text1"/>
                <w:sz w:val="18"/>
                <w:szCs w:val="18"/>
              </w:rPr>
              <w:t>SiO</w:t>
            </w:r>
            <w:r w:rsidRPr="00FC76AF">
              <w:rPr>
                <w:rFonts w:ascii="Times New Roman" w:hAnsi="Times New Roman" w:cs="Times New Roman"/>
                <w:b/>
                <w:bCs/>
                <w:color w:val="000000" w:themeColor="text1"/>
                <w:sz w:val="12"/>
                <w:szCs w:val="12"/>
              </w:rPr>
              <w:t>2</w:t>
            </w:r>
          </w:p>
        </w:tc>
        <w:tc>
          <w:tcPr>
            <w:tcW w:w="657" w:type="dxa"/>
          </w:tcPr>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r w:rsidRPr="00FC76AF">
              <w:rPr>
                <w:rFonts w:ascii="Times New Roman" w:hAnsi="Times New Roman" w:cs="Times New Roman"/>
                <w:b/>
                <w:bCs/>
                <w:color w:val="000000" w:themeColor="text1"/>
                <w:sz w:val="18"/>
                <w:szCs w:val="18"/>
              </w:rPr>
              <w:t>Al</w:t>
            </w:r>
            <w:r w:rsidRPr="00FC76AF">
              <w:rPr>
                <w:rFonts w:ascii="Times New Roman" w:hAnsi="Times New Roman" w:cs="Times New Roman"/>
                <w:b/>
                <w:bCs/>
                <w:color w:val="000000" w:themeColor="text1"/>
                <w:sz w:val="12"/>
                <w:szCs w:val="12"/>
              </w:rPr>
              <w:t>2</w:t>
            </w:r>
            <w:r w:rsidRPr="00FC76AF">
              <w:rPr>
                <w:rFonts w:ascii="Times New Roman" w:hAnsi="Times New Roman" w:cs="Times New Roman"/>
                <w:b/>
                <w:bCs/>
                <w:color w:val="000000" w:themeColor="text1"/>
                <w:sz w:val="18"/>
                <w:szCs w:val="18"/>
              </w:rPr>
              <w:t>O</w:t>
            </w:r>
            <w:r w:rsidRPr="00FC76AF">
              <w:rPr>
                <w:rFonts w:ascii="Times New Roman" w:hAnsi="Times New Roman" w:cs="Times New Roman"/>
                <w:b/>
                <w:bCs/>
                <w:color w:val="000000" w:themeColor="text1"/>
                <w:sz w:val="12"/>
                <w:szCs w:val="12"/>
              </w:rPr>
              <w:t>3</w:t>
            </w:r>
          </w:p>
        </w:tc>
        <w:tc>
          <w:tcPr>
            <w:tcW w:w="666" w:type="dxa"/>
          </w:tcPr>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r w:rsidRPr="00FC76AF">
              <w:rPr>
                <w:rFonts w:ascii="Times New Roman" w:hAnsi="Times New Roman" w:cs="Times New Roman"/>
                <w:b/>
                <w:bCs/>
                <w:color w:val="000000" w:themeColor="text1"/>
                <w:sz w:val="18"/>
                <w:szCs w:val="18"/>
              </w:rPr>
              <w:t>Fe</w:t>
            </w:r>
            <w:r w:rsidRPr="00FC76AF">
              <w:rPr>
                <w:rFonts w:ascii="Times New Roman" w:hAnsi="Times New Roman" w:cs="Times New Roman"/>
                <w:b/>
                <w:bCs/>
                <w:color w:val="000000" w:themeColor="text1"/>
                <w:sz w:val="12"/>
                <w:szCs w:val="12"/>
              </w:rPr>
              <w:t>2</w:t>
            </w:r>
            <w:r w:rsidRPr="00FC76AF">
              <w:rPr>
                <w:rFonts w:ascii="Times New Roman" w:hAnsi="Times New Roman" w:cs="Times New Roman"/>
                <w:b/>
                <w:bCs/>
                <w:color w:val="000000" w:themeColor="text1"/>
                <w:sz w:val="18"/>
                <w:szCs w:val="18"/>
              </w:rPr>
              <w:t>O</w:t>
            </w:r>
            <w:r w:rsidRPr="00FC76AF">
              <w:rPr>
                <w:rFonts w:ascii="Times New Roman" w:hAnsi="Times New Roman" w:cs="Times New Roman"/>
                <w:b/>
                <w:bCs/>
                <w:color w:val="000000" w:themeColor="text1"/>
                <w:sz w:val="12"/>
                <w:szCs w:val="12"/>
              </w:rPr>
              <w:t>3</w:t>
            </w:r>
          </w:p>
        </w:tc>
        <w:tc>
          <w:tcPr>
            <w:tcW w:w="639" w:type="dxa"/>
          </w:tcPr>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proofErr w:type="spellStart"/>
            <w:r w:rsidRPr="00FC76AF">
              <w:rPr>
                <w:rFonts w:ascii="Times New Roman" w:hAnsi="Times New Roman" w:cs="Times New Roman"/>
                <w:b/>
                <w:bCs/>
                <w:color w:val="000000" w:themeColor="text1"/>
                <w:sz w:val="18"/>
                <w:szCs w:val="18"/>
              </w:rPr>
              <w:t>CaO</w:t>
            </w:r>
            <w:proofErr w:type="spellEnd"/>
          </w:p>
        </w:tc>
        <w:tc>
          <w:tcPr>
            <w:tcW w:w="642" w:type="dxa"/>
          </w:tcPr>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r w:rsidRPr="00FC76AF">
              <w:rPr>
                <w:rFonts w:ascii="Times New Roman" w:hAnsi="Times New Roman" w:cs="Times New Roman"/>
                <w:b/>
                <w:bCs/>
                <w:color w:val="000000" w:themeColor="text1"/>
                <w:sz w:val="18"/>
                <w:szCs w:val="18"/>
              </w:rPr>
              <w:t>Na</w:t>
            </w:r>
            <w:r w:rsidRPr="00FC76AF">
              <w:rPr>
                <w:rFonts w:ascii="Times New Roman" w:hAnsi="Times New Roman" w:cs="Times New Roman"/>
                <w:b/>
                <w:bCs/>
                <w:color w:val="000000" w:themeColor="text1"/>
                <w:sz w:val="12"/>
                <w:szCs w:val="12"/>
              </w:rPr>
              <w:t>2</w:t>
            </w:r>
            <w:r w:rsidRPr="00FC76AF">
              <w:rPr>
                <w:rFonts w:ascii="Times New Roman" w:hAnsi="Times New Roman" w:cs="Times New Roman"/>
                <w:b/>
                <w:bCs/>
                <w:color w:val="000000" w:themeColor="text1"/>
                <w:sz w:val="18"/>
                <w:szCs w:val="18"/>
              </w:rPr>
              <w:t>O</w:t>
            </w:r>
          </w:p>
        </w:tc>
        <w:tc>
          <w:tcPr>
            <w:tcW w:w="625" w:type="dxa"/>
          </w:tcPr>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r w:rsidRPr="00FC76AF">
              <w:rPr>
                <w:rFonts w:ascii="Times New Roman" w:hAnsi="Times New Roman" w:cs="Times New Roman"/>
                <w:b/>
                <w:bCs/>
                <w:color w:val="000000" w:themeColor="text1"/>
                <w:sz w:val="18"/>
                <w:szCs w:val="18"/>
              </w:rPr>
              <w:t>K</w:t>
            </w:r>
            <w:r w:rsidRPr="00FC76AF">
              <w:rPr>
                <w:rFonts w:ascii="Times New Roman" w:hAnsi="Times New Roman" w:cs="Times New Roman"/>
                <w:b/>
                <w:bCs/>
                <w:color w:val="000000" w:themeColor="text1"/>
                <w:sz w:val="12"/>
                <w:szCs w:val="12"/>
              </w:rPr>
              <w:t>2</w:t>
            </w:r>
            <w:r w:rsidRPr="00FC76AF">
              <w:rPr>
                <w:rFonts w:ascii="Times New Roman" w:hAnsi="Times New Roman" w:cs="Times New Roman"/>
                <w:b/>
                <w:bCs/>
                <w:color w:val="000000" w:themeColor="text1"/>
                <w:sz w:val="18"/>
                <w:szCs w:val="18"/>
              </w:rPr>
              <w:t>O</w:t>
            </w:r>
          </w:p>
        </w:tc>
        <w:tc>
          <w:tcPr>
            <w:tcW w:w="619" w:type="dxa"/>
          </w:tcPr>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proofErr w:type="spellStart"/>
            <w:r w:rsidRPr="00FC76AF">
              <w:rPr>
                <w:rFonts w:ascii="Times New Roman" w:hAnsi="Times New Roman" w:cs="Times New Roman"/>
                <w:b/>
                <w:bCs/>
                <w:color w:val="000000" w:themeColor="text1"/>
                <w:sz w:val="18"/>
                <w:szCs w:val="18"/>
              </w:rPr>
              <w:t>Cl</w:t>
            </w:r>
            <w:proofErr w:type="spellEnd"/>
            <w:r w:rsidRPr="00FC76AF">
              <w:rPr>
                <w:rFonts w:ascii="Times New Roman" w:hAnsi="Times New Roman" w:cs="Times New Roman"/>
                <w:b/>
                <w:bCs/>
                <w:color w:val="000000" w:themeColor="text1"/>
                <w:sz w:val="12"/>
                <w:szCs w:val="12"/>
              </w:rPr>
              <w:t>-</w:t>
            </w:r>
          </w:p>
        </w:tc>
        <w:tc>
          <w:tcPr>
            <w:tcW w:w="639" w:type="dxa"/>
          </w:tcPr>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proofErr w:type="spellStart"/>
            <w:r w:rsidRPr="00FC76AF">
              <w:rPr>
                <w:rFonts w:ascii="Times New Roman" w:hAnsi="Times New Roman" w:cs="Times New Roman"/>
                <w:b/>
                <w:bCs/>
                <w:color w:val="000000" w:themeColor="text1"/>
                <w:sz w:val="18"/>
                <w:szCs w:val="18"/>
              </w:rPr>
              <w:t>MgO</w:t>
            </w:r>
            <w:proofErr w:type="spellEnd"/>
          </w:p>
        </w:tc>
        <w:tc>
          <w:tcPr>
            <w:tcW w:w="620" w:type="dxa"/>
          </w:tcPr>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r w:rsidRPr="00FC76AF">
              <w:rPr>
                <w:rFonts w:ascii="Times New Roman" w:hAnsi="Times New Roman" w:cs="Times New Roman"/>
                <w:b/>
                <w:bCs/>
                <w:color w:val="000000" w:themeColor="text1"/>
                <w:sz w:val="18"/>
                <w:szCs w:val="18"/>
              </w:rPr>
              <w:t>SO</w:t>
            </w:r>
            <w:r w:rsidRPr="00FC76AF">
              <w:rPr>
                <w:rFonts w:ascii="Times New Roman" w:hAnsi="Times New Roman" w:cs="Times New Roman"/>
                <w:b/>
                <w:bCs/>
                <w:color w:val="000000" w:themeColor="text1"/>
                <w:sz w:val="12"/>
                <w:szCs w:val="12"/>
              </w:rPr>
              <w:t>3</w:t>
            </w:r>
          </w:p>
        </w:tc>
        <w:tc>
          <w:tcPr>
            <w:tcW w:w="630" w:type="dxa"/>
          </w:tcPr>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r w:rsidRPr="00FC76AF">
              <w:rPr>
                <w:rFonts w:ascii="Times New Roman" w:hAnsi="Times New Roman" w:cs="Times New Roman"/>
                <w:b/>
                <w:bCs/>
                <w:color w:val="000000" w:themeColor="text1"/>
                <w:sz w:val="18"/>
                <w:szCs w:val="18"/>
              </w:rPr>
              <w:t xml:space="preserve">Free </w:t>
            </w:r>
            <w:proofErr w:type="spellStart"/>
            <w:r w:rsidRPr="00FC76AF">
              <w:rPr>
                <w:rFonts w:ascii="Times New Roman" w:hAnsi="Times New Roman" w:cs="Times New Roman"/>
                <w:b/>
                <w:bCs/>
                <w:color w:val="000000" w:themeColor="text1"/>
                <w:sz w:val="18"/>
                <w:szCs w:val="18"/>
              </w:rPr>
              <w:t>CaO</w:t>
            </w:r>
            <w:proofErr w:type="spellEnd"/>
          </w:p>
        </w:tc>
        <w:tc>
          <w:tcPr>
            <w:tcW w:w="1330" w:type="dxa"/>
          </w:tcPr>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r w:rsidRPr="00FC76AF">
              <w:rPr>
                <w:rFonts w:ascii="Times New Roman" w:hAnsi="Times New Roman" w:cs="Times New Roman"/>
                <w:b/>
                <w:bCs/>
                <w:color w:val="000000" w:themeColor="text1"/>
                <w:sz w:val="18"/>
                <w:szCs w:val="18"/>
              </w:rPr>
              <w:t>Ignition Loss</w:t>
            </w:r>
          </w:p>
        </w:tc>
      </w:tr>
      <w:tr w:rsidR="00FC76AF" w:rsidRPr="00FC76AF" w:rsidTr="00583E2C">
        <w:tc>
          <w:tcPr>
            <w:tcW w:w="768" w:type="dxa"/>
          </w:tcPr>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r w:rsidRPr="00FC76AF">
              <w:rPr>
                <w:rFonts w:ascii="Times New Roman" w:hAnsi="Times New Roman" w:cs="Times New Roman"/>
                <w:b/>
                <w:bCs/>
                <w:color w:val="000000" w:themeColor="text1"/>
                <w:sz w:val="18"/>
                <w:szCs w:val="18"/>
              </w:rPr>
              <w:t>(%)</w:t>
            </w:r>
          </w:p>
        </w:tc>
        <w:tc>
          <w:tcPr>
            <w:tcW w:w="637" w:type="dxa"/>
          </w:tcPr>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r w:rsidRPr="00FC76AF">
              <w:rPr>
                <w:rFonts w:ascii="Times New Roman" w:hAnsi="Times New Roman" w:cs="Times New Roman"/>
                <w:color w:val="000000" w:themeColor="text1"/>
                <w:sz w:val="18"/>
                <w:szCs w:val="18"/>
              </w:rPr>
              <w:t>22.12</w:t>
            </w:r>
          </w:p>
        </w:tc>
        <w:tc>
          <w:tcPr>
            <w:tcW w:w="657" w:type="dxa"/>
          </w:tcPr>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r w:rsidRPr="00FC76AF">
              <w:rPr>
                <w:rFonts w:ascii="Times New Roman" w:hAnsi="Times New Roman" w:cs="Times New Roman"/>
                <w:color w:val="000000" w:themeColor="text1"/>
                <w:sz w:val="18"/>
                <w:szCs w:val="18"/>
              </w:rPr>
              <w:t>5.56</w:t>
            </w:r>
          </w:p>
        </w:tc>
        <w:tc>
          <w:tcPr>
            <w:tcW w:w="666" w:type="dxa"/>
          </w:tcPr>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r w:rsidRPr="00FC76AF">
              <w:rPr>
                <w:rFonts w:ascii="Times New Roman" w:hAnsi="Times New Roman" w:cs="Times New Roman"/>
                <w:color w:val="000000" w:themeColor="text1"/>
                <w:sz w:val="18"/>
                <w:szCs w:val="18"/>
              </w:rPr>
              <w:t>3.69</w:t>
            </w:r>
          </w:p>
        </w:tc>
        <w:tc>
          <w:tcPr>
            <w:tcW w:w="639" w:type="dxa"/>
          </w:tcPr>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r w:rsidRPr="00FC76AF">
              <w:rPr>
                <w:rFonts w:ascii="Times New Roman" w:hAnsi="Times New Roman" w:cs="Times New Roman"/>
                <w:color w:val="000000" w:themeColor="text1"/>
                <w:sz w:val="18"/>
                <w:szCs w:val="18"/>
              </w:rPr>
              <w:t>62.87</w:t>
            </w:r>
          </w:p>
        </w:tc>
        <w:tc>
          <w:tcPr>
            <w:tcW w:w="642" w:type="dxa"/>
          </w:tcPr>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r w:rsidRPr="00FC76AF">
              <w:rPr>
                <w:rFonts w:ascii="Times New Roman" w:hAnsi="Times New Roman" w:cs="Times New Roman"/>
                <w:color w:val="000000" w:themeColor="text1"/>
                <w:sz w:val="18"/>
                <w:szCs w:val="18"/>
              </w:rPr>
              <w:t>0.26</w:t>
            </w:r>
          </w:p>
        </w:tc>
        <w:tc>
          <w:tcPr>
            <w:tcW w:w="625" w:type="dxa"/>
          </w:tcPr>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r w:rsidRPr="00FC76AF">
              <w:rPr>
                <w:rFonts w:ascii="Times New Roman" w:hAnsi="Times New Roman" w:cs="Times New Roman"/>
                <w:color w:val="000000" w:themeColor="text1"/>
                <w:sz w:val="18"/>
                <w:szCs w:val="18"/>
              </w:rPr>
              <w:t>0.11</w:t>
            </w:r>
          </w:p>
        </w:tc>
        <w:tc>
          <w:tcPr>
            <w:tcW w:w="619" w:type="dxa"/>
          </w:tcPr>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r w:rsidRPr="00FC76AF">
              <w:rPr>
                <w:rFonts w:ascii="Times New Roman" w:hAnsi="Times New Roman" w:cs="Times New Roman"/>
                <w:color w:val="000000" w:themeColor="text1"/>
                <w:sz w:val="18"/>
                <w:szCs w:val="18"/>
              </w:rPr>
              <w:t>0.02</w:t>
            </w:r>
          </w:p>
        </w:tc>
        <w:tc>
          <w:tcPr>
            <w:tcW w:w="639" w:type="dxa"/>
          </w:tcPr>
          <w:p w:rsidR="00917D12" w:rsidRPr="00FC76AF" w:rsidRDefault="00917D12" w:rsidP="00917D12">
            <w:pPr>
              <w:autoSpaceDE w:val="0"/>
              <w:autoSpaceDN w:val="0"/>
              <w:bidi w:val="0"/>
              <w:adjustRightInd w:val="0"/>
              <w:rPr>
                <w:rFonts w:ascii="Times New Roman" w:hAnsi="Times New Roman" w:cs="Times New Roman"/>
                <w:color w:val="000000" w:themeColor="text1"/>
                <w:sz w:val="18"/>
                <w:szCs w:val="18"/>
              </w:rPr>
            </w:pPr>
            <w:r w:rsidRPr="00FC76AF">
              <w:rPr>
                <w:rFonts w:ascii="Times New Roman" w:hAnsi="Times New Roman" w:cs="Times New Roman"/>
                <w:color w:val="000000" w:themeColor="text1"/>
                <w:sz w:val="18"/>
                <w:szCs w:val="18"/>
              </w:rPr>
              <w:t>2.36</w:t>
            </w:r>
          </w:p>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p>
        </w:tc>
        <w:tc>
          <w:tcPr>
            <w:tcW w:w="620" w:type="dxa"/>
          </w:tcPr>
          <w:p w:rsidR="00917D12" w:rsidRPr="00FC76AF" w:rsidRDefault="00917D12" w:rsidP="00917D12">
            <w:pPr>
              <w:autoSpaceDE w:val="0"/>
              <w:autoSpaceDN w:val="0"/>
              <w:bidi w:val="0"/>
              <w:adjustRightInd w:val="0"/>
              <w:rPr>
                <w:rFonts w:ascii="Times New Roman" w:hAnsi="Times New Roman" w:cs="Times New Roman"/>
                <w:color w:val="000000" w:themeColor="text1"/>
                <w:sz w:val="18"/>
                <w:szCs w:val="18"/>
              </w:rPr>
            </w:pPr>
            <w:r w:rsidRPr="00FC76AF">
              <w:rPr>
                <w:rFonts w:ascii="Times New Roman" w:hAnsi="Times New Roman" w:cs="Times New Roman"/>
                <w:color w:val="000000" w:themeColor="text1"/>
                <w:sz w:val="18"/>
                <w:szCs w:val="18"/>
              </w:rPr>
              <w:t>0.91</w:t>
            </w:r>
          </w:p>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p>
        </w:tc>
        <w:tc>
          <w:tcPr>
            <w:tcW w:w="630" w:type="dxa"/>
          </w:tcPr>
          <w:p w:rsidR="00917D12" w:rsidRPr="00FC76AF" w:rsidRDefault="00917D12" w:rsidP="00917D12">
            <w:pPr>
              <w:autoSpaceDE w:val="0"/>
              <w:autoSpaceDN w:val="0"/>
              <w:bidi w:val="0"/>
              <w:adjustRightInd w:val="0"/>
              <w:rPr>
                <w:rFonts w:ascii="Times New Roman" w:hAnsi="Times New Roman" w:cs="Times New Roman"/>
                <w:color w:val="000000" w:themeColor="text1"/>
                <w:sz w:val="18"/>
                <w:szCs w:val="18"/>
              </w:rPr>
            </w:pPr>
            <w:r w:rsidRPr="00FC76AF">
              <w:rPr>
                <w:rFonts w:ascii="Times New Roman" w:hAnsi="Times New Roman" w:cs="Times New Roman"/>
                <w:color w:val="000000" w:themeColor="text1"/>
                <w:sz w:val="18"/>
                <w:szCs w:val="18"/>
              </w:rPr>
              <w:t>0.92</w:t>
            </w:r>
          </w:p>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p>
        </w:tc>
        <w:tc>
          <w:tcPr>
            <w:tcW w:w="1330" w:type="dxa"/>
          </w:tcPr>
          <w:p w:rsidR="00917D12" w:rsidRPr="00FC76AF" w:rsidRDefault="00917D12" w:rsidP="00917D12">
            <w:pPr>
              <w:autoSpaceDE w:val="0"/>
              <w:autoSpaceDN w:val="0"/>
              <w:bidi w:val="0"/>
              <w:adjustRightInd w:val="0"/>
              <w:rPr>
                <w:rFonts w:ascii="Times New Roman" w:hAnsi="Times New Roman" w:cs="Times New Roman"/>
                <w:b/>
                <w:bCs/>
                <w:color w:val="000000" w:themeColor="text1"/>
                <w:sz w:val="18"/>
                <w:szCs w:val="18"/>
              </w:rPr>
            </w:pPr>
            <w:r w:rsidRPr="00FC76AF">
              <w:rPr>
                <w:rFonts w:ascii="Times New Roman" w:hAnsi="Times New Roman" w:cs="Times New Roman"/>
                <w:color w:val="000000" w:themeColor="text1"/>
                <w:sz w:val="18"/>
                <w:szCs w:val="18"/>
              </w:rPr>
              <w:t>1.22</w:t>
            </w:r>
          </w:p>
        </w:tc>
      </w:tr>
    </w:tbl>
    <w:p w:rsidR="00917D12" w:rsidRPr="00FC76AF" w:rsidRDefault="00917D12" w:rsidP="00917D12">
      <w:pPr>
        <w:autoSpaceDE w:val="0"/>
        <w:autoSpaceDN w:val="0"/>
        <w:bidi w:val="0"/>
        <w:adjustRightInd w:val="0"/>
        <w:spacing w:after="0" w:line="240" w:lineRule="auto"/>
        <w:rPr>
          <w:rFonts w:ascii="Times New Roman" w:hAnsi="Times New Roman" w:cs="Times New Roman"/>
          <w:b/>
          <w:bCs/>
          <w:color w:val="000000" w:themeColor="text1"/>
          <w:sz w:val="18"/>
          <w:szCs w:val="18"/>
        </w:rPr>
      </w:pPr>
    </w:p>
    <w:p w:rsidR="00917D12" w:rsidRPr="00FC76AF" w:rsidRDefault="00917D12" w:rsidP="00917D12">
      <w:pPr>
        <w:autoSpaceDE w:val="0"/>
        <w:autoSpaceDN w:val="0"/>
        <w:bidi w:val="0"/>
        <w:adjustRightInd w:val="0"/>
        <w:spacing w:after="0" w:line="240" w:lineRule="auto"/>
        <w:rPr>
          <w:rFonts w:ascii="Times New Roman" w:hAnsi="Times New Roman" w:cs="Times New Roman"/>
          <w:b/>
          <w:bCs/>
          <w:color w:val="000000" w:themeColor="text1"/>
          <w:sz w:val="18"/>
          <w:szCs w:val="18"/>
        </w:rPr>
      </w:pPr>
    </w:p>
    <w:p w:rsidR="00917D12" w:rsidRPr="00FC76AF" w:rsidRDefault="00917D12" w:rsidP="00917D12">
      <w:pPr>
        <w:autoSpaceDE w:val="0"/>
        <w:autoSpaceDN w:val="0"/>
        <w:bidi w:val="0"/>
        <w:adjustRightInd w:val="0"/>
        <w:spacing w:after="0" w:line="240" w:lineRule="auto"/>
        <w:rPr>
          <w:rFonts w:ascii="Times New Roman" w:hAnsi="Times New Roman" w:cs="Times New Roman"/>
          <w:b/>
          <w:bCs/>
          <w:color w:val="000000" w:themeColor="text1"/>
          <w:sz w:val="18"/>
          <w:szCs w:val="18"/>
        </w:rPr>
      </w:pPr>
    </w:p>
    <w:p w:rsidR="005F5356" w:rsidRPr="00FC76AF" w:rsidRDefault="005F5356" w:rsidP="003E4E12">
      <w:pPr>
        <w:bidi w:val="0"/>
        <w:spacing w:after="0" w:line="240" w:lineRule="auto"/>
        <w:rPr>
          <w:rFonts w:ascii="Times New Roman" w:hAnsi="Times New Roman" w:cs="Times New Roman"/>
          <w:b/>
          <w:bCs/>
          <w:color w:val="000000" w:themeColor="text1"/>
          <w:sz w:val="18"/>
          <w:szCs w:val="18"/>
        </w:rPr>
      </w:pPr>
    </w:p>
    <w:p w:rsidR="003E4E12" w:rsidRPr="00FC76AF" w:rsidRDefault="003E4E12" w:rsidP="005F5356">
      <w:pPr>
        <w:bidi w:val="0"/>
        <w:spacing w:after="0" w:line="240" w:lineRule="auto"/>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 xml:space="preserve">Table 2. Specification of </w:t>
      </w:r>
      <w:proofErr w:type="spellStart"/>
      <w:r w:rsidRPr="00FC76AF">
        <w:rPr>
          <w:rFonts w:asciiTheme="majorBidi" w:eastAsia="Times New Roman" w:hAnsiTheme="majorBidi" w:cstheme="majorBidi"/>
          <w:color w:val="000000" w:themeColor="text1"/>
          <w:sz w:val="24"/>
          <w:szCs w:val="24"/>
        </w:rPr>
        <w:t>Cetyltrimethylammonium</w:t>
      </w:r>
      <w:proofErr w:type="spellEnd"/>
      <w:r w:rsidRPr="00FC76AF">
        <w:rPr>
          <w:rFonts w:asciiTheme="majorBidi" w:eastAsia="Times New Roman" w:hAnsiTheme="majorBidi" w:cstheme="majorBidi"/>
          <w:color w:val="000000" w:themeColor="text1"/>
          <w:sz w:val="24"/>
          <w:szCs w:val="24"/>
        </w:rPr>
        <w:t xml:space="preserve"> chloride (CTAC) solution</w:t>
      </w:r>
    </w:p>
    <w:p w:rsidR="003E4E12" w:rsidRPr="00FC76AF" w:rsidRDefault="003E4E12" w:rsidP="003E4E12">
      <w:pPr>
        <w:bidi w:val="0"/>
        <w:spacing w:after="0" w:line="240" w:lineRule="auto"/>
        <w:ind w:left="260" w:right="2278"/>
        <w:jc w:val="both"/>
        <w:rPr>
          <w:rFonts w:asciiTheme="majorBidi" w:eastAsia="Times New Roman" w:hAnsiTheme="majorBidi" w:cstheme="majorBidi"/>
          <w:color w:val="000000" w:themeColor="text1"/>
          <w:sz w:val="24"/>
          <w:szCs w:val="24"/>
        </w:rPr>
      </w:pPr>
    </w:p>
    <w:p w:rsidR="003E4E12" w:rsidRPr="00FC76AF" w:rsidRDefault="003E4E12" w:rsidP="003E4E12">
      <w:pPr>
        <w:bidi w:val="0"/>
        <w:spacing w:before="5" w:after="0" w:line="120" w:lineRule="exact"/>
        <w:rPr>
          <w:rFonts w:asciiTheme="majorBidi" w:eastAsia="Times New Roman" w:hAnsiTheme="majorBidi" w:cstheme="majorBidi"/>
          <w:color w:val="000000" w:themeColor="text1"/>
          <w:sz w:val="24"/>
          <w:szCs w:val="24"/>
        </w:rPr>
      </w:pPr>
    </w:p>
    <w:p w:rsidR="003E4E12" w:rsidRPr="00FC76AF" w:rsidRDefault="003E4E12" w:rsidP="003E4E12">
      <w:pPr>
        <w:bidi w:val="0"/>
        <w:spacing w:before="5" w:after="0" w:line="120" w:lineRule="exact"/>
        <w:rPr>
          <w:rFonts w:asciiTheme="majorBidi" w:eastAsia="Times New Roman" w:hAnsiTheme="majorBidi" w:cstheme="majorBidi"/>
          <w:color w:val="000000" w:themeColor="text1"/>
          <w:sz w:val="24"/>
          <w:szCs w:val="24"/>
        </w:rPr>
      </w:pPr>
    </w:p>
    <w:tbl>
      <w:tblPr>
        <w:tblStyle w:val="1"/>
        <w:tblW w:w="0" w:type="auto"/>
        <w:tblLook w:val="04A0" w:firstRow="1" w:lastRow="0" w:firstColumn="1" w:lastColumn="0" w:noHBand="0" w:noVBand="1"/>
      </w:tblPr>
      <w:tblGrid>
        <w:gridCol w:w="4226"/>
        <w:gridCol w:w="4296"/>
      </w:tblGrid>
      <w:tr w:rsidR="00FC76AF" w:rsidRPr="00FC76AF" w:rsidTr="00E60B37">
        <w:tc>
          <w:tcPr>
            <w:tcW w:w="8776" w:type="dxa"/>
            <w:gridSpan w:val="2"/>
          </w:tcPr>
          <w:p w:rsidR="003E4E12" w:rsidRPr="00FC76AF" w:rsidRDefault="003E4E12" w:rsidP="003E4E12">
            <w:pPr>
              <w:bidi w:val="0"/>
              <w:spacing w:before="5"/>
              <w:jc w:val="center"/>
              <w:rPr>
                <w:rFonts w:asciiTheme="majorBidi" w:hAnsiTheme="majorBidi" w:cstheme="majorBidi"/>
                <w:color w:val="000000" w:themeColor="text1"/>
                <w:sz w:val="24"/>
                <w:szCs w:val="24"/>
              </w:rPr>
            </w:pPr>
            <w:r w:rsidRPr="00FC76AF">
              <w:rPr>
                <w:rFonts w:asciiTheme="majorBidi" w:hAnsiTheme="majorBidi" w:cstheme="majorBidi"/>
                <w:color w:val="000000" w:themeColor="text1"/>
                <w:sz w:val="24"/>
                <w:szCs w:val="24"/>
              </w:rPr>
              <w:t>Specification</w:t>
            </w:r>
          </w:p>
        </w:tc>
      </w:tr>
      <w:tr w:rsidR="00FC76AF" w:rsidRPr="00FC76AF" w:rsidTr="00E60B37">
        <w:tc>
          <w:tcPr>
            <w:tcW w:w="4388" w:type="dxa"/>
          </w:tcPr>
          <w:p w:rsidR="003E4E12" w:rsidRPr="00FC76AF" w:rsidRDefault="003E4E12" w:rsidP="003E4E12">
            <w:pPr>
              <w:bidi w:val="0"/>
              <w:spacing w:before="5"/>
              <w:rPr>
                <w:rFonts w:asciiTheme="majorBidi" w:hAnsiTheme="majorBidi" w:cstheme="majorBidi"/>
                <w:color w:val="000000" w:themeColor="text1"/>
                <w:sz w:val="24"/>
                <w:szCs w:val="24"/>
              </w:rPr>
            </w:pPr>
            <w:r w:rsidRPr="00FC76AF">
              <w:rPr>
                <w:rFonts w:asciiTheme="majorBidi" w:hAnsiTheme="majorBidi" w:cstheme="majorBidi"/>
                <w:color w:val="000000" w:themeColor="text1"/>
                <w:sz w:val="24"/>
                <w:szCs w:val="24"/>
              </w:rPr>
              <w:t>Chemical formula</w:t>
            </w:r>
          </w:p>
        </w:tc>
        <w:tc>
          <w:tcPr>
            <w:tcW w:w="4388" w:type="dxa"/>
          </w:tcPr>
          <w:p w:rsidR="003E4E12" w:rsidRPr="00FC76AF" w:rsidRDefault="003E4E12" w:rsidP="003E4E12">
            <w:pPr>
              <w:bidi w:val="0"/>
              <w:rPr>
                <w:rFonts w:asciiTheme="majorBidi" w:hAnsiTheme="majorBidi" w:cstheme="majorBidi"/>
                <w:color w:val="000000" w:themeColor="text1"/>
                <w:sz w:val="24"/>
                <w:szCs w:val="24"/>
              </w:rPr>
            </w:pPr>
            <w:r w:rsidRPr="00FC76AF">
              <w:rPr>
                <w:rFonts w:asciiTheme="majorBidi" w:hAnsiTheme="majorBidi" w:cstheme="majorBidi"/>
                <w:color w:val="000000" w:themeColor="text1"/>
                <w:sz w:val="24"/>
                <w:szCs w:val="24"/>
              </w:rPr>
              <w:t>CH</w:t>
            </w:r>
            <w:r w:rsidRPr="00FC76AF">
              <w:rPr>
                <w:rFonts w:asciiTheme="majorBidi" w:hAnsiTheme="majorBidi" w:cstheme="majorBidi"/>
                <w:color w:val="000000" w:themeColor="text1"/>
                <w:sz w:val="24"/>
                <w:szCs w:val="24"/>
                <w:vertAlign w:val="subscript"/>
              </w:rPr>
              <w:t>3</w:t>
            </w:r>
            <w:r w:rsidRPr="00FC76AF">
              <w:rPr>
                <w:rFonts w:asciiTheme="majorBidi" w:hAnsiTheme="majorBidi" w:cstheme="majorBidi"/>
                <w:color w:val="000000" w:themeColor="text1"/>
                <w:sz w:val="24"/>
                <w:szCs w:val="24"/>
              </w:rPr>
              <w:t>(CH2)</w:t>
            </w:r>
            <w:r w:rsidRPr="00FC76AF">
              <w:rPr>
                <w:rFonts w:asciiTheme="majorBidi" w:hAnsiTheme="majorBidi" w:cstheme="majorBidi"/>
                <w:color w:val="000000" w:themeColor="text1"/>
                <w:sz w:val="24"/>
                <w:szCs w:val="24"/>
                <w:vertAlign w:val="subscript"/>
              </w:rPr>
              <w:t>15</w:t>
            </w:r>
            <w:r w:rsidRPr="00FC76AF">
              <w:rPr>
                <w:rFonts w:asciiTheme="majorBidi" w:hAnsiTheme="majorBidi" w:cstheme="majorBidi"/>
                <w:color w:val="000000" w:themeColor="text1"/>
                <w:sz w:val="24"/>
                <w:szCs w:val="24"/>
              </w:rPr>
              <w:t>N(</w:t>
            </w:r>
            <w:proofErr w:type="spellStart"/>
            <w:r w:rsidRPr="00FC76AF">
              <w:rPr>
                <w:rFonts w:asciiTheme="majorBidi" w:hAnsiTheme="majorBidi" w:cstheme="majorBidi"/>
                <w:color w:val="000000" w:themeColor="text1"/>
                <w:sz w:val="24"/>
                <w:szCs w:val="24"/>
              </w:rPr>
              <w:t>Cl</w:t>
            </w:r>
            <w:proofErr w:type="spellEnd"/>
            <w:r w:rsidRPr="00FC76AF">
              <w:rPr>
                <w:rFonts w:asciiTheme="majorBidi" w:hAnsiTheme="majorBidi" w:cstheme="majorBidi"/>
                <w:color w:val="000000" w:themeColor="text1"/>
                <w:sz w:val="24"/>
                <w:szCs w:val="24"/>
              </w:rPr>
              <w:t>)(CH3)</w:t>
            </w:r>
            <w:r w:rsidRPr="00FC76AF">
              <w:rPr>
                <w:rFonts w:asciiTheme="majorBidi" w:hAnsiTheme="majorBidi" w:cstheme="majorBidi"/>
                <w:color w:val="000000" w:themeColor="text1"/>
                <w:sz w:val="24"/>
                <w:szCs w:val="24"/>
                <w:vertAlign w:val="subscript"/>
              </w:rPr>
              <w:t>3</w:t>
            </w:r>
          </w:p>
        </w:tc>
      </w:tr>
      <w:tr w:rsidR="00FC76AF" w:rsidRPr="00FC76AF" w:rsidTr="00E60B37">
        <w:tc>
          <w:tcPr>
            <w:tcW w:w="4388" w:type="dxa"/>
          </w:tcPr>
          <w:p w:rsidR="003E4E12" w:rsidRPr="00FC76AF" w:rsidRDefault="003E4E12" w:rsidP="003E4E12">
            <w:pPr>
              <w:bidi w:val="0"/>
              <w:rPr>
                <w:rFonts w:asciiTheme="majorBidi" w:hAnsiTheme="majorBidi" w:cstheme="majorBidi"/>
                <w:color w:val="000000" w:themeColor="text1"/>
                <w:sz w:val="24"/>
                <w:szCs w:val="24"/>
              </w:rPr>
            </w:pPr>
            <w:r w:rsidRPr="00FC76AF">
              <w:rPr>
                <w:rFonts w:asciiTheme="majorBidi" w:hAnsiTheme="majorBidi" w:cstheme="majorBidi"/>
                <w:color w:val="000000" w:themeColor="text1"/>
                <w:sz w:val="24"/>
                <w:szCs w:val="24"/>
              </w:rPr>
              <w:t>Molar mass</w:t>
            </w:r>
          </w:p>
        </w:tc>
        <w:tc>
          <w:tcPr>
            <w:tcW w:w="4388" w:type="dxa"/>
          </w:tcPr>
          <w:p w:rsidR="003E4E12" w:rsidRPr="00FC76AF" w:rsidRDefault="003E4E12" w:rsidP="003E4E12">
            <w:pPr>
              <w:bidi w:val="0"/>
              <w:rPr>
                <w:rFonts w:asciiTheme="majorBidi" w:hAnsiTheme="majorBidi" w:cstheme="majorBidi"/>
                <w:color w:val="000000" w:themeColor="text1"/>
                <w:sz w:val="24"/>
                <w:szCs w:val="24"/>
              </w:rPr>
            </w:pPr>
            <w:r w:rsidRPr="00FC76AF">
              <w:rPr>
                <w:rFonts w:asciiTheme="majorBidi" w:hAnsiTheme="majorBidi" w:cstheme="majorBidi"/>
                <w:color w:val="000000" w:themeColor="text1"/>
                <w:sz w:val="24"/>
                <w:szCs w:val="24"/>
              </w:rPr>
              <w:t>320.0 g/</w:t>
            </w:r>
            <w:proofErr w:type="spellStart"/>
            <w:r w:rsidRPr="00FC76AF">
              <w:rPr>
                <w:rFonts w:asciiTheme="majorBidi" w:hAnsiTheme="majorBidi" w:cstheme="majorBidi"/>
                <w:color w:val="000000" w:themeColor="text1"/>
                <w:sz w:val="24"/>
                <w:szCs w:val="24"/>
              </w:rPr>
              <w:t>mol</w:t>
            </w:r>
            <w:proofErr w:type="spellEnd"/>
          </w:p>
        </w:tc>
      </w:tr>
      <w:tr w:rsidR="00FC76AF" w:rsidRPr="00FC76AF" w:rsidTr="00E60B37">
        <w:tc>
          <w:tcPr>
            <w:tcW w:w="4388" w:type="dxa"/>
          </w:tcPr>
          <w:p w:rsidR="003E4E12" w:rsidRPr="00FC76AF" w:rsidRDefault="003E4E12" w:rsidP="003E4E12">
            <w:pPr>
              <w:bidi w:val="0"/>
              <w:rPr>
                <w:rFonts w:asciiTheme="majorBidi" w:hAnsiTheme="majorBidi" w:cstheme="majorBidi"/>
                <w:color w:val="000000" w:themeColor="text1"/>
                <w:sz w:val="24"/>
                <w:szCs w:val="24"/>
              </w:rPr>
            </w:pPr>
            <w:r w:rsidRPr="00FC76AF">
              <w:rPr>
                <w:rFonts w:asciiTheme="majorBidi" w:hAnsiTheme="majorBidi" w:cstheme="majorBidi"/>
                <w:color w:val="000000" w:themeColor="text1"/>
                <w:sz w:val="24"/>
                <w:szCs w:val="24"/>
              </w:rPr>
              <w:t>Appearance</w:t>
            </w:r>
          </w:p>
        </w:tc>
        <w:tc>
          <w:tcPr>
            <w:tcW w:w="4388" w:type="dxa"/>
          </w:tcPr>
          <w:p w:rsidR="003E4E12" w:rsidRPr="00FC76AF" w:rsidRDefault="003E4E12" w:rsidP="003E4E12">
            <w:pPr>
              <w:bidi w:val="0"/>
              <w:rPr>
                <w:rFonts w:asciiTheme="majorBidi" w:hAnsiTheme="majorBidi" w:cstheme="majorBidi"/>
                <w:color w:val="000000" w:themeColor="text1"/>
                <w:sz w:val="24"/>
                <w:szCs w:val="24"/>
              </w:rPr>
            </w:pPr>
            <w:r w:rsidRPr="00FC76AF">
              <w:rPr>
                <w:rFonts w:asciiTheme="majorBidi" w:hAnsiTheme="majorBidi" w:cstheme="majorBidi"/>
                <w:color w:val="000000" w:themeColor="text1"/>
                <w:sz w:val="24"/>
                <w:szCs w:val="24"/>
              </w:rPr>
              <w:t>Clear colorless liquid</w:t>
            </w:r>
          </w:p>
        </w:tc>
      </w:tr>
      <w:tr w:rsidR="00FC76AF" w:rsidRPr="00FC76AF" w:rsidTr="00E60B37">
        <w:tc>
          <w:tcPr>
            <w:tcW w:w="4388" w:type="dxa"/>
          </w:tcPr>
          <w:p w:rsidR="003E4E12" w:rsidRPr="00FC76AF" w:rsidRDefault="003E4E12" w:rsidP="003E4E12">
            <w:pPr>
              <w:bidi w:val="0"/>
              <w:rPr>
                <w:rFonts w:asciiTheme="majorBidi" w:hAnsiTheme="majorBidi" w:cstheme="majorBidi"/>
                <w:color w:val="000000" w:themeColor="text1"/>
                <w:sz w:val="24"/>
                <w:szCs w:val="24"/>
              </w:rPr>
            </w:pPr>
            <w:r w:rsidRPr="00FC76AF">
              <w:rPr>
                <w:rFonts w:asciiTheme="majorBidi" w:hAnsiTheme="majorBidi" w:cstheme="majorBidi"/>
                <w:color w:val="000000" w:themeColor="text1"/>
                <w:sz w:val="24"/>
                <w:szCs w:val="24"/>
              </w:rPr>
              <w:t>density</w:t>
            </w:r>
          </w:p>
        </w:tc>
        <w:tc>
          <w:tcPr>
            <w:tcW w:w="4388" w:type="dxa"/>
          </w:tcPr>
          <w:p w:rsidR="003E4E12" w:rsidRPr="00FC76AF" w:rsidRDefault="003E4E12" w:rsidP="003E4E12">
            <w:pPr>
              <w:bidi w:val="0"/>
              <w:rPr>
                <w:rFonts w:asciiTheme="majorBidi" w:hAnsiTheme="majorBidi" w:cstheme="majorBidi"/>
                <w:color w:val="000000" w:themeColor="text1"/>
                <w:sz w:val="24"/>
                <w:szCs w:val="24"/>
              </w:rPr>
            </w:pPr>
            <w:r w:rsidRPr="00FC76AF">
              <w:rPr>
                <w:rFonts w:asciiTheme="majorBidi" w:hAnsiTheme="majorBidi" w:cstheme="majorBidi"/>
                <w:color w:val="000000" w:themeColor="text1"/>
                <w:sz w:val="24"/>
                <w:szCs w:val="24"/>
              </w:rPr>
              <w:t>0.968 g/mL at 25 °C</w:t>
            </w:r>
          </w:p>
        </w:tc>
      </w:tr>
      <w:tr w:rsidR="00FC76AF" w:rsidRPr="00FC76AF" w:rsidTr="00E60B37">
        <w:tc>
          <w:tcPr>
            <w:tcW w:w="4388" w:type="dxa"/>
          </w:tcPr>
          <w:p w:rsidR="003E4E12" w:rsidRPr="00FC76AF" w:rsidRDefault="003E4E12" w:rsidP="003E4E12">
            <w:pPr>
              <w:bidi w:val="0"/>
              <w:rPr>
                <w:rFonts w:asciiTheme="majorBidi" w:hAnsiTheme="majorBidi" w:cstheme="majorBidi"/>
                <w:color w:val="000000" w:themeColor="text1"/>
                <w:sz w:val="24"/>
                <w:szCs w:val="24"/>
              </w:rPr>
            </w:pPr>
            <w:r w:rsidRPr="00FC76AF">
              <w:rPr>
                <w:rFonts w:asciiTheme="majorBidi" w:hAnsiTheme="majorBidi" w:cstheme="majorBidi"/>
                <w:color w:val="000000" w:themeColor="text1"/>
                <w:sz w:val="24"/>
                <w:szCs w:val="24"/>
              </w:rPr>
              <w:t>Active matter</w:t>
            </w:r>
          </w:p>
        </w:tc>
        <w:tc>
          <w:tcPr>
            <w:tcW w:w="4388" w:type="dxa"/>
          </w:tcPr>
          <w:p w:rsidR="003E4E12" w:rsidRPr="00FC76AF" w:rsidRDefault="003E4E12" w:rsidP="003E4E12">
            <w:pPr>
              <w:bidi w:val="0"/>
              <w:rPr>
                <w:rFonts w:asciiTheme="majorBidi" w:hAnsiTheme="majorBidi" w:cstheme="majorBidi"/>
                <w:color w:val="000000" w:themeColor="text1"/>
                <w:sz w:val="24"/>
                <w:szCs w:val="24"/>
              </w:rPr>
            </w:pPr>
            <w:r w:rsidRPr="00FC76AF">
              <w:rPr>
                <w:rFonts w:asciiTheme="majorBidi" w:hAnsiTheme="majorBidi" w:cstheme="majorBidi"/>
                <w:color w:val="000000" w:themeColor="text1"/>
                <w:sz w:val="24"/>
                <w:szCs w:val="24"/>
              </w:rPr>
              <w:t>25 wt. % in H</w:t>
            </w:r>
            <w:r w:rsidRPr="00FC76AF">
              <w:rPr>
                <w:rFonts w:asciiTheme="majorBidi" w:hAnsiTheme="majorBidi" w:cstheme="majorBidi"/>
                <w:color w:val="000000" w:themeColor="text1"/>
                <w:sz w:val="24"/>
                <w:szCs w:val="24"/>
                <w:vertAlign w:val="subscript"/>
              </w:rPr>
              <w:t>2</w:t>
            </w:r>
            <w:r w:rsidRPr="00FC76AF">
              <w:rPr>
                <w:rFonts w:asciiTheme="majorBidi" w:hAnsiTheme="majorBidi" w:cstheme="majorBidi"/>
                <w:color w:val="000000" w:themeColor="text1"/>
                <w:sz w:val="24"/>
                <w:szCs w:val="24"/>
              </w:rPr>
              <w:t>O</w:t>
            </w:r>
          </w:p>
        </w:tc>
      </w:tr>
      <w:tr w:rsidR="00FC76AF" w:rsidRPr="00FC76AF" w:rsidTr="00E60B37">
        <w:tc>
          <w:tcPr>
            <w:tcW w:w="4388" w:type="dxa"/>
          </w:tcPr>
          <w:p w:rsidR="003E4E12" w:rsidRPr="00FC76AF" w:rsidRDefault="003E4E12" w:rsidP="003E4E12">
            <w:pPr>
              <w:bidi w:val="0"/>
              <w:rPr>
                <w:rFonts w:asciiTheme="majorBidi" w:hAnsiTheme="majorBidi" w:cstheme="majorBidi"/>
                <w:color w:val="000000" w:themeColor="text1"/>
                <w:sz w:val="24"/>
                <w:szCs w:val="24"/>
              </w:rPr>
            </w:pPr>
            <w:r w:rsidRPr="00FC76AF">
              <w:rPr>
                <w:rFonts w:asciiTheme="majorBidi" w:hAnsiTheme="majorBidi" w:cstheme="majorBidi"/>
                <w:color w:val="000000" w:themeColor="text1"/>
                <w:sz w:val="24"/>
                <w:szCs w:val="24"/>
              </w:rPr>
              <w:t>Character</w:t>
            </w:r>
          </w:p>
        </w:tc>
        <w:tc>
          <w:tcPr>
            <w:tcW w:w="4388" w:type="dxa"/>
          </w:tcPr>
          <w:p w:rsidR="003E4E12" w:rsidRPr="00FC76AF" w:rsidRDefault="003E4E12" w:rsidP="003E4E12">
            <w:pPr>
              <w:bidi w:val="0"/>
              <w:rPr>
                <w:rFonts w:asciiTheme="majorBidi" w:hAnsiTheme="majorBidi" w:cstheme="majorBidi"/>
                <w:color w:val="000000" w:themeColor="text1"/>
                <w:sz w:val="24"/>
                <w:szCs w:val="24"/>
              </w:rPr>
            </w:pPr>
            <w:r w:rsidRPr="00FC76AF">
              <w:rPr>
                <w:rFonts w:asciiTheme="majorBidi" w:hAnsiTheme="majorBidi" w:cstheme="majorBidi"/>
                <w:color w:val="000000" w:themeColor="text1"/>
                <w:sz w:val="24"/>
                <w:szCs w:val="24"/>
              </w:rPr>
              <w:t>cationic surfactant</w:t>
            </w:r>
          </w:p>
        </w:tc>
      </w:tr>
      <w:tr w:rsidR="003E4E12" w:rsidRPr="00FC76AF" w:rsidTr="00E60B37">
        <w:tc>
          <w:tcPr>
            <w:tcW w:w="4388" w:type="dxa"/>
          </w:tcPr>
          <w:p w:rsidR="003E4E12" w:rsidRPr="00FC76AF" w:rsidRDefault="003E4E12" w:rsidP="003E4E12">
            <w:pPr>
              <w:bidi w:val="0"/>
              <w:rPr>
                <w:rFonts w:asciiTheme="majorBidi" w:hAnsiTheme="majorBidi" w:cstheme="majorBidi"/>
                <w:color w:val="000000" w:themeColor="text1"/>
                <w:sz w:val="24"/>
                <w:szCs w:val="24"/>
              </w:rPr>
            </w:pPr>
            <w:r w:rsidRPr="00FC76AF">
              <w:rPr>
                <w:rFonts w:asciiTheme="majorBidi" w:hAnsiTheme="majorBidi" w:cstheme="majorBidi"/>
                <w:color w:val="000000" w:themeColor="text1"/>
                <w:sz w:val="24"/>
                <w:szCs w:val="24"/>
              </w:rPr>
              <w:t>pH at 25C0</w:t>
            </w:r>
          </w:p>
        </w:tc>
        <w:tc>
          <w:tcPr>
            <w:tcW w:w="4388" w:type="dxa"/>
          </w:tcPr>
          <w:p w:rsidR="003E4E12" w:rsidRPr="00FC76AF" w:rsidRDefault="003E4E12" w:rsidP="003E4E12">
            <w:pPr>
              <w:bidi w:val="0"/>
              <w:rPr>
                <w:rFonts w:asciiTheme="majorBidi" w:hAnsiTheme="majorBidi" w:cstheme="majorBidi"/>
                <w:color w:val="000000" w:themeColor="text1"/>
                <w:sz w:val="24"/>
                <w:szCs w:val="24"/>
              </w:rPr>
            </w:pPr>
            <w:r w:rsidRPr="00FC76AF">
              <w:rPr>
                <w:rFonts w:asciiTheme="majorBidi" w:hAnsiTheme="majorBidi" w:cstheme="majorBidi"/>
                <w:color w:val="000000" w:themeColor="text1"/>
                <w:sz w:val="24"/>
                <w:szCs w:val="24"/>
              </w:rPr>
              <w:t>6-8</w:t>
            </w:r>
          </w:p>
        </w:tc>
      </w:tr>
    </w:tbl>
    <w:p w:rsidR="003E4E12" w:rsidRPr="00FC76AF" w:rsidRDefault="003E4E12" w:rsidP="003E4E12">
      <w:pPr>
        <w:bidi w:val="0"/>
        <w:spacing w:before="5" w:after="0" w:line="120" w:lineRule="exact"/>
        <w:rPr>
          <w:rFonts w:asciiTheme="majorBidi" w:eastAsia="Times New Roman" w:hAnsiTheme="majorBidi" w:cstheme="majorBidi"/>
          <w:color w:val="000000" w:themeColor="text1"/>
          <w:sz w:val="24"/>
          <w:szCs w:val="24"/>
        </w:rPr>
      </w:pPr>
    </w:p>
    <w:p w:rsidR="003E4E12" w:rsidRPr="00FC76AF" w:rsidRDefault="00555B74" w:rsidP="00615474">
      <w:pPr>
        <w:bidi w:val="0"/>
        <w:spacing w:after="0" w:line="240" w:lineRule="auto"/>
        <w:ind w:right="202"/>
        <w:jc w:val="both"/>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noProof/>
          <w:color w:val="000000" w:themeColor="text1"/>
          <w:sz w:val="24"/>
          <w:szCs w:val="24"/>
        </w:rPr>
        <w:drawing>
          <wp:inline distT="0" distB="0" distL="0" distR="0" wp14:anchorId="26B8C87D" wp14:editId="19F03250">
            <wp:extent cx="3701415" cy="179197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1415" cy="1791970"/>
                    </a:xfrm>
                    <a:prstGeom prst="rect">
                      <a:avLst/>
                    </a:prstGeom>
                    <a:noFill/>
                    <a:ln>
                      <a:noFill/>
                    </a:ln>
                  </pic:spPr>
                </pic:pic>
              </a:graphicData>
            </a:graphic>
          </wp:inline>
        </w:drawing>
      </w:r>
    </w:p>
    <w:p w:rsidR="00555B74" w:rsidRPr="00FC76AF" w:rsidRDefault="00555B74" w:rsidP="00555B74">
      <w:pPr>
        <w:pStyle w:val="4"/>
        <w:bidi w:val="0"/>
        <w:rPr>
          <w:rFonts w:ascii="Times New Roman" w:eastAsia="Times New Roman" w:hAnsi="Times New Roman" w:cs="Times New Roman"/>
          <w:b w:val="0"/>
          <w:bCs w:val="0"/>
          <w:i w:val="0"/>
          <w:iCs w:val="0"/>
          <w:color w:val="000000" w:themeColor="text1"/>
          <w:sz w:val="24"/>
          <w:szCs w:val="24"/>
        </w:rPr>
      </w:pPr>
      <w:r w:rsidRPr="00FC76AF">
        <w:rPr>
          <w:rFonts w:asciiTheme="majorBidi" w:eastAsia="Times New Roman" w:hAnsiTheme="majorBidi"/>
          <w:color w:val="000000" w:themeColor="text1"/>
          <w:sz w:val="24"/>
          <w:szCs w:val="24"/>
        </w:rPr>
        <w:t xml:space="preserve"> </w:t>
      </w:r>
      <w:r w:rsidRPr="00FC76AF">
        <w:rPr>
          <w:rFonts w:ascii="Times New Roman" w:eastAsia="Times New Roman" w:hAnsi="Times New Roman" w:cs="Times New Roman"/>
          <w:i w:val="0"/>
          <w:iCs w:val="0"/>
          <w:color w:val="000000" w:themeColor="text1"/>
          <w:sz w:val="24"/>
          <w:szCs w:val="24"/>
        </w:rPr>
        <w:t xml:space="preserve">Figure 1: </w:t>
      </w:r>
      <w:r w:rsidRPr="00FC76AF">
        <w:rPr>
          <w:rFonts w:ascii="Times New Roman" w:eastAsia="Times New Roman" w:hAnsi="Times New Roman" w:cs="Times New Roman"/>
          <w:b w:val="0"/>
          <w:bCs w:val="0"/>
          <w:i w:val="0"/>
          <w:iCs w:val="0"/>
          <w:color w:val="000000" w:themeColor="text1"/>
          <w:sz w:val="24"/>
          <w:szCs w:val="24"/>
        </w:rPr>
        <w:t xml:space="preserve">Chemical structure of </w:t>
      </w:r>
      <w:proofErr w:type="spellStart"/>
      <w:r w:rsidRPr="00FC76AF">
        <w:rPr>
          <w:rFonts w:ascii="Times New Roman" w:eastAsia="Times New Roman" w:hAnsi="Times New Roman" w:cs="Times New Roman"/>
          <w:b w:val="0"/>
          <w:bCs w:val="0"/>
          <w:i w:val="0"/>
          <w:iCs w:val="0"/>
          <w:color w:val="000000" w:themeColor="text1"/>
          <w:sz w:val="24"/>
          <w:szCs w:val="24"/>
        </w:rPr>
        <w:t>cetyltrimethylammonium</w:t>
      </w:r>
      <w:proofErr w:type="spellEnd"/>
      <w:r w:rsidRPr="00FC76AF">
        <w:rPr>
          <w:rFonts w:ascii="Times New Roman" w:eastAsia="Times New Roman" w:hAnsi="Times New Roman" w:cs="Times New Roman"/>
          <w:b w:val="0"/>
          <w:bCs w:val="0"/>
          <w:i w:val="0"/>
          <w:iCs w:val="0"/>
          <w:color w:val="000000" w:themeColor="text1"/>
          <w:sz w:val="24"/>
          <w:szCs w:val="24"/>
        </w:rPr>
        <w:t xml:space="preserve"> chloride (CTAC).</w:t>
      </w:r>
    </w:p>
    <w:p w:rsidR="00555B74" w:rsidRPr="00FC76AF" w:rsidRDefault="00555B74" w:rsidP="00555B74">
      <w:pPr>
        <w:bidi w:val="0"/>
        <w:spacing w:after="0" w:line="240" w:lineRule="auto"/>
        <w:ind w:right="202"/>
        <w:jc w:val="both"/>
        <w:rPr>
          <w:rFonts w:asciiTheme="majorBidi" w:eastAsia="Times New Roman" w:hAnsiTheme="majorBidi" w:cstheme="majorBidi"/>
          <w:color w:val="000000" w:themeColor="text1"/>
          <w:sz w:val="24"/>
          <w:szCs w:val="24"/>
        </w:rPr>
      </w:pPr>
    </w:p>
    <w:p w:rsidR="003E4E12" w:rsidRPr="00FC76AF" w:rsidRDefault="003E4E12" w:rsidP="003E4E12">
      <w:pPr>
        <w:bidi w:val="0"/>
        <w:spacing w:after="0" w:line="240" w:lineRule="auto"/>
        <w:ind w:left="200" w:right="202"/>
        <w:jc w:val="both"/>
        <w:rPr>
          <w:rFonts w:asciiTheme="majorBidi" w:eastAsia="Times New Roman" w:hAnsiTheme="majorBidi" w:cstheme="majorBidi"/>
          <w:color w:val="000000" w:themeColor="text1"/>
          <w:sz w:val="24"/>
          <w:szCs w:val="24"/>
        </w:rPr>
      </w:pPr>
    </w:p>
    <w:p w:rsidR="008729BE" w:rsidRPr="00FC76AF" w:rsidRDefault="008729BE" w:rsidP="008729BE">
      <w:pPr>
        <w:autoSpaceDE w:val="0"/>
        <w:autoSpaceDN w:val="0"/>
        <w:bidi w:val="0"/>
        <w:adjustRightInd w:val="0"/>
        <w:spacing w:after="0" w:line="240" w:lineRule="auto"/>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 xml:space="preserve">METHODS </w:t>
      </w:r>
    </w:p>
    <w:p w:rsidR="004545D3" w:rsidRPr="00FC76AF" w:rsidRDefault="004545D3" w:rsidP="004545D3">
      <w:pPr>
        <w:bidi w:val="0"/>
        <w:spacing w:before="100" w:beforeAutospacing="1" w:after="100" w:afterAutospacing="1" w:line="240" w:lineRule="auto"/>
        <w:outlineLvl w:val="3"/>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1. Paste Preparation</w:t>
      </w:r>
    </w:p>
    <w:p w:rsidR="004545D3" w:rsidRPr="00FC76AF" w:rsidRDefault="004545D3" w:rsidP="006233A4">
      <w:p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lastRenderedPageBreak/>
        <w:t xml:space="preserve">Cement paste </w:t>
      </w:r>
      <w:r w:rsidR="00186500" w:rsidRPr="00FC76AF">
        <w:rPr>
          <w:rFonts w:asciiTheme="majorBidi" w:eastAsia="Times New Roman" w:hAnsiTheme="majorBidi" w:cstheme="majorBidi"/>
          <w:color w:val="000000" w:themeColor="text1"/>
          <w:sz w:val="24"/>
          <w:szCs w:val="24"/>
        </w:rPr>
        <w:t>sample</w:t>
      </w:r>
      <w:r w:rsidRPr="00FC76AF">
        <w:rPr>
          <w:rFonts w:asciiTheme="majorBidi" w:eastAsia="Times New Roman" w:hAnsiTheme="majorBidi" w:cstheme="majorBidi"/>
          <w:color w:val="000000" w:themeColor="text1"/>
          <w:sz w:val="24"/>
          <w:szCs w:val="24"/>
        </w:rPr>
        <w:t>s were prepared by dissolving </w:t>
      </w:r>
      <w:r w:rsidR="00E75792" w:rsidRPr="00FC76AF">
        <w:rPr>
          <w:rFonts w:asciiTheme="majorBidi" w:eastAsia="Times New Roman" w:hAnsiTheme="majorBidi" w:cstheme="majorBidi"/>
          <w:color w:val="000000" w:themeColor="text1"/>
          <w:sz w:val="24"/>
          <w:szCs w:val="24"/>
        </w:rPr>
        <w:t xml:space="preserve"> </w:t>
      </w:r>
      <w:r w:rsidRPr="00FC76AF">
        <w:rPr>
          <w:rFonts w:asciiTheme="majorBidi" w:eastAsia="Times New Roman" w:hAnsiTheme="majorBidi" w:cstheme="majorBidi"/>
          <w:color w:val="000000" w:themeColor="text1"/>
          <w:sz w:val="24"/>
          <w:szCs w:val="24"/>
        </w:rPr>
        <w:t xml:space="preserve">CTAC in potable water at concentrations ranging from 0.1% to 2% by weight of cement. A constant water-to-cement (w/c) ratio of 0.43 was maintained for all mixes. The surfactant-water solution was blended with CEM I 52.5N Portland cement using a mechanical mixer under continuous vigorous stirring (approximately 3 minutes) to ensure homogeneity. The resultant paste was cast into cubic molds (10 cm × 10 cm × 10 cm) and cured at 100% relative humidity and room temperature (23 ± 2°C) for 24 hours. After </w:t>
      </w:r>
      <w:proofErr w:type="spellStart"/>
      <w:r w:rsidRPr="00FC76AF">
        <w:rPr>
          <w:rFonts w:asciiTheme="majorBidi" w:eastAsia="Times New Roman" w:hAnsiTheme="majorBidi" w:cstheme="majorBidi"/>
          <w:color w:val="000000" w:themeColor="text1"/>
          <w:sz w:val="24"/>
          <w:szCs w:val="24"/>
        </w:rPr>
        <w:t>demolding</w:t>
      </w:r>
      <w:proofErr w:type="spellEnd"/>
      <w:r w:rsidRPr="00FC76AF">
        <w:rPr>
          <w:rFonts w:asciiTheme="majorBidi" w:eastAsia="Times New Roman" w:hAnsiTheme="majorBidi" w:cstheme="majorBidi"/>
          <w:color w:val="000000" w:themeColor="text1"/>
          <w:sz w:val="24"/>
          <w:szCs w:val="24"/>
        </w:rPr>
        <w:t xml:space="preserve">, </w:t>
      </w:r>
      <w:r w:rsidR="00186500" w:rsidRPr="00FC76AF">
        <w:rPr>
          <w:rFonts w:asciiTheme="majorBidi" w:eastAsia="Times New Roman" w:hAnsiTheme="majorBidi" w:cstheme="majorBidi"/>
          <w:color w:val="000000" w:themeColor="text1"/>
          <w:sz w:val="24"/>
          <w:szCs w:val="24"/>
        </w:rPr>
        <w:t>sample</w:t>
      </w:r>
      <w:r w:rsidRPr="00FC76AF">
        <w:rPr>
          <w:rFonts w:asciiTheme="majorBidi" w:eastAsia="Times New Roman" w:hAnsiTheme="majorBidi" w:cstheme="majorBidi"/>
          <w:color w:val="000000" w:themeColor="text1"/>
          <w:sz w:val="24"/>
          <w:szCs w:val="24"/>
        </w:rPr>
        <w:t xml:space="preserve">s were </w:t>
      </w:r>
      <w:r w:rsidR="006233A4" w:rsidRPr="00FC76AF">
        <w:rPr>
          <w:rFonts w:asciiTheme="majorBidi" w:eastAsia="Times New Roman" w:hAnsiTheme="majorBidi" w:cstheme="majorBidi"/>
          <w:color w:val="000000" w:themeColor="text1"/>
          <w:sz w:val="24"/>
          <w:szCs w:val="24"/>
        </w:rPr>
        <w:t>immersed</w:t>
      </w:r>
      <w:r w:rsidRPr="00FC76AF">
        <w:rPr>
          <w:rFonts w:asciiTheme="majorBidi" w:eastAsia="Times New Roman" w:hAnsiTheme="majorBidi" w:cstheme="majorBidi"/>
          <w:color w:val="000000" w:themeColor="text1"/>
          <w:sz w:val="24"/>
          <w:szCs w:val="24"/>
        </w:rPr>
        <w:t xml:space="preserve"> in water until testing at hydration ages of 3, 7, and 28 days.</w:t>
      </w:r>
    </w:p>
    <w:p w:rsidR="004545D3" w:rsidRPr="00FC76AF" w:rsidRDefault="004545D3" w:rsidP="004545D3">
      <w:pPr>
        <w:bidi w:val="0"/>
        <w:spacing w:before="100" w:beforeAutospacing="1" w:after="100" w:afterAutospacing="1" w:line="240" w:lineRule="auto"/>
        <w:outlineLvl w:val="3"/>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2. Compressive Strength Testing</w:t>
      </w:r>
    </w:p>
    <w:p w:rsidR="004545D3" w:rsidRPr="00FC76AF" w:rsidRDefault="004545D3" w:rsidP="00A33489">
      <w:p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Compressive strength was evaluated using a CEMASCO Controls point-load testing machine (Model 20063, Milano, Italy). For each mix design, three replicates were tested at 3, 7, and 28</w:t>
      </w:r>
      <w:r w:rsidR="00911E5A" w:rsidRPr="00FC76AF">
        <w:rPr>
          <w:rFonts w:asciiTheme="majorBidi" w:eastAsia="Times New Roman" w:hAnsiTheme="majorBidi" w:cstheme="majorBidi"/>
          <w:color w:val="000000" w:themeColor="text1"/>
          <w:sz w:val="24"/>
          <w:szCs w:val="24"/>
        </w:rPr>
        <w:t xml:space="preserve"> </w:t>
      </w:r>
      <w:r w:rsidRPr="00FC76AF">
        <w:rPr>
          <w:rFonts w:asciiTheme="majorBidi" w:eastAsia="Times New Roman" w:hAnsiTheme="majorBidi" w:cstheme="majorBidi"/>
          <w:color w:val="000000" w:themeColor="text1"/>
          <w:sz w:val="24"/>
          <w:szCs w:val="24"/>
        </w:rPr>
        <w:t>day hydration intervals. The mean value of the triplicate measurements was reported as the compressive strength. Loading was applied at a constant rate adhering to ASTM C109/C109M guidelines.</w:t>
      </w:r>
    </w:p>
    <w:p w:rsidR="004545D3" w:rsidRPr="00FC76AF" w:rsidRDefault="004545D3" w:rsidP="0029379A">
      <w:pPr>
        <w:bidi w:val="0"/>
        <w:spacing w:after="0" w:line="240" w:lineRule="auto"/>
        <w:jc w:val="both"/>
        <w:rPr>
          <w:rFonts w:asciiTheme="majorBidi" w:eastAsia="Times New Roman" w:hAnsiTheme="majorBidi" w:cstheme="majorBidi"/>
          <w:color w:val="000000" w:themeColor="text1"/>
          <w:sz w:val="24"/>
          <w:szCs w:val="24"/>
        </w:rPr>
      </w:pPr>
    </w:p>
    <w:p w:rsidR="004545D3" w:rsidRPr="00FC76AF" w:rsidRDefault="004545D3" w:rsidP="004545D3">
      <w:pPr>
        <w:bidi w:val="0"/>
        <w:spacing w:before="100" w:beforeAutospacing="1" w:after="100" w:afterAutospacing="1" w:line="240" w:lineRule="auto"/>
        <w:outlineLvl w:val="3"/>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3. Bulk Density and Air Content</w:t>
      </w:r>
    </w:p>
    <w:p w:rsidR="004545D3" w:rsidRPr="00FC76AF" w:rsidRDefault="004545D3" w:rsidP="004545D3">
      <w:pPr>
        <w:bidi w:val="0"/>
        <w:spacing w:before="100" w:beforeAutospacing="1" w:after="100" w:afterAutospacing="1" w:line="240" w:lineRule="auto"/>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 xml:space="preserve">Bulk density and air content were determined in accordance with ASTM C138-08. </w:t>
      </w:r>
      <w:r w:rsidR="00186500" w:rsidRPr="00FC76AF">
        <w:rPr>
          <w:rFonts w:asciiTheme="majorBidi" w:eastAsia="Times New Roman" w:hAnsiTheme="majorBidi" w:cstheme="majorBidi"/>
          <w:color w:val="000000" w:themeColor="text1"/>
          <w:sz w:val="24"/>
          <w:szCs w:val="24"/>
        </w:rPr>
        <w:t>Sample</w:t>
      </w:r>
      <w:r w:rsidRPr="00FC76AF">
        <w:rPr>
          <w:rFonts w:asciiTheme="majorBidi" w:eastAsia="Times New Roman" w:hAnsiTheme="majorBidi" w:cstheme="majorBidi"/>
          <w:color w:val="000000" w:themeColor="text1"/>
          <w:sz w:val="24"/>
          <w:szCs w:val="24"/>
        </w:rPr>
        <w:t>s were weighed in air (W</w:t>
      </w:r>
      <w:r w:rsidR="006170D7" w:rsidRPr="00FC76AF">
        <w:rPr>
          <w:rFonts w:asciiTheme="majorBidi" w:eastAsia="Times New Roman" w:hAnsiTheme="majorBidi" w:cstheme="majorBidi"/>
          <w:color w:val="000000" w:themeColor="text1"/>
          <w:sz w:val="24"/>
          <w:szCs w:val="24"/>
        </w:rPr>
        <w:t xml:space="preserve"> </w:t>
      </w:r>
      <w:r w:rsidRPr="00FC76AF">
        <w:rPr>
          <w:rFonts w:asciiTheme="majorBidi" w:eastAsia="Times New Roman" w:hAnsiTheme="majorBidi" w:cstheme="majorBidi"/>
          <w:color w:val="000000" w:themeColor="text1"/>
          <w:sz w:val="24"/>
          <w:szCs w:val="24"/>
          <w:vertAlign w:val="subscript"/>
        </w:rPr>
        <w:t>air</w:t>
      </w:r>
      <w:r w:rsidRPr="00FC76AF">
        <w:rPr>
          <w:rFonts w:asciiTheme="majorBidi" w:eastAsia="Times New Roman" w:hAnsiTheme="majorBidi" w:cstheme="majorBidi"/>
          <w:color w:val="000000" w:themeColor="text1"/>
          <w:sz w:val="24"/>
          <w:szCs w:val="24"/>
        </w:rPr>
        <w:t>​) and submerged in water (W</w:t>
      </w:r>
      <w:r w:rsidR="006170D7" w:rsidRPr="00FC76AF">
        <w:rPr>
          <w:rFonts w:asciiTheme="majorBidi" w:eastAsia="Times New Roman" w:hAnsiTheme="majorBidi" w:cstheme="majorBidi"/>
          <w:color w:val="000000" w:themeColor="text1"/>
          <w:sz w:val="24"/>
          <w:szCs w:val="24"/>
        </w:rPr>
        <w:t xml:space="preserve"> </w:t>
      </w:r>
      <w:r w:rsidRPr="00FC76AF">
        <w:rPr>
          <w:rFonts w:asciiTheme="majorBidi" w:eastAsia="Times New Roman" w:hAnsiTheme="majorBidi" w:cstheme="majorBidi"/>
          <w:color w:val="000000" w:themeColor="text1"/>
          <w:sz w:val="24"/>
          <w:szCs w:val="24"/>
          <w:vertAlign w:val="subscript"/>
        </w:rPr>
        <w:t>water</w:t>
      </w:r>
      <w:r w:rsidRPr="00FC76AF">
        <w:rPr>
          <w:rFonts w:asciiTheme="majorBidi" w:eastAsia="Times New Roman" w:hAnsiTheme="majorBidi" w:cstheme="majorBidi"/>
          <w:color w:val="000000" w:themeColor="text1"/>
          <w:sz w:val="24"/>
          <w:szCs w:val="24"/>
        </w:rPr>
        <w:t>​) to calculate density (</w:t>
      </w:r>
      <w:r w:rsidRPr="00FC76AF">
        <w:rPr>
          <w:rFonts w:asciiTheme="majorBidi" w:eastAsia="Times New Roman" w:hAnsiTheme="majorBidi" w:cstheme="majorBidi"/>
          <w:i/>
          <w:iCs/>
          <w:color w:val="000000" w:themeColor="text1"/>
          <w:sz w:val="24"/>
          <w:szCs w:val="24"/>
        </w:rPr>
        <w:t>ρ</w:t>
      </w:r>
      <w:r w:rsidRPr="00FC76AF">
        <w:rPr>
          <w:rFonts w:asciiTheme="majorBidi" w:eastAsia="Times New Roman" w:hAnsiTheme="majorBidi" w:cstheme="majorBidi"/>
          <w:color w:val="000000" w:themeColor="text1"/>
          <w:sz w:val="24"/>
          <w:szCs w:val="24"/>
        </w:rPr>
        <w:t>) using the formula:</w:t>
      </w:r>
    </w:p>
    <w:p w:rsidR="004545D3" w:rsidRPr="00FC76AF" w:rsidRDefault="004545D3" w:rsidP="004545D3">
      <w:pPr>
        <w:bidi w:val="0"/>
        <w:spacing w:before="100" w:beforeAutospacing="1" w:after="100" w:afterAutospacing="1" w:line="240" w:lineRule="auto"/>
        <w:jc w:val="center"/>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noProof/>
          <w:color w:val="000000" w:themeColor="text1"/>
          <w:sz w:val="24"/>
          <w:szCs w:val="24"/>
        </w:rPr>
        <w:drawing>
          <wp:inline distT="0" distB="0" distL="0" distR="0" wp14:anchorId="036C0532" wp14:editId="620FFC92">
            <wp:extent cx="2238451" cy="601927"/>
            <wp:effectExtent l="0" t="0" r="0" b="825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38647" cy="601980"/>
                    </a:xfrm>
                    <a:prstGeom prst="rect">
                      <a:avLst/>
                    </a:prstGeom>
                    <a:noFill/>
                    <a:ln>
                      <a:noFill/>
                    </a:ln>
                  </pic:spPr>
                </pic:pic>
              </a:graphicData>
            </a:graphic>
          </wp:inline>
        </w:drawing>
      </w:r>
    </w:p>
    <w:p w:rsidR="004545D3" w:rsidRPr="00FC76AF" w:rsidRDefault="004545D3" w:rsidP="004545D3">
      <w:pPr>
        <w:bidi w:val="0"/>
        <w:spacing w:before="100" w:beforeAutospacing="1" w:after="100" w:afterAutospacing="1" w:line="240" w:lineRule="auto"/>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 xml:space="preserve">where  </w:t>
      </w:r>
      <w:r w:rsidRPr="00FC76AF">
        <w:rPr>
          <w:rFonts w:asciiTheme="majorBidi" w:eastAsia="Times New Roman" w:hAnsiTheme="majorBidi" w:cstheme="majorBidi"/>
          <w:i/>
          <w:iCs/>
          <w:color w:val="000000" w:themeColor="text1"/>
          <w:sz w:val="24"/>
          <w:szCs w:val="24"/>
        </w:rPr>
        <w:t>ρ</w:t>
      </w:r>
      <w:r w:rsidR="00E65941" w:rsidRPr="00FC76AF">
        <w:rPr>
          <w:rFonts w:asciiTheme="majorBidi" w:eastAsia="Times New Roman" w:hAnsiTheme="majorBidi" w:cstheme="majorBidi"/>
          <w:color w:val="000000" w:themeColor="text1"/>
          <w:sz w:val="24"/>
          <w:szCs w:val="24"/>
        </w:rPr>
        <w:t xml:space="preserve"> </w:t>
      </w:r>
      <w:r w:rsidRPr="00FC76AF">
        <w:rPr>
          <w:rFonts w:asciiTheme="majorBidi" w:eastAsia="Times New Roman" w:hAnsiTheme="majorBidi" w:cstheme="majorBidi"/>
          <w:color w:val="000000" w:themeColor="text1"/>
          <w:sz w:val="24"/>
          <w:szCs w:val="24"/>
          <w:vertAlign w:val="subscript"/>
        </w:rPr>
        <w:t>water</w:t>
      </w:r>
      <w:r w:rsidRPr="00FC76AF">
        <w:rPr>
          <w:rFonts w:asciiTheme="majorBidi" w:eastAsia="Times New Roman" w:hAnsiTheme="majorBidi" w:cstheme="majorBidi"/>
          <w:color w:val="000000" w:themeColor="text1"/>
          <w:sz w:val="24"/>
          <w:szCs w:val="24"/>
        </w:rPr>
        <w:t>​ =</w:t>
      </w:r>
      <w:r w:rsidR="00E65941" w:rsidRPr="00FC76AF">
        <w:rPr>
          <w:rFonts w:asciiTheme="majorBidi" w:eastAsia="Times New Roman" w:hAnsiTheme="majorBidi" w:cstheme="majorBidi"/>
          <w:color w:val="000000" w:themeColor="text1"/>
          <w:sz w:val="24"/>
          <w:szCs w:val="24"/>
        </w:rPr>
        <w:t xml:space="preserve"> </w:t>
      </w:r>
      <w:r w:rsidRPr="00FC76AF">
        <w:rPr>
          <w:rFonts w:asciiTheme="majorBidi" w:eastAsia="Times New Roman" w:hAnsiTheme="majorBidi" w:cstheme="majorBidi"/>
          <w:color w:val="000000" w:themeColor="text1"/>
          <w:sz w:val="24"/>
          <w:szCs w:val="24"/>
        </w:rPr>
        <w:t>g/cm</w:t>
      </w:r>
      <w:r w:rsidRPr="00FC76AF">
        <w:rPr>
          <w:rFonts w:asciiTheme="majorBidi" w:eastAsia="Times New Roman" w:hAnsiTheme="majorBidi" w:cstheme="majorBidi"/>
          <w:color w:val="000000" w:themeColor="text1"/>
          <w:sz w:val="24"/>
          <w:szCs w:val="24"/>
          <w:vertAlign w:val="superscript"/>
        </w:rPr>
        <w:t>3</w:t>
      </w:r>
      <w:r w:rsidRPr="00FC76AF">
        <w:rPr>
          <w:rFonts w:asciiTheme="majorBidi" w:eastAsia="Times New Roman" w:hAnsiTheme="majorBidi" w:cstheme="majorBidi"/>
          <w:color w:val="000000" w:themeColor="text1"/>
          <w:sz w:val="24"/>
          <w:szCs w:val="24"/>
        </w:rPr>
        <w:t>. Air content (%) was derived from the theoretical density of air-free paste and the measured bulk density.</w:t>
      </w:r>
    </w:p>
    <w:p w:rsidR="004545D3" w:rsidRPr="00FC76AF" w:rsidRDefault="004545D3" w:rsidP="004545D3">
      <w:pPr>
        <w:bidi w:val="0"/>
        <w:spacing w:after="0" w:line="240" w:lineRule="auto"/>
        <w:rPr>
          <w:rFonts w:asciiTheme="majorBidi" w:eastAsia="Times New Roman" w:hAnsiTheme="majorBidi" w:cstheme="majorBidi"/>
          <w:color w:val="000000" w:themeColor="text1"/>
          <w:sz w:val="24"/>
          <w:szCs w:val="24"/>
        </w:rPr>
      </w:pPr>
    </w:p>
    <w:p w:rsidR="004545D3" w:rsidRPr="00FC76AF" w:rsidRDefault="004545D3" w:rsidP="004545D3">
      <w:pPr>
        <w:bidi w:val="0"/>
        <w:spacing w:before="100" w:beforeAutospacing="1" w:after="100" w:afterAutospacing="1" w:line="240" w:lineRule="auto"/>
        <w:outlineLvl w:val="3"/>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4. Thermal Conductivity Measurement</w:t>
      </w:r>
    </w:p>
    <w:p w:rsidR="004545D3" w:rsidRPr="00FC76AF" w:rsidRDefault="004545D3" w:rsidP="00014170">
      <w:p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 xml:space="preserve">Thermal conductivity (k) was assessed via the steady-state guarded hot plate method (ASTM C177). Eight disc-shaped </w:t>
      </w:r>
      <w:r w:rsidR="00186500" w:rsidRPr="00FC76AF">
        <w:rPr>
          <w:rFonts w:asciiTheme="majorBidi" w:eastAsia="Times New Roman" w:hAnsiTheme="majorBidi" w:cstheme="majorBidi"/>
          <w:color w:val="000000" w:themeColor="text1"/>
          <w:sz w:val="24"/>
          <w:szCs w:val="24"/>
        </w:rPr>
        <w:t>sample</w:t>
      </w:r>
      <w:r w:rsidRPr="00FC76AF">
        <w:rPr>
          <w:rFonts w:asciiTheme="majorBidi" w:eastAsia="Times New Roman" w:hAnsiTheme="majorBidi" w:cstheme="majorBidi"/>
          <w:color w:val="000000" w:themeColor="text1"/>
          <w:sz w:val="24"/>
          <w:szCs w:val="24"/>
        </w:rPr>
        <w:t>s (130 mm diameter × 30 mm thickness), two per mix, were prepared. The thermal conductivity coefficient was calculated as:</w:t>
      </w:r>
    </w:p>
    <w:p w:rsidR="004545D3" w:rsidRPr="00FC76AF" w:rsidRDefault="004545D3" w:rsidP="004545D3">
      <w:pPr>
        <w:bidi w:val="0"/>
        <w:spacing w:before="100" w:beforeAutospacing="1" w:after="100" w:afterAutospacing="1" w:line="240" w:lineRule="auto"/>
        <w:jc w:val="center"/>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noProof/>
          <w:color w:val="000000" w:themeColor="text1"/>
          <w:sz w:val="24"/>
          <w:szCs w:val="24"/>
        </w:rPr>
        <w:drawing>
          <wp:inline distT="0" distB="0" distL="0" distR="0" wp14:anchorId="2BF9D7B6" wp14:editId="2AD519FD">
            <wp:extent cx="1199515" cy="504825"/>
            <wp:effectExtent l="0" t="0" r="635"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199515" cy="504825"/>
                    </a:xfrm>
                    <a:prstGeom prst="rect">
                      <a:avLst/>
                    </a:prstGeom>
                    <a:noFill/>
                    <a:ln>
                      <a:noFill/>
                    </a:ln>
                  </pic:spPr>
                </pic:pic>
              </a:graphicData>
            </a:graphic>
          </wp:inline>
        </w:drawing>
      </w:r>
    </w:p>
    <w:p w:rsidR="004545D3" w:rsidRPr="00FC76AF" w:rsidRDefault="004545D3" w:rsidP="004545D3">
      <w:pPr>
        <w:bidi w:val="0"/>
        <w:spacing w:before="100" w:beforeAutospacing="1" w:after="100" w:afterAutospacing="1" w:line="240" w:lineRule="auto"/>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where:</w:t>
      </w:r>
    </w:p>
    <w:p w:rsidR="004545D3" w:rsidRPr="00FC76AF" w:rsidRDefault="004545D3" w:rsidP="00DD4DAC">
      <w:pPr>
        <w:numPr>
          <w:ilvl w:val="0"/>
          <w:numId w:val="6"/>
        </w:numPr>
        <w:bidi w:val="0"/>
        <w:spacing w:after="100" w:afterAutospacing="1" w:line="240" w:lineRule="auto"/>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k = Thermal conductivity (W·m</w:t>
      </w:r>
      <w:r w:rsidRPr="00FC76AF">
        <w:rPr>
          <w:rFonts w:asciiTheme="majorBidi" w:eastAsia="Times New Roman" w:hAnsiTheme="majorBidi" w:cstheme="majorBidi"/>
          <w:color w:val="000000" w:themeColor="text1"/>
          <w:sz w:val="24"/>
          <w:szCs w:val="24"/>
          <w:vertAlign w:val="superscript"/>
        </w:rPr>
        <w:t>−1</w:t>
      </w:r>
      <w:r w:rsidRPr="00FC76AF">
        <w:rPr>
          <w:rFonts w:asciiTheme="majorBidi" w:eastAsia="Times New Roman" w:hAnsiTheme="majorBidi" w:cstheme="majorBidi"/>
          <w:color w:val="000000" w:themeColor="text1"/>
          <w:sz w:val="24"/>
          <w:szCs w:val="24"/>
        </w:rPr>
        <w:t>·K</w:t>
      </w:r>
      <w:r w:rsidRPr="00FC76AF">
        <w:rPr>
          <w:rFonts w:asciiTheme="majorBidi" w:eastAsia="Times New Roman" w:hAnsiTheme="majorBidi" w:cstheme="majorBidi"/>
          <w:color w:val="000000" w:themeColor="text1"/>
          <w:sz w:val="24"/>
          <w:szCs w:val="24"/>
          <w:vertAlign w:val="superscript"/>
        </w:rPr>
        <w:t>−1</w:t>
      </w:r>
      <w:r w:rsidRPr="00FC76AF">
        <w:rPr>
          <w:rFonts w:asciiTheme="majorBidi" w:eastAsia="Times New Roman" w:hAnsiTheme="majorBidi" w:cstheme="majorBidi"/>
          <w:color w:val="000000" w:themeColor="text1"/>
          <w:sz w:val="24"/>
          <w:szCs w:val="24"/>
        </w:rPr>
        <w:t>),</w:t>
      </w:r>
    </w:p>
    <w:p w:rsidR="004545D3" w:rsidRPr="00FC76AF" w:rsidRDefault="004545D3" w:rsidP="00DD4DAC">
      <w:pPr>
        <w:numPr>
          <w:ilvl w:val="0"/>
          <w:numId w:val="6"/>
        </w:numPr>
        <w:bidi w:val="0"/>
        <w:spacing w:after="100" w:afterAutospacing="1" w:line="240" w:lineRule="auto"/>
        <w:rPr>
          <w:rFonts w:asciiTheme="majorBidi" w:eastAsia="Times New Roman" w:hAnsiTheme="majorBidi" w:cstheme="majorBidi"/>
          <w:color w:val="000000" w:themeColor="text1"/>
          <w:sz w:val="24"/>
          <w:szCs w:val="24"/>
        </w:rPr>
      </w:pPr>
      <w:proofErr w:type="spellStart"/>
      <w:r w:rsidRPr="00FC76AF">
        <w:rPr>
          <w:rFonts w:asciiTheme="majorBidi" w:eastAsia="Times New Roman" w:hAnsiTheme="majorBidi" w:cstheme="majorBidi"/>
          <w:color w:val="000000" w:themeColor="text1"/>
          <w:sz w:val="24"/>
          <w:szCs w:val="24"/>
        </w:rPr>
        <w:t>qx</w:t>
      </w:r>
      <w:proofErr w:type="spellEnd"/>
      <w:r w:rsidRPr="00FC76AF">
        <w:rPr>
          <w:rFonts w:asciiTheme="majorBidi" w:eastAsia="Times New Roman" w:hAnsiTheme="majorBidi" w:cstheme="majorBidi"/>
          <w:color w:val="000000" w:themeColor="text1"/>
          <w:sz w:val="24"/>
          <w:szCs w:val="24"/>
        </w:rPr>
        <w:t>​ = Heat flux (W·m</w:t>
      </w:r>
      <w:r w:rsidRPr="00FC76AF">
        <w:rPr>
          <w:rFonts w:asciiTheme="majorBidi" w:eastAsia="Times New Roman" w:hAnsiTheme="majorBidi" w:cstheme="majorBidi"/>
          <w:color w:val="000000" w:themeColor="text1"/>
          <w:sz w:val="24"/>
          <w:szCs w:val="24"/>
          <w:vertAlign w:val="superscript"/>
        </w:rPr>
        <w:t>−2</w:t>
      </w:r>
      <w:r w:rsidRPr="00FC76AF">
        <w:rPr>
          <w:rFonts w:asciiTheme="majorBidi" w:eastAsia="Times New Roman" w:hAnsiTheme="majorBidi" w:cstheme="majorBidi"/>
          <w:color w:val="000000" w:themeColor="text1"/>
          <w:sz w:val="24"/>
          <w:szCs w:val="24"/>
        </w:rPr>
        <w:t>),</w:t>
      </w:r>
    </w:p>
    <w:p w:rsidR="004545D3" w:rsidRPr="00FC76AF" w:rsidRDefault="004545D3" w:rsidP="004545D3">
      <w:pPr>
        <w:numPr>
          <w:ilvl w:val="0"/>
          <w:numId w:val="6"/>
        </w:numPr>
        <w:bidi w:val="0"/>
        <w:spacing w:after="100" w:afterAutospacing="1" w:line="240" w:lineRule="auto"/>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 xml:space="preserve">x = </w:t>
      </w:r>
      <w:r w:rsidR="00186500" w:rsidRPr="00FC76AF">
        <w:rPr>
          <w:rFonts w:asciiTheme="majorBidi" w:eastAsia="Times New Roman" w:hAnsiTheme="majorBidi" w:cstheme="majorBidi"/>
          <w:color w:val="000000" w:themeColor="text1"/>
          <w:sz w:val="24"/>
          <w:szCs w:val="24"/>
        </w:rPr>
        <w:t>Sample</w:t>
      </w:r>
      <w:r w:rsidRPr="00FC76AF">
        <w:rPr>
          <w:rFonts w:asciiTheme="majorBidi" w:eastAsia="Times New Roman" w:hAnsiTheme="majorBidi" w:cstheme="majorBidi"/>
          <w:color w:val="000000" w:themeColor="text1"/>
          <w:sz w:val="24"/>
          <w:szCs w:val="24"/>
        </w:rPr>
        <w:t xml:space="preserve"> thickness (m),</w:t>
      </w:r>
    </w:p>
    <w:p w:rsidR="004545D3" w:rsidRPr="00FC76AF" w:rsidRDefault="004545D3" w:rsidP="005A6603">
      <w:pPr>
        <w:numPr>
          <w:ilvl w:val="0"/>
          <w:numId w:val="6"/>
        </w:numPr>
        <w:bidi w:val="0"/>
        <w:spacing w:after="100" w:afterAutospacing="1" w:line="240" w:lineRule="auto"/>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lastRenderedPageBreak/>
        <w:t xml:space="preserve">ΔT = Temperature gradient across the </w:t>
      </w:r>
      <w:r w:rsidR="00186500" w:rsidRPr="00FC76AF">
        <w:rPr>
          <w:rFonts w:asciiTheme="majorBidi" w:eastAsia="Times New Roman" w:hAnsiTheme="majorBidi" w:cstheme="majorBidi"/>
          <w:color w:val="000000" w:themeColor="text1"/>
          <w:sz w:val="24"/>
          <w:szCs w:val="24"/>
        </w:rPr>
        <w:t>sample</w:t>
      </w:r>
      <w:r w:rsidRPr="00FC76AF">
        <w:rPr>
          <w:rFonts w:asciiTheme="majorBidi" w:eastAsia="Times New Roman" w:hAnsiTheme="majorBidi" w:cstheme="majorBidi"/>
          <w:color w:val="000000" w:themeColor="text1"/>
          <w:sz w:val="24"/>
          <w:szCs w:val="24"/>
        </w:rPr>
        <w:t xml:space="preserve"> (°C).</w:t>
      </w:r>
    </w:p>
    <w:p w:rsidR="009E2E21" w:rsidRPr="00FC76AF" w:rsidRDefault="009E2E21" w:rsidP="009E2E21">
      <w:pPr>
        <w:numPr>
          <w:ilvl w:val="0"/>
          <w:numId w:val="6"/>
        </w:numPr>
        <w:bidi w:val="0"/>
        <w:spacing w:after="100" w:afterAutospacing="1" w:line="240" w:lineRule="auto"/>
        <w:rPr>
          <w:rFonts w:asciiTheme="majorBidi" w:eastAsia="Times New Roman" w:hAnsiTheme="majorBidi" w:cstheme="majorBidi"/>
          <w:color w:val="000000" w:themeColor="text1"/>
          <w:sz w:val="24"/>
          <w:szCs w:val="24"/>
        </w:rPr>
      </w:pPr>
    </w:p>
    <w:p w:rsidR="004545D3" w:rsidRPr="00FC76AF" w:rsidRDefault="004545D3" w:rsidP="004545D3">
      <w:pPr>
        <w:bidi w:val="0"/>
        <w:spacing w:before="100" w:beforeAutospacing="1" w:after="100" w:afterAutospacing="1" w:line="240" w:lineRule="auto"/>
        <w:outlineLvl w:val="3"/>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5. Water Absorption Test</w:t>
      </w:r>
    </w:p>
    <w:p w:rsidR="004545D3" w:rsidRPr="00FC76AF" w:rsidRDefault="004545D3" w:rsidP="00014170">
      <w:p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 xml:space="preserve">Water absorption was quantified following ASTM C642. </w:t>
      </w:r>
      <w:r w:rsidR="00186500" w:rsidRPr="00FC76AF">
        <w:rPr>
          <w:rFonts w:asciiTheme="majorBidi" w:eastAsia="Times New Roman" w:hAnsiTheme="majorBidi" w:cstheme="majorBidi"/>
          <w:color w:val="000000" w:themeColor="text1"/>
          <w:sz w:val="24"/>
          <w:szCs w:val="24"/>
        </w:rPr>
        <w:t>Sample</w:t>
      </w:r>
      <w:r w:rsidRPr="00FC76AF">
        <w:rPr>
          <w:rFonts w:asciiTheme="majorBidi" w:eastAsia="Times New Roman" w:hAnsiTheme="majorBidi" w:cstheme="majorBidi"/>
          <w:color w:val="000000" w:themeColor="text1"/>
          <w:sz w:val="24"/>
          <w:szCs w:val="24"/>
        </w:rPr>
        <w:t>s were oven-dried at 105°C for 24 hours to determine the dry mass (M</w:t>
      </w:r>
      <w:r w:rsidRPr="00FC76AF">
        <w:rPr>
          <w:rFonts w:asciiTheme="majorBidi" w:eastAsia="Times New Roman" w:hAnsiTheme="majorBidi" w:cstheme="majorBidi"/>
          <w:color w:val="000000" w:themeColor="text1"/>
          <w:sz w:val="24"/>
          <w:szCs w:val="24"/>
          <w:vertAlign w:val="subscript"/>
        </w:rPr>
        <w:t>0</w:t>
      </w:r>
      <w:r w:rsidRPr="00FC76AF">
        <w:rPr>
          <w:rFonts w:asciiTheme="majorBidi" w:eastAsia="Times New Roman" w:hAnsiTheme="majorBidi" w:cstheme="majorBidi"/>
          <w:color w:val="000000" w:themeColor="text1"/>
          <w:sz w:val="24"/>
          <w:szCs w:val="24"/>
        </w:rPr>
        <w:t>​). After immersion in water for 24 hours, surface moisture was removed using a damp cloth, and the saturated mass (M</w:t>
      </w:r>
      <w:r w:rsidRPr="00FC76AF">
        <w:rPr>
          <w:rFonts w:asciiTheme="majorBidi" w:eastAsia="Times New Roman" w:hAnsiTheme="majorBidi" w:cstheme="majorBidi"/>
          <w:color w:val="000000" w:themeColor="text1"/>
          <w:sz w:val="24"/>
          <w:szCs w:val="24"/>
          <w:vertAlign w:val="subscript"/>
        </w:rPr>
        <w:t>1</w:t>
      </w:r>
      <w:r w:rsidRPr="00FC76AF">
        <w:rPr>
          <w:rFonts w:asciiTheme="majorBidi" w:eastAsia="Times New Roman" w:hAnsiTheme="majorBidi" w:cstheme="majorBidi"/>
          <w:color w:val="000000" w:themeColor="text1"/>
          <w:sz w:val="24"/>
          <w:szCs w:val="24"/>
        </w:rPr>
        <w:t>​) was recorded. Water absorption (WA) was calculated as:</w:t>
      </w:r>
    </w:p>
    <w:p w:rsidR="005A6603" w:rsidRPr="00FC76AF" w:rsidRDefault="005A6603" w:rsidP="005A6603">
      <w:pPr>
        <w:bidi w:val="0"/>
        <w:spacing w:before="100" w:beforeAutospacing="1" w:after="100" w:afterAutospacing="1" w:line="240" w:lineRule="auto"/>
        <w:jc w:val="center"/>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noProof/>
          <w:color w:val="000000" w:themeColor="text1"/>
          <w:sz w:val="24"/>
          <w:szCs w:val="24"/>
        </w:rPr>
        <w:drawing>
          <wp:inline distT="0" distB="0" distL="0" distR="0" wp14:anchorId="2C28DABC" wp14:editId="365C3B0F">
            <wp:extent cx="2889250" cy="782955"/>
            <wp:effectExtent l="0" t="0" r="635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89250" cy="782955"/>
                    </a:xfrm>
                    <a:prstGeom prst="rect">
                      <a:avLst/>
                    </a:prstGeom>
                    <a:noFill/>
                    <a:ln>
                      <a:noFill/>
                    </a:ln>
                  </pic:spPr>
                </pic:pic>
              </a:graphicData>
            </a:graphic>
          </wp:inline>
        </w:drawing>
      </w:r>
    </w:p>
    <w:p w:rsidR="003E4E12" w:rsidRPr="00FC76AF" w:rsidRDefault="003E4E12" w:rsidP="003E4E12">
      <w:pPr>
        <w:bidi w:val="0"/>
        <w:spacing w:before="65" w:after="0" w:line="360" w:lineRule="exact"/>
        <w:ind w:left="2147" w:right="60" w:hanging="1952"/>
        <w:jc w:val="both"/>
        <w:rPr>
          <w:rFonts w:asciiTheme="majorBidi" w:eastAsia="Times New Roman" w:hAnsiTheme="majorBidi" w:cstheme="majorBidi"/>
          <w:color w:val="000000" w:themeColor="text1"/>
          <w:sz w:val="24"/>
          <w:szCs w:val="24"/>
        </w:rPr>
      </w:pPr>
    </w:p>
    <w:p w:rsidR="00BF30D3" w:rsidRPr="00FC76AF" w:rsidRDefault="00BF30D3" w:rsidP="00BF30D3">
      <w:pPr>
        <w:bidi w:val="0"/>
        <w:spacing w:before="65" w:after="0" w:line="360" w:lineRule="exact"/>
        <w:ind w:left="2147" w:right="60" w:hanging="1952"/>
        <w:jc w:val="both"/>
        <w:rPr>
          <w:rFonts w:asciiTheme="majorBidi" w:eastAsia="Times New Roman" w:hAnsiTheme="majorBidi" w:cstheme="majorBidi"/>
          <w:color w:val="000000" w:themeColor="text1"/>
          <w:sz w:val="24"/>
          <w:szCs w:val="24"/>
        </w:rPr>
      </w:pPr>
    </w:p>
    <w:p w:rsidR="00BF30D3" w:rsidRPr="00FC76AF" w:rsidRDefault="00BF30D3" w:rsidP="00BF30D3">
      <w:pPr>
        <w:bidi w:val="0"/>
        <w:spacing w:before="65" w:after="0" w:line="360" w:lineRule="exact"/>
        <w:ind w:left="2147" w:right="60" w:hanging="1952"/>
        <w:jc w:val="both"/>
        <w:rPr>
          <w:rFonts w:asciiTheme="majorBidi" w:eastAsia="Times New Roman" w:hAnsiTheme="majorBidi" w:cstheme="majorBidi"/>
          <w:color w:val="000000" w:themeColor="text1"/>
          <w:sz w:val="24"/>
          <w:szCs w:val="24"/>
        </w:rPr>
      </w:pPr>
    </w:p>
    <w:p w:rsidR="0030276B" w:rsidRPr="00FC76AF" w:rsidRDefault="0030276B" w:rsidP="0030276B">
      <w:pPr>
        <w:bidi w:val="0"/>
        <w:spacing w:before="100" w:beforeAutospacing="1" w:after="100" w:afterAutospacing="1" w:line="240" w:lineRule="auto"/>
        <w:outlineLvl w:val="3"/>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6. Scanning Electron Microscopy (SEM) Analysis</w:t>
      </w:r>
    </w:p>
    <w:p w:rsidR="00E47295" w:rsidRPr="00FC76AF" w:rsidRDefault="00E47295" w:rsidP="00E47295">
      <w:pPr>
        <w:bidi w:val="0"/>
        <w:spacing w:before="65" w:after="0" w:line="360" w:lineRule="exact"/>
        <w:ind w:right="60"/>
        <w:jc w:val="both"/>
        <w:rPr>
          <w:rFonts w:asciiTheme="majorBidi" w:eastAsia="Times New Roman" w:hAnsiTheme="majorBidi" w:cstheme="majorBidi"/>
          <w:b/>
          <w:bCs/>
          <w:color w:val="000000" w:themeColor="text1"/>
          <w:sz w:val="24"/>
          <w:szCs w:val="24"/>
        </w:rPr>
      </w:pPr>
      <w:r w:rsidRPr="00FC76AF">
        <w:rPr>
          <w:rFonts w:asciiTheme="majorBidi" w:eastAsia="Times New Roman" w:hAnsiTheme="majorBidi" w:cstheme="majorBidi"/>
          <w:color w:val="000000" w:themeColor="text1"/>
          <w:sz w:val="24"/>
          <w:szCs w:val="24"/>
        </w:rPr>
        <w:t xml:space="preserve">The </w:t>
      </w:r>
      <w:r w:rsidR="00B47F01" w:rsidRPr="00FC76AF">
        <w:rPr>
          <w:rFonts w:asciiTheme="majorBidi" w:eastAsia="Times New Roman" w:hAnsiTheme="majorBidi" w:cstheme="majorBidi"/>
          <w:color w:val="000000" w:themeColor="text1"/>
          <w:sz w:val="24"/>
          <w:szCs w:val="24"/>
        </w:rPr>
        <w:t>topography</w:t>
      </w:r>
      <w:r w:rsidRPr="00FC76AF">
        <w:rPr>
          <w:rFonts w:asciiTheme="majorBidi" w:eastAsia="Times New Roman" w:hAnsiTheme="majorBidi" w:cstheme="majorBidi"/>
          <w:color w:val="000000" w:themeColor="text1"/>
          <w:sz w:val="24"/>
          <w:szCs w:val="24"/>
        </w:rPr>
        <w:t xml:space="preserve"> and microstructure of the dried hydrated samples are studied using JEOL JXA 840 an electron Probe micro analyzer SEM. The </w:t>
      </w:r>
      <w:r w:rsidR="00186500" w:rsidRPr="00FC76AF">
        <w:rPr>
          <w:rFonts w:asciiTheme="majorBidi" w:eastAsia="Times New Roman" w:hAnsiTheme="majorBidi" w:cstheme="majorBidi"/>
          <w:color w:val="000000" w:themeColor="text1"/>
          <w:sz w:val="24"/>
          <w:szCs w:val="24"/>
        </w:rPr>
        <w:t>sample</w:t>
      </w:r>
      <w:r w:rsidRPr="00FC76AF">
        <w:rPr>
          <w:rFonts w:asciiTheme="majorBidi" w:eastAsia="Times New Roman" w:hAnsiTheme="majorBidi" w:cstheme="majorBidi"/>
          <w:color w:val="000000" w:themeColor="text1"/>
          <w:sz w:val="24"/>
          <w:szCs w:val="24"/>
        </w:rPr>
        <w:t>s are coated with a thin film of gold, under vacuum evaporator with cathode rays then analyzed.</w:t>
      </w:r>
    </w:p>
    <w:p w:rsidR="00E47295" w:rsidRPr="00FC76AF" w:rsidRDefault="00E47295" w:rsidP="00E47295">
      <w:pPr>
        <w:bidi w:val="0"/>
        <w:spacing w:before="65" w:after="0" w:line="360" w:lineRule="exact"/>
        <w:ind w:right="60"/>
        <w:jc w:val="both"/>
        <w:rPr>
          <w:rFonts w:asciiTheme="majorBidi" w:eastAsia="Times New Roman" w:hAnsiTheme="majorBidi" w:cstheme="majorBidi"/>
          <w:b/>
          <w:bCs/>
          <w:color w:val="000000" w:themeColor="text1"/>
          <w:sz w:val="24"/>
          <w:szCs w:val="24"/>
        </w:rPr>
      </w:pPr>
    </w:p>
    <w:p w:rsidR="002C505B" w:rsidRPr="00FC76AF" w:rsidRDefault="00ED0219" w:rsidP="00E47295">
      <w:pPr>
        <w:bidi w:val="0"/>
        <w:spacing w:before="65" w:after="0" w:line="360" w:lineRule="exact"/>
        <w:ind w:right="60"/>
        <w:jc w:val="both"/>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b/>
          <w:bCs/>
          <w:color w:val="000000" w:themeColor="text1"/>
          <w:sz w:val="24"/>
          <w:szCs w:val="24"/>
        </w:rPr>
        <w:t>Result and discussion:</w:t>
      </w:r>
    </w:p>
    <w:p w:rsidR="002C505B" w:rsidRPr="00FC76AF" w:rsidRDefault="002C505B" w:rsidP="0095217B">
      <w:pPr>
        <w:pStyle w:val="Default"/>
        <w:rPr>
          <w:rFonts w:asciiTheme="majorBidi" w:hAnsiTheme="majorBidi" w:cstheme="majorBidi"/>
          <w:color w:val="000000" w:themeColor="text1"/>
        </w:rPr>
      </w:pPr>
    </w:p>
    <w:p w:rsidR="00497306" w:rsidRPr="00FC76AF" w:rsidRDefault="00674B61" w:rsidP="004D7D6F">
      <w:pPr>
        <w:pStyle w:val="Default"/>
        <w:jc w:val="both"/>
        <w:rPr>
          <w:rFonts w:asciiTheme="majorBidi" w:hAnsiTheme="majorBidi" w:cstheme="majorBidi"/>
          <w:color w:val="000000" w:themeColor="text1"/>
        </w:rPr>
      </w:pPr>
      <w:r w:rsidRPr="00FC76AF">
        <w:rPr>
          <w:rFonts w:asciiTheme="majorBidi" w:hAnsiTheme="majorBidi" w:cstheme="majorBidi"/>
          <w:color w:val="000000" w:themeColor="text1"/>
        </w:rPr>
        <w:t xml:space="preserve">Effect of CTAC </w:t>
      </w:r>
      <w:r w:rsidR="00751F6A" w:rsidRPr="00FC76AF">
        <w:rPr>
          <w:rFonts w:asciiTheme="majorBidi" w:hAnsiTheme="majorBidi" w:cstheme="majorBidi"/>
          <w:color w:val="000000" w:themeColor="text1"/>
        </w:rPr>
        <w:t>dose</w:t>
      </w:r>
      <w:r w:rsidR="003073D6" w:rsidRPr="00FC76AF">
        <w:rPr>
          <w:rFonts w:asciiTheme="majorBidi" w:hAnsiTheme="majorBidi" w:cstheme="majorBidi"/>
          <w:color w:val="000000" w:themeColor="text1"/>
        </w:rPr>
        <w:t xml:space="preserve"> </w:t>
      </w:r>
      <w:r w:rsidRPr="00FC76AF">
        <w:rPr>
          <w:rFonts w:asciiTheme="majorBidi" w:hAnsiTheme="majorBidi" w:cstheme="majorBidi"/>
          <w:color w:val="000000" w:themeColor="text1"/>
        </w:rPr>
        <w:t xml:space="preserve">on </w:t>
      </w:r>
      <w:r w:rsidR="004D7D6F" w:rsidRPr="00FC76AF">
        <w:rPr>
          <w:rFonts w:asciiTheme="majorBidi" w:hAnsiTheme="majorBidi" w:cstheme="majorBidi"/>
          <w:color w:val="000000" w:themeColor="text1"/>
        </w:rPr>
        <w:t>b</w:t>
      </w:r>
      <w:r w:rsidR="00497306" w:rsidRPr="00FC76AF">
        <w:rPr>
          <w:rFonts w:asciiTheme="majorBidi" w:hAnsiTheme="majorBidi" w:cstheme="majorBidi"/>
          <w:color w:val="000000" w:themeColor="text1"/>
        </w:rPr>
        <w:t xml:space="preserve">ulk </w:t>
      </w:r>
      <w:r w:rsidR="004D7D6F" w:rsidRPr="00FC76AF">
        <w:rPr>
          <w:rFonts w:asciiTheme="majorBidi" w:hAnsiTheme="majorBidi" w:cstheme="majorBidi"/>
          <w:color w:val="000000" w:themeColor="text1"/>
        </w:rPr>
        <w:t>d</w:t>
      </w:r>
      <w:r w:rsidR="00497306" w:rsidRPr="00FC76AF">
        <w:rPr>
          <w:rFonts w:asciiTheme="majorBidi" w:hAnsiTheme="majorBidi" w:cstheme="majorBidi"/>
          <w:color w:val="000000" w:themeColor="text1"/>
        </w:rPr>
        <w:t xml:space="preserve">ensity and </w:t>
      </w:r>
      <w:r w:rsidR="004D7D6F" w:rsidRPr="00FC76AF">
        <w:rPr>
          <w:rFonts w:asciiTheme="majorBidi" w:hAnsiTheme="majorBidi" w:cstheme="majorBidi"/>
          <w:color w:val="000000" w:themeColor="text1"/>
        </w:rPr>
        <w:t>a</w:t>
      </w:r>
      <w:r w:rsidRPr="00FC76AF">
        <w:rPr>
          <w:rFonts w:asciiTheme="majorBidi" w:hAnsiTheme="majorBidi" w:cstheme="majorBidi"/>
          <w:color w:val="000000" w:themeColor="text1"/>
        </w:rPr>
        <w:t xml:space="preserve">ir </w:t>
      </w:r>
      <w:r w:rsidR="004D7D6F" w:rsidRPr="00FC76AF">
        <w:rPr>
          <w:rFonts w:asciiTheme="majorBidi" w:hAnsiTheme="majorBidi" w:cstheme="majorBidi"/>
          <w:color w:val="000000" w:themeColor="text1"/>
        </w:rPr>
        <w:t>c</w:t>
      </w:r>
      <w:r w:rsidRPr="00FC76AF">
        <w:rPr>
          <w:rFonts w:asciiTheme="majorBidi" w:hAnsiTheme="majorBidi" w:cstheme="majorBidi"/>
          <w:color w:val="000000" w:themeColor="text1"/>
        </w:rPr>
        <w:t>ontent</w:t>
      </w:r>
    </w:p>
    <w:p w:rsidR="00616EC2" w:rsidRPr="00FC76AF" w:rsidRDefault="00674B61" w:rsidP="00616EC2">
      <w:pPr>
        <w:pStyle w:val="Default"/>
        <w:jc w:val="both"/>
        <w:rPr>
          <w:rFonts w:asciiTheme="majorBidi" w:hAnsiTheme="majorBidi" w:cstheme="majorBidi"/>
          <w:color w:val="000000" w:themeColor="text1"/>
        </w:rPr>
      </w:pPr>
      <w:r w:rsidRPr="00FC76AF">
        <w:rPr>
          <w:rFonts w:asciiTheme="majorBidi" w:hAnsiTheme="majorBidi" w:cstheme="majorBidi"/>
          <w:color w:val="000000" w:themeColor="text1"/>
        </w:rPr>
        <w:t xml:space="preserve"> </w:t>
      </w:r>
      <w:r w:rsidR="00616EC2" w:rsidRPr="00FC76AF">
        <w:rPr>
          <w:rFonts w:asciiTheme="majorBidi" w:hAnsiTheme="majorBidi" w:cstheme="majorBidi"/>
          <w:color w:val="000000" w:themeColor="text1"/>
        </w:rPr>
        <w:t> </w:t>
      </w:r>
    </w:p>
    <w:p w:rsidR="00616EC2" w:rsidRPr="00FC76AF" w:rsidRDefault="00616EC2" w:rsidP="00616EC2">
      <w:pPr>
        <w:bidi w:val="0"/>
        <w:jc w:val="both"/>
        <w:rPr>
          <w:rFonts w:asciiTheme="majorBidi" w:hAnsiTheme="majorBidi" w:cstheme="majorBidi"/>
          <w:color w:val="000000" w:themeColor="text1"/>
        </w:rPr>
      </w:pPr>
      <w:r w:rsidRPr="00FC76AF">
        <w:rPr>
          <w:rFonts w:asciiTheme="majorBidi" w:hAnsiTheme="majorBidi" w:cstheme="majorBidi"/>
          <w:color w:val="000000" w:themeColor="text1"/>
        </w:rPr>
        <w:t xml:space="preserve"> The insertion of a cationic surfactant, </w:t>
      </w:r>
      <w:proofErr w:type="spellStart"/>
      <w:r w:rsidRPr="00FC76AF">
        <w:rPr>
          <w:rFonts w:asciiTheme="majorBidi" w:hAnsiTheme="majorBidi" w:cstheme="majorBidi"/>
          <w:color w:val="000000" w:themeColor="text1"/>
        </w:rPr>
        <w:t>Cetyltrimethylammonium</w:t>
      </w:r>
      <w:proofErr w:type="spellEnd"/>
      <w:r w:rsidRPr="00FC76AF">
        <w:rPr>
          <w:rFonts w:asciiTheme="majorBidi" w:hAnsiTheme="majorBidi" w:cstheme="majorBidi"/>
          <w:color w:val="000000" w:themeColor="text1"/>
        </w:rPr>
        <w:t xml:space="preserve"> Chloride (CTAC) in the cement paste affects the air content and bulk density of cement pastes, strongly affecting their mechanical and thermal properties. Air content, a key parameter affecting density, compressive strength, and thermal conductivity, is regulated by CTAC’s surfactan</w:t>
      </w:r>
      <w:r w:rsidR="0028298B" w:rsidRPr="00FC76AF">
        <w:rPr>
          <w:rFonts w:asciiTheme="majorBidi" w:hAnsiTheme="majorBidi" w:cstheme="majorBidi"/>
          <w:color w:val="000000" w:themeColor="text1"/>
        </w:rPr>
        <w:t>t concentration. During mixing,</w:t>
      </w:r>
      <w:r w:rsidRPr="00FC76AF">
        <w:rPr>
          <w:rFonts w:asciiTheme="majorBidi" w:hAnsiTheme="majorBidi" w:cstheme="majorBidi"/>
          <w:color w:val="000000" w:themeColor="text1"/>
        </w:rPr>
        <w:t xml:space="preserve">  CTAC molecules adsorb at the air-water interface, minimizing surface tension and stabilizing entrapped air bubbles. </w:t>
      </w:r>
    </w:p>
    <w:p w:rsidR="00616EC2" w:rsidRPr="00FC76AF" w:rsidRDefault="00616EC2" w:rsidP="00616EC2">
      <w:pPr>
        <w:bidi w:val="0"/>
        <w:jc w:val="both"/>
        <w:rPr>
          <w:rFonts w:asciiTheme="majorBidi" w:hAnsiTheme="majorBidi" w:cstheme="majorBidi"/>
          <w:color w:val="000000" w:themeColor="text1"/>
        </w:rPr>
      </w:pPr>
      <w:r w:rsidRPr="00FC76AF">
        <w:rPr>
          <w:rFonts w:asciiTheme="majorBidi" w:hAnsiTheme="majorBidi" w:cstheme="majorBidi"/>
          <w:color w:val="000000" w:themeColor="text1"/>
        </w:rPr>
        <w:t xml:space="preserve">As shown in Table 3 and Figure 2, the air content of hydrated </w:t>
      </w:r>
      <w:r w:rsidR="00186500" w:rsidRPr="00FC76AF">
        <w:rPr>
          <w:rFonts w:asciiTheme="majorBidi" w:hAnsiTheme="majorBidi" w:cstheme="majorBidi"/>
          <w:color w:val="000000" w:themeColor="text1"/>
        </w:rPr>
        <w:t>sample</w:t>
      </w:r>
      <w:r w:rsidRPr="00FC76AF">
        <w:rPr>
          <w:rFonts w:asciiTheme="majorBidi" w:hAnsiTheme="majorBidi" w:cstheme="majorBidi"/>
          <w:color w:val="000000" w:themeColor="text1"/>
        </w:rPr>
        <w:t xml:space="preserve">s at 28 day increased progressively with CTAC concentration, peaking at 49.45% for the 2% CTAC mix (M4), compared to 0% in the control sample (M0). This rise in porosity inversely proportioned with bulk density, which decreased from 2.0 g·cm⁻³ (M0) to 1.01 g·cm⁻³ (M4). The relationship conforms with the inverse proportionality between air content and density, in agreement with previous studies (Qaraman et al., 2017 ,Qaraman, &amp; </w:t>
      </w:r>
      <w:proofErr w:type="spellStart"/>
      <w:r w:rsidRPr="00FC76AF">
        <w:rPr>
          <w:rFonts w:asciiTheme="majorBidi" w:hAnsiTheme="majorBidi" w:cstheme="majorBidi"/>
          <w:color w:val="000000" w:themeColor="text1"/>
        </w:rPr>
        <w:t>Zuhud</w:t>
      </w:r>
      <w:proofErr w:type="spellEnd"/>
      <w:r w:rsidRPr="00FC76AF">
        <w:rPr>
          <w:rFonts w:asciiTheme="majorBidi" w:hAnsiTheme="majorBidi" w:cstheme="majorBidi"/>
          <w:color w:val="000000" w:themeColor="text1"/>
        </w:rPr>
        <w:t>, , 2018). </w:t>
      </w:r>
    </w:p>
    <w:p w:rsidR="00D95502" w:rsidRPr="00FC76AF" w:rsidRDefault="00D95502" w:rsidP="00616EC2">
      <w:pPr>
        <w:bidi w:val="0"/>
        <w:jc w:val="both"/>
        <w:rPr>
          <w:rFonts w:asciiTheme="majorBidi" w:hAnsiTheme="majorBidi" w:cstheme="majorBidi"/>
          <w:color w:val="000000" w:themeColor="text1"/>
        </w:rPr>
      </w:pPr>
    </w:p>
    <w:p w:rsidR="00D95502" w:rsidRPr="00FC76AF" w:rsidRDefault="00CC7B9D" w:rsidP="00C573F3">
      <w:pPr>
        <w:pStyle w:val="Default"/>
        <w:jc w:val="both"/>
        <w:rPr>
          <w:rFonts w:asciiTheme="majorBidi" w:hAnsiTheme="majorBidi" w:cstheme="majorBidi"/>
          <w:color w:val="000000" w:themeColor="text1"/>
        </w:rPr>
      </w:pPr>
      <w:r w:rsidRPr="00FC76AF">
        <w:rPr>
          <w:rFonts w:asciiTheme="majorBidi" w:hAnsiTheme="majorBidi" w:cstheme="majorBidi"/>
          <w:noProof/>
          <w:color w:val="000000" w:themeColor="text1"/>
        </w:rPr>
        <w:lastRenderedPageBreak/>
        <w:drawing>
          <wp:inline distT="0" distB="0" distL="0" distR="0" wp14:anchorId="152DC00B" wp14:editId="172D2876">
            <wp:extent cx="4740250" cy="3423451"/>
            <wp:effectExtent l="0" t="0" r="3810" b="571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0021" cy="3423285"/>
                    </a:xfrm>
                    <a:prstGeom prst="rect">
                      <a:avLst/>
                    </a:prstGeom>
                    <a:noFill/>
                    <a:ln>
                      <a:noFill/>
                    </a:ln>
                  </pic:spPr>
                </pic:pic>
              </a:graphicData>
            </a:graphic>
          </wp:inline>
        </w:drawing>
      </w:r>
    </w:p>
    <w:p w:rsidR="00A07316" w:rsidRPr="00FC76AF" w:rsidRDefault="00A07316" w:rsidP="002C0F43">
      <w:pPr>
        <w:pStyle w:val="Default"/>
        <w:jc w:val="both"/>
        <w:rPr>
          <w:rFonts w:asciiTheme="majorBidi" w:hAnsiTheme="majorBidi" w:cstheme="majorBidi"/>
          <w:color w:val="000000" w:themeColor="text1"/>
        </w:rPr>
      </w:pPr>
      <w:r w:rsidRPr="00FC76AF">
        <w:rPr>
          <w:rFonts w:asciiTheme="majorBidi" w:hAnsiTheme="majorBidi" w:cstheme="majorBidi"/>
          <w:color w:val="000000" w:themeColor="text1"/>
        </w:rPr>
        <w:t xml:space="preserve">figure (2): </w:t>
      </w:r>
      <w:r w:rsidR="00652B41" w:rsidRPr="00FC76AF">
        <w:rPr>
          <w:rFonts w:asciiTheme="majorBidi" w:hAnsiTheme="majorBidi" w:cstheme="majorBidi"/>
          <w:color w:val="000000" w:themeColor="text1"/>
        </w:rPr>
        <w:t xml:space="preserve">Relationship between CTAC concentration and air content in hardened cement paste </w:t>
      </w:r>
      <w:r w:rsidR="002C0F43" w:rsidRPr="00FC76AF">
        <w:rPr>
          <w:rFonts w:asciiTheme="majorBidi" w:hAnsiTheme="majorBidi" w:cstheme="majorBidi"/>
          <w:color w:val="000000" w:themeColor="text1"/>
        </w:rPr>
        <w:t>at</w:t>
      </w:r>
      <w:r w:rsidR="00652B41" w:rsidRPr="00FC76AF">
        <w:rPr>
          <w:rFonts w:asciiTheme="majorBidi" w:hAnsiTheme="majorBidi" w:cstheme="majorBidi"/>
          <w:color w:val="000000" w:themeColor="text1"/>
        </w:rPr>
        <w:t xml:space="preserve"> 28</w:t>
      </w:r>
      <w:r w:rsidR="00761CD0" w:rsidRPr="00FC76AF">
        <w:rPr>
          <w:rFonts w:asciiTheme="majorBidi" w:hAnsiTheme="majorBidi" w:cstheme="majorBidi"/>
          <w:color w:val="000000" w:themeColor="text1"/>
        </w:rPr>
        <w:t xml:space="preserve"> days</w:t>
      </w:r>
    </w:p>
    <w:p w:rsidR="00D95502" w:rsidRPr="00FC76AF" w:rsidRDefault="00D95502" w:rsidP="00C573F3">
      <w:pPr>
        <w:pStyle w:val="Default"/>
        <w:jc w:val="both"/>
        <w:rPr>
          <w:rFonts w:asciiTheme="majorBidi" w:hAnsiTheme="majorBidi" w:cstheme="majorBidi"/>
          <w:color w:val="000000" w:themeColor="text1"/>
        </w:rPr>
      </w:pPr>
    </w:p>
    <w:p w:rsidR="00D95502" w:rsidRPr="00FC76AF" w:rsidRDefault="00CC7B9D" w:rsidP="00C573F3">
      <w:pPr>
        <w:pStyle w:val="Default"/>
        <w:jc w:val="both"/>
        <w:rPr>
          <w:rFonts w:asciiTheme="majorBidi" w:hAnsiTheme="majorBidi" w:cstheme="majorBidi"/>
          <w:color w:val="000000" w:themeColor="text1"/>
        </w:rPr>
      </w:pPr>
      <w:r w:rsidRPr="00FC76AF">
        <w:rPr>
          <w:rFonts w:asciiTheme="majorBidi" w:hAnsiTheme="majorBidi" w:cstheme="majorBidi"/>
          <w:noProof/>
          <w:color w:val="000000" w:themeColor="text1"/>
        </w:rPr>
        <w:drawing>
          <wp:inline distT="0" distB="0" distL="0" distR="0" wp14:anchorId="47CDDE55" wp14:editId="3FD747CF">
            <wp:extent cx="5274310" cy="3774440"/>
            <wp:effectExtent l="0" t="0" r="254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3774440"/>
                    </a:xfrm>
                    <a:prstGeom prst="rect">
                      <a:avLst/>
                    </a:prstGeom>
                    <a:noFill/>
                    <a:ln>
                      <a:noFill/>
                    </a:ln>
                  </pic:spPr>
                </pic:pic>
              </a:graphicData>
            </a:graphic>
          </wp:inline>
        </w:drawing>
      </w:r>
    </w:p>
    <w:p w:rsidR="00D95502" w:rsidRPr="00FC76AF" w:rsidRDefault="00515AEC" w:rsidP="002C0F43">
      <w:pPr>
        <w:pStyle w:val="Default"/>
        <w:jc w:val="both"/>
        <w:rPr>
          <w:rFonts w:asciiTheme="majorBidi" w:hAnsiTheme="majorBidi" w:cstheme="majorBidi"/>
          <w:color w:val="000000" w:themeColor="text1"/>
        </w:rPr>
      </w:pPr>
      <w:r w:rsidRPr="00FC76AF">
        <w:rPr>
          <w:rFonts w:asciiTheme="majorBidi" w:hAnsiTheme="majorBidi" w:cstheme="majorBidi"/>
          <w:color w:val="000000" w:themeColor="text1"/>
        </w:rPr>
        <w:t xml:space="preserve">figure (3): </w:t>
      </w:r>
      <w:r w:rsidR="003F316F" w:rsidRPr="00FC76AF">
        <w:rPr>
          <w:rFonts w:asciiTheme="majorBidi" w:hAnsiTheme="majorBidi" w:cstheme="majorBidi"/>
          <w:color w:val="000000" w:themeColor="text1"/>
        </w:rPr>
        <w:t>Relationship between bulk density and air content in CTAC-modified cementitious pastes</w:t>
      </w:r>
      <w:r w:rsidR="00761CD0" w:rsidRPr="00FC76AF">
        <w:rPr>
          <w:color w:val="000000" w:themeColor="text1"/>
        </w:rPr>
        <w:t xml:space="preserve"> </w:t>
      </w:r>
      <w:r w:rsidR="002C0F43" w:rsidRPr="00FC76AF">
        <w:rPr>
          <w:rFonts w:asciiTheme="majorBidi" w:hAnsiTheme="majorBidi" w:cstheme="majorBidi"/>
          <w:color w:val="000000" w:themeColor="text1"/>
        </w:rPr>
        <w:t>at</w:t>
      </w:r>
      <w:r w:rsidR="00761CD0" w:rsidRPr="00FC76AF">
        <w:rPr>
          <w:rFonts w:asciiTheme="majorBidi" w:hAnsiTheme="majorBidi" w:cstheme="majorBidi"/>
          <w:color w:val="000000" w:themeColor="text1"/>
        </w:rPr>
        <w:t xml:space="preserve"> 28 days</w:t>
      </w:r>
    </w:p>
    <w:p w:rsidR="00D95502" w:rsidRPr="00FC76AF" w:rsidRDefault="00D95502" w:rsidP="00C573F3">
      <w:pPr>
        <w:pStyle w:val="Default"/>
        <w:jc w:val="both"/>
        <w:rPr>
          <w:rFonts w:asciiTheme="majorBidi" w:hAnsiTheme="majorBidi" w:cstheme="majorBidi"/>
          <w:color w:val="000000" w:themeColor="text1"/>
        </w:rPr>
      </w:pPr>
    </w:p>
    <w:p w:rsidR="00D95502" w:rsidRPr="00FC76AF" w:rsidRDefault="00D95502" w:rsidP="00C573F3">
      <w:pPr>
        <w:pStyle w:val="Default"/>
        <w:jc w:val="both"/>
        <w:rPr>
          <w:rFonts w:asciiTheme="majorBidi" w:hAnsiTheme="majorBidi" w:cstheme="majorBidi"/>
          <w:color w:val="000000" w:themeColor="text1"/>
        </w:rPr>
      </w:pPr>
    </w:p>
    <w:p w:rsidR="00D95502" w:rsidRPr="00FC76AF" w:rsidRDefault="001745C0" w:rsidP="00D95502">
      <w:pPr>
        <w:pStyle w:val="Default"/>
        <w:jc w:val="both"/>
        <w:rPr>
          <w:rFonts w:asciiTheme="majorBidi" w:hAnsiTheme="majorBidi" w:cstheme="majorBidi"/>
          <w:color w:val="000000" w:themeColor="text1"/>
        </w:rPr>
      </w:pPr>
      <w:r w:rsidRPr="00FC76AF">
        <w:rPr>
          <w:rFonts w:asciiTheme="majorBidi" w:hAnsiTheme="majorBidi" w:cstheme="majorBidi"/>
          <w:color w:val="000000" w:themeColor="text1"/>
        </w:rPr>
        <w:t>Table 3</w:t>
      </w:r>
      <w:r w:rsidR="00D95502" w:rsidRPr="00FC76AF">
        <w:rPr>
          <w:rFonts w:asciiTheme="majorBidi" w:hAnsiTheme="majorBidi" w:cstheme="majorBidi"/>
          <w:color w:val="000000" w:themeColor="text1"/>
        </w:rPr>
        <w:t xml:space="preserve">. Composition and properties of foam </w:t>
      </w:r>
      <w:r w:rsidR="006C3621" w:rsidRPr="00FC76AF">
        <w:rPr>
          <w:rFonts w:asciiTheme="majorBidi" w:hAnsiTheme="majorBidi" w:cstheme="majorBidi"/>
          <w:color w:val="000000" w:themeColor="text1"/>
        </w:rPr>
        <w:t>cement paste</w:t>
      </w:r>
      <w:r w:rsidR="00D95502" w:rsidRPr="00FC76AF">
        <w:rPr>
          <w:rFonts w:asciiTheme="majorBidi" w:hAnsiTheme="majorBidi" w:cstheme="majorBidi"/>
          <w:color w:val="000000" w:themeColor="text1"/>
        </w:rPr>
        <w:t xml:space="preserve"> mixes</w:t>
      </w:r>
    </w:p>
    <w:p w:rsidR="00D95502" w:rsidRPr="00FC76AF" w:rsidRDefault="00D95502" w:rsidP="00D95502">
      <w:pPr>
        <w:pStyle w:val="Default"/>
        <w:jc w:val="both"/>
        <w:rPr>
          <w:rFonts w:asciiTheme="majorBidi" w:hAnsiTheme="majorBidi" w:cstheme="majorBidi"/>
          <w:color w:val="000000" w:themeColor="text1"/>
        </w:rPr>
      </w:pPr>
    </w:p>
    <w:p w:rsidR="00D95502" w:rsidRPr="00FC76AF" w:rsidRDefault="00D95502" w:rsidP="00D95502">
      <w:pPr>
        <w:pStyle w:val="Default"/>
        <w:jc w:val="both"/>
        <w:rPr>
          <w:rFonts w:asciiTheme="majorBidi" w:hAnsiTheme="majorBidi" w:cstheme="majorBidi"/>
          <w:color w:val="000000" w:themeColor="text1"/>
        </w:rPr>
      </w:pPr>
    </w:p>
    <w:tbl>
      <w:tblPr>
        <w:tblStyle w:val="a3"/>
        <w:tblpPr w:leftFromText="180" w:rightFromText="180" w:vertAnchor="text" w:horzAnchor="margin" w:tblpXSpec="center" w:tblpY="140"/>
        <w:tblW w:w="10155" w:type="dxa"/>
        <w:tblLook w:val="04A0" w:firstRow="1" w:lastRow="0" w:firstColumn="1" w:lastColumn="0" w:noHBand="0" w:noVBand="1"/>
      </w:tblPr>
      <w:tblGrid>
        <w:gridCol w:w="925"/>
        <w:gridCol w:w="962"/>
        <w:gridCol w:w="827"/>
        <w:gridCol w:w="1182"/>
        <w:gridCol w:w="986"/>
        <w:gridCol w:w="1096"/>
        <w:gridCol w:w="1096"/>
        <w:gridCol w:w="1096"/>
        <w:gridCol w:w="1206"/>
        <w:gridCol w:w="1316"/>
      </w:tblGrid>
      <w:tr w:rsidR="00FC76AF" w:rsidRPr="00FC76AF" w:rsidTr="00E338B3">
        <w:trPr>
          <w:trHeight w:val="265"/>
        </w:trPr>
        <w:tc>
          <w:tcPr>
            <w:tcW w:w="861" w:type="dxa"/>
            <w:vMerge w:val="restart"/>
          </w:tcPr>
          <w:p w:rsidR="00E338B3" w:rsidRPr="00FC76AF" w:rsidRDefault="00E338B3" w:rsidP="00E338B3">
            <w:pPr>
              <w:pStyle w:val="Default"/>
              <w:jc w:val="center"/>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Mixture</w:t>
            </w:r>
          </w:p>
        </w:tc>
        <w:tc>
          <w:tcPr>
            <w:tcW w:w="894" w:type="dxa"/>
            <w:vMerge w:val="restart"/>
          </w:tcPr>
          <w:p w:rsidR="00E338B3" w:rsidRPr="00FC76AF" w:rsidRDefault="00E338B3" w:rsidP="005B199A">
            <w:pPr>
              <w:pStyle w:val="Default"/>
              <w:jc w:val="center"/>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 xml:space="preserve">Cement/ </w:t>
            </w:r>
            <w:r w:rsidR="005B199A" w:rsidRPr="00FC76AF">
              <w:rPr>
                <w:rFonts w:asciiTheme="majorBidi" w:hAnsiTheme="majorBidi" w:cstheme="majorBidi"/>
                <w:color w:val="000000" w:themeColor="text1"/>
                <w:sz w:val="22"/>
                <w:szCs w:val="22"/>
              </w:rPr>
              <w:t xml:space="preserve">water </w:t>
            </w:r>
            <w:r w:rsidRPr="00FC76AF">
              <w:rPr>
                <w:rFonts w:asciiTheme="majorBidi" w:hAnsiTheme="majorBidi" w:cstheme="majorBidi"/>
                <w:color w:val="000000" w:themeColor="text1"/>
                <w:sz w:val="22"/>
                <w:szCs w:val="22"/>
              </w:rPr>
              <w:t xml:space="preserve"> ratio</w:t>
            </w:r>
          </w:p>
          <w:p w:rsidR="00E338B3" w:rsidRPr="00FC76AF" w:rsidRDefault="00E338B3" w:rsidP="00E338B3">
            <w:pPr>
              <w:pStyle w:val="Default"/>
              <w:jc w:val="center"/>
              <w:rPr>
                <w:rFonts w:asciiTheme="majorBidi" w:hAnsiTheme="majorBidi" w:cstheme="majorBidi"/>
                <w:color w:val="000000" w:themeColor="text1"/>
                <w:sz w:val="22"/>
                <w:szCs w:val="22"/>
              </w:rPr>
            </w:pPr>
          </w:p>
        </w:tc>
        <w:tc>
          <w:tcPr>
            <w:tcW w:w="1031" w:type="dxa"/>
            <w:vMerge w:val="restart"/>
          </w:tcPr>
          <w:p w:rsidR="00652B41" w:rsidRPr="00FC76AF" w:rsidRDefault="00652B41" w:rsidP="00E338B3">
            <w:pPr>
              <w:bidi w:val="0"/>
              <w:spacing w:line="160" w:lineRule="exact"/>
              <w:ind w:left="281"/>
              <w:jc w:val="center"/>
              <w:rPr>
                <w:rFonts w:asciiTheme="majorBidi" w:hAnsiTheme="majorBidi" w:cstheme="majorBidi"/>
                <w:color w:val="000000" w:themeColor="text1"/>
              </w:rPr>
            </w:pPr>
          </w:p>
          <w:p w:rsidR="00E338B3" w:rsidRPr="00FC76AF" w:rsidRDefault="00652B41" w:rsidP="00652B41">
            <w:pPr>
              <w:bidi w:val="0"/>
              <w:spacing w:line="160" w:lineRule="exact"/>
              <w:rPr>
                <w:rFonts w:asciiTheme="majorBidi" w:hAnsiTheme="majorBidi" w:cstheme="majorBidi"/>
                <w:color w:val="000000" w:themeColor="text1"/>
              </w:rPr>
            </w:pPr>
            <w:r w:rsidRPr="00FC76AF">
              <w:rPr>
                <w:rFonts w:asciiTheme="majorBidi" w:hAnsiTheme="majorBidi" w:cstheme="majorBidi"/>
                <w:color w:val="000000" w:themeColor="text1"/>
              </w:rPr>
              <w:t>CTAC</w:t>
            </w:r>
          </w:p>
          <w:p w:rsidR="00E338B3" w:rsidRPr="00FC76AF" w:rsidRDefault="00E338B3" w:rsidP="00E338B3">
            <w:pPr>
              <w:bidi w:val="0"/>
              <w:spacing w:line="160" w:lineRule="exact"/>
              <w:ind w:left="281"/>
              <w:jc w:val="center"/>
              <w:rPr>
                <w:rFonts w:asciiTheme="majorBidi" w:hAnsiTheme="majorBidi" w:cstheme="majorBidi"/>
                <w:color w:val="000000" w:themeColor="text1"/>
              </w:rPr>
            </w:pPr>
            <w:r w:rsidRPr="00FC76AF">
              <w:rPr>
                <w:rFonts w:asciiTheme="majorBidi" w:hAnsiTheme="majorBidi" w:cstheme="majorBidi"/>
                <w:color w:val="000000" w:themeColor="text1"/>
              </w:rPr>
              <w:t>(%)</w:t>
            </w:r>
          </w:p>
        </w:tc>
        <w:tc>
          <w:tcPr>
            <w:tcW w:w="1120" w:type="dxa"/>
            <w:vMerge w:val="restart"/>
          </w:tcPr>
          <w:p w:rsidR="000F110B" w:rsidRPr="00FC76AF" w:rsidRDefault="000F110B" w:rsidP="00E338B3">
            <w:pPr>
              <w:bidi w:val="0"/>
              <w:spacing w:line="160" w:lineRule="exact"/>
              <w:ind w:left="281"/>
              <w:jc w:val="center"/>
              <w:rPr>
                <w:rFonts w:asciiTheme="majorBidi" w:hAnsiTheme="majorBidi" w:cstheme="majorBidi"/>
                <w:color w:val="000000" w:themeColor="text1"/>
              </w:rPr>
            </w:pPr>
          </w:p>
          <w:p w:rsidR="00E338B3" w:rsidRPr="00FC76AF" w:rsidRDefault="00E338B3" w:rsidP="000F110B">
            <w:pPr>
              <w:bidi w:val="0"/>
              <w:spacing w:line="160" w:lineRule="exact"/>
              <w:ind w:left="281"/>
              <w:jc w:val="center"/>
              <w:rPr>
                <w:rFonts w:asciiTheme="majorBidi" w:hAnsiTheme="majorBidi" w:cstheme="majorBidi"/>
                <w:color w:val="000000" w:themeColor="text1"/>
              </w:rPr>
            </w:pPr>
            <w:r w:rsidRPr="00FC76AF">
              <w:rPr>
                <w:rFonts w:asciiTheme="majorBidi" w:hAnsiTheme="majorBidi" w:cstheme="majorBidi"/>
                <w:color w:val="000000" w:themeColor="text1"/>
              </w:rPr>
              <w:t>Density</w:t>
            </w:r>
          </w:p>
          <w:p w:rsidR="00E338B3" w:rsidRPr="00FC76AF" w:rsidRDefault="00E338B3" w:rsidP="00E338B3">
            <w:pPr>
              <w:pStyle w:val="Default"/>
              <w:jc w:val="center"/>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w:t>
            </w:r>
            <w:proofErr w:type="spellStart"/>
            <w:r w:rsidRPr="00FC76AF">
              <w:rPr>
                <w:rFonts w:asciiTheme="majorBidi" w:hAnsiTheme="majorBidi" w:cstheme="majorBidi"/>
                <w:color w:val="000000" w:themeColor="text1"/>
                <w:sz w:val="22"/>
                <w:szCs w:val="22"/>
              </w:rPr>
              <w:t>gm</w:t>
            </w:r>
            <w:proofErr w:type="spellEnd"/>
            <w:r w:rsidRPr="00FC76AF">
              <w:rPr>
                <w:rFonts w:asciiTheme="majorBidi" w:hAnsiTheme="majorBidi" w:cstheme="majorBidi"/>
                <w:color w:val="000000" w:themeColor="text1"/>
                <w:sz w:val="22"/>
                <w:szCs w:val="22"/>
              </w:rPr>
              <w:t>/cm3)</w:t>
            </w:r>
          </w:p>
        </w:tc>
        <w:tc>
          <w:tcPr>
            <w:tcW w:w="959" w:type="dxa"/>
            <w:vMerge w:val="restart"/>
          </w:tcPr>
          <w:p w:rsidR="00E338B3" w:rsidRPr="00FC76AF" w:rsidRDefault="00E338B3" w:rsidP="00E338B3">
            <w:pPr>
              <w:bidi w:val="0"/>
              <w:spacing w:before="2"/>
              <w:ind w:left="216" w:right="260"/>
              <w:jc w:val="center"/>
              <w:rPr>
                <w:rFonts w:asciiTheme="majorBidi" w:hAnsiTheme="majorBidi" w:cstheme="majorBidi"/>
                <w:color w:val="000000" w:themeColor="text1"/>
              </w:rPr>
            </w:pPr>
            <w:r w:rsidRPr="00FC76AF">
              <w:rPr>
                <w:rFonts w:asciiTheme="majorBidi" w:hAnsiTheme="majorBidi" w:cstheme="majorBidi"/>
                <w:color w:val="000000" w:themeColor="text1"/>
              </w:rPr>
              <w:t>Air %</w:t>
            </w:r>
          </w:p>
        </w:tc>
        <w:tc>
          <w:tcPr>
            <w:tcW w:w="2958" w:type="dxa"/>
            <w:gridSpan w:val="3"/>
          </w:tcPr>
          <w:p w:rsidR="00E338B3" w:rsidRPr="00FC76AF" w:rsidRDefault="00E338B3" w:rsidP="00E338B3">
            <w:pPr>
              <w:bidi w:val="0"/>
              <w:spacing w:before="2"/>
              <w:ind w:left="216" w:right="260"/>
              <w:jc w:val="center"/>
              <w:rPr>
                <w:rFonts w:asciiTheme="majorBidi" w:hAnsiTheme="majorBidi" w:cstheme="majorBidi"/>
                <w:color w:val="000000" w:themeColor="text1"/>
              </w:rPr>
            </w:pPr>
            <w:r w:rsidRPr="00FC76AF">
              <w:rPr>
                <w:rFonts w:asciiTheme="majorBidi" w:hAnsiTheme="majorBidi" w:cstheme="majorBidi"/>
                <w:color w:val="000000" w:themeColor="text1"/>
              </w:rPr>
              <w:t>Compressive</w:t>
            </w:r>
          </w:p>
          <w:p w:rsidR="00E338B3" w:rsidRPr="00FC76AF" w:rsidRDefault="00E338B3" w:rsidP="00E338B3">
            <w:pPr>
              <w:pStyle w:val="Default"/>
              <w:jc w:val="center"/>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Strength (N/mm</w:t>
            </w:r>
            <w:r w:rsidRPr="00FC76AF">
              <w:rPr>
                <w:rFonts w:asciiTheme="majorBidi" w:hAnsiTheme="majorBidi" w:cstheme="majorBidi"/>
                <w:color w:val="000000" w:themeColor="text1"/>
                <w:sz w:val="22"/>
                <w:szCs w:val="22"/>
                <w:vertAlign w:val="superscript"/>
              </w:rPr>
              <w:t>2</w:t>
            </w:r>
            <w:r w:rsidRPr="00FC76AF">
              <w:rPr>
                <w:rFonts w:asciiTheme="majorBidi" w:hAnsiTheme="majorBidi" w:cstheme="majorBidi"/>
                <w:color w:val="000000" w:themeColor="text1"/>
                <w:sz w:val="22"/>
                <w:szCs w:val="22"/>
              </w:rPr>
              <w:t>)</w:t>
            </w:r>
          </w:p>
        </w:tc>
        <w:tc>
          <w:tcPr>
            <w:tcW w:w="1116" w:type="dxa"/>
            <w:vMerge w:val="restart"/>
          </w:tcPr>
          <w:p w:rsidR="00E338B3" w:rsidRPr="00FC76AF" w:rsidRDefault="00E338B3" w:rsidP="00E338B3">
            <w:pPr>
              <w:pStyle w:val="Default"/>
              <w:jc w:val="center"/>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Water Absorption %</w:t>
            </w:r>
          </w:p>
        </w:tc>
        <w:tc>
          <w:tcPr>
            <w:tcW w:w="1216" w:type="dxa"/>
            <w:vMerge w:val="restart"/>
          </w:tcPr>
          <w:p w:rsidR="00E338B3" w:rsidRPr="00FC76AF" w:rsidRDefault="00E338B3" w:rsidP="00E338B3">
            <w:pPr>
              <w:pStyle w:val="Default"/>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Thermal conductivity</w:t>
            </w:r>
          </w:p>
          <w:p w:rsidR="00E338B3" w:rsidRPr="00FC76AF" w:rsidRDefault="00921D48" w:rsidP="00E338B3">
            <w:pPr>
              <w:pStyle w:val="Default"/>
              <w:jc w:val="center"/>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W•m</w:t>
            </w:r>
            <w:r w:rsidRPr="00FC76AF">
              <w:rPr>
                <w:rFonts w:asciiTheme="majorBidi" w:hAnsiTheme="majorBidi" w:cstheme="majorBidi"/>
                <w:color w:val="000000" w:themeColor="text1"/>
                <w:sz w:val="22"/>
                <w:szCs w:val="22"/>
                <w:vertAlign w:val="superscript"/>
              </w:rPr>
              <w:t>−1</w:t>
            </w:r>
            <w:r w:rsidRPr="00FC76AF">
              <w:rPr>
                <w:rFonts w:asciiTheme="majorBidi" w:hAnsiTheme="majorBidi" w:cstheme="majorBidi"/>
                <w:color w:val="000000" w:themeColor="text1"/>
                <w:sz w:val="22"/>
                <w:szCs w:val="22"/>
              </w:rPr>
              <w:t>•K</w:t>
            </w:r>
            <w:r w:rsidRPr="00FC76AF">
              <w:rPr>
                <w:rFonts w:asciiTheme="majorBidi" w:hAnsiTheme="majorBidi" w:cstheme="majorBidi"/>
                <w:color w:val="000000" w:themeColor="text1"/>
                <w:sz w:val="22"/>
                <w:szCs w:val="22"/>
                <w:vertAlign w:val="superscript"/>
              </w:rPr>
              <w:t>−1</w:t>
            </w:r>
          </w:p>
        </w:tc>
      </w:tr>
      <w:tr w:rsidR="00FC76AF" w:rsidRPr="00FC76AF" w:rsidTr="00E338B3">
        <w:trPr>
          <w:trHeight w:val="265"/>
        </w:trPr>
        <w:tc>
          <w:tcPr>
            <w:tcW w:w="861" w:type="dxa"/>
            <w:vMerge/>
          </w:tcPr>
          <w:p w:rsidR="00E338B3" w:rsidRPr="00FC76AF" w:rsidRDefault="00E338B3" w:rsidP="00E338B3">
            <w:pPr>
              <w:pStyle w:val="Default"/>
              <w:jc w:val="center"/>
              <w:rPr>
                <w:rFonts w:asciiTheme="majorBidi" w:hAnsiTheme="majorBidi" w:cstheme="majorBidi"/>
                <w:color w:val="000000" w:themeColor="text1"/>
                <w:sz w:val="22"/>
                <w:szCs w:val="22"/>
              </w:rPr>
            </w:pPr>
          </w:p>
        </w:tc>
        <w:tc>
          <w:tcPr>
            <w:tcW w:w="894" w:type="dxa"/>
            <w:vMerge/>
          </w:tcPr>
          <w:p w:rsidR="00E338B3" w:rsidRPr="00FC76AF" w:rsidRDefault="00E338B3" w:rsidP="00E338B3">
            <w:pPr>
              <w:pStyle w:val="Default"/>
              <w:jc w:val="center"/>
              <w:rPr>
                <w:rFonts w:asciiTheme="majorBidi" w:hAnsiTheme="majorBidi" w:cstheme="majorBidi"/>
                <w:color w:val="000000" w:themeColor="text1"/>
                <w:sz w:val="22"/>
                <w:szCs w:val="22"/>
              </w:rPr>
            </w:pPr>
          </w:p>
        </w:tc>
        <w:tc>
          <w:tcPr>
            <w:tcW w:w="1031" w:type="dxa"/>
            <w:vMerge/>
          </w:tcPr>
          <w:p w:rsidR="00E338B3" w:rsidRPr="00FC76AF" w:rsidRDefault="00E338B3" w:rsidP="00E338B3">
            <w:pPr>
              <w:bidi w:val="0"/>
              <w:spacing w:line="160" w:lineRule="exact"/>
              <w:ind w:left="281"/>
              <w:jc w:val="center"/>
              <w:rPr>
                <w:rFonts w:asciiTheme="majorBidi" w:hAnsiTheme="majorBidi" w:cstheme="majorBidi"/>
                <w:color w:val="000000" w:themeColor="text1"/>
              </w:rPr>
            </w:pPr>
          </w:p>
        </w:tc>
        <w:tc>
          <w:tcPr>
            <w:tcW w:w="1120" w:type="dxa"/>
            <w:vMerge/>
          </w:tcPr>
          <w:p w:rsidR="00E338B3" w:rsidRPr="00FC76AF" w:rsidRDefault="00E338B3" w:rsidP="00E338B3">
            <w:pPr>
              <w:bidi w:val="0"/>
              <w:spacing w:line="160" w:lineRule="exact"/>
              <w:ind w:left="281"/>
              <w:jc w:val="center"/>
              <w:rPr>
                <w:rFonts w:asciiTheme="majorBidi" w:hAnsiTheme="majorBidi" w:cstheme="majorBidi"/>
                <w:color w:val="000000" w:themeColor="text1"/>
              </w:rPr>
            </w:pPr>
          </w:p>
        </w:tc>
        <w:tc>
          <w:tcPr>
            <w:tcW w:w="959" w:type="dxa"/>
            <w:vMerge/>
          </w:tcPr>
          <w:p w:rsidR="00E338B3" w:rsidRPr="00FC76AF" w:rsidRDefault="00E338B3" w:rsidP="00E338B3">
            <w:pPr>
              <w:bidi w:val="0"/>
              <w:spacing w:before="2"/>
              <w:ind w:left="216" w:right="260"/>
              <w:jc w:val="center"/>
              <w:rPr>
                <w:rFonts w:asciiTheme="majorBidi" w:hAnsiTheme="majorBidi" w:cstheme="majorBidi"/>
                <w:color w:val="000000" w:themeColor="text1"/>
              </w:rPr>
            </w:pPr>
          </w:p>
        </w:tc>
        <w:tc>
          <w:tcPr>
            <w:tcW w:w="986" w:type="dxa"/>
          </w:tcPr>
          <w:p w:rsidR="00E338B3" w:rsidRPr="00FC76AF" w:rsidRDefault="00E338B3" w:rsidP="00E338B3">
            <w:pPr>
              <w:bidi w:val="0"/>
              <w:spacing w:before="2"/>
              <w:ind w:left="216" w:right="260"/>
              <w:jc w:val="center"/>
              <w:rPr>
                <w:rFonts w:asciiTheme="majorBidi" w:hAnsiTheme="majorBidi" w:cstheme="majorBidi"/>
                <w:color w:val="000000" w:themeColor="text1"/>
              </w:rPr>
            </w:pPr>
            <w:r w:rsidRPr="00FC76AF">
              <w:rPr>
                <w:rFonts w:asciiTheme="majorBidi" w:hAnsiTheme="majorBidi" w:cstheme="majorBidi"/>
                <w:color w:val="000000" w:themeColor="text1"/>
              </w:rPr>
              <w:t>3 days</w:t>
            </w:r>
          </w:p>
        </w:tc>
        <w:tc>
          <w:tcPr>
            <w:tcW w:w="986" w:type="dxa"/>
          </w:tcPr>
          <w:p w:rsidR="00E338B3" w:rsidRPr="00FC76AF" w:rsidRDefault="00E338B3" w:rsidP="00E338B3">
            <w:pPr>
              <w:bidi w:val="0"/>
              <w:spacing w:before="2"/>
              <w:ind w:left="216" w:right="260"/>
              <w:jc w:val="center"/>
              <w:rPr>
                <w:rFonts w:asciiTheme="majorBidi" w:hAnsiTheme="majorBidi" w:cstheme="majorBidi"/>
                <w:color w:val="000000" w:themeColor="text1"/>
              </w:rPr>
            </w:pPr>
            <w:r w:rsidRPr="00FC76AF">
              <w:rPr>
                <w:rFonts w:asciiTheme="majorBidi" w:hAnsiTheme="majorBidi" w:cstheme="majorBidi"/>
                <w:color w:val="000000" w:themeColor="text1"/>
              </w:rPr>
              <w:t>7 days</w:t>
            </w:r>
          </w:p>
        </w:tc>
        <w:tc>
          <w:tcPr>
            <w:tcW w:w="986" w:type="dxa"/>
          </w:tcPr>
          <w:p w:rsidR="00E338B3" w:rsidRPr="00FC76AF" w:rsidRDefault="00E338B3" w:rsidP="00E338B3">
            <w:pPr>
              <w:bidi w:val="0"/>
              <w:spacing w:before="2"/>
              <w:ind w:left="216" w:right="260"/>
              <w:jc w:val="center"/>
              <w:rPr>
                <w:rFonts w:asciiTheme="majorBidi" w:hAnsiTheme="majorBidi" w:cstheme="majorBidi"/>
                <w:color w:val="000000" w:themeColor="text1"/>
              </w:rPr>
            </w:pPr>
            <w:r w:rsidRPr="00FC76AF">
              <w:rPr>
                <w:rFonts w:asciiTheme="majorBidi" w:hAnsiTheme="majorBidi" w:cstheme="majorBidi"/>
                <w:color w:val="000000" w:themeColor="text1"/>
              </w:rPr>
              <w:t>28 days</w:t>
            </w:r>
          </w:p>
        </w:tc>
        <w:tc>
          <w:tcPr>
            <w:tcW w:w="1116" w:type="dxa"/>
            <w:vMerge/>
          </w:tcPr>
          <w:p w:rsidR="00E338B3" w:rsidRPr="00FC76AF" w:rsidRDefault="00E338B3" w:rsidP="00E338B3">
            <w:pPr>
              <w:pStyle w:val="Default"/>
              <w:jc w:val="center"/>
              <w:rPr>
                <w:rFonts w:asciiTheme="majorBidi" w:hAnsiTheme="majorBidi" w:cstheme="majorBidi"/>
                <w:color w:val="000000" w:themeColor="text1"/>
                <w:sz w:val="22"/>
                <w:szCs w:val="22"/>
              </w:rPr>
            </w:pPr>
          </w:p>
        </w:tc>
        <w:tc>
          <w:tcPr>
            <w:tcW w:w="1216" w:type="dxa"/>
            <w:vMerge/>
          </w:tcPr>
          <w:p w:rsidR="00E338B3" w:rsidRPr="00FC76AF" w:rsidRDefault="00E338B3" w:rsidP="00E338B3">
            <w:pPr>
              <w:pStyle w:val="Default"/>
              <w:jc w:val="center"/>
              <w:rPr>
                <w:rFonts w:asciiTheme="majorBidi" w:hAnsiTheme="majorBidi" w:cstheme="majorBidi"/>
                <w:color w:val="000000" w:themeColor="text1"/>
                <w:sz w:val="22"/>
                <w:szCs w:val="22"/>
              </w:rPr>
            </w:pPr>
          </w:p>
        </w:tc>
      </w:tr>
      <w:tr w:rsidR="00FC76AF" w:rsidRPr="00FC76AF" w:rsidTr="00E338B3">
        <w:tc>
          <w:tcPr>
            <w:tcW w:w="861"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M0</w:t>
            </w:r>
          </w:p>
        </w:tc>
        <w:tc>
          <w:tcPr>
            <w:tcW w:w="894"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0.43</w:t>
            </w:r>
          </w:p>
        </w:tc>
        <w:tc>
          <w:tcPr>
            <w:tcW w:w="1031"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0</w:t>
            </w:r>
            <w:r w:rsidR="002E2FFB" w:rsidRPr="00FC76AF">
              <w:rPr>
                <w:rFonts w:asciiTheme="majorBidi" w:hAnsiTheme="majorBidi" w:cstheme="majorBidi"/>
                <w:color w:val="000000" w:themeColor="text1"/>
                <w:sz w:val="22"/>
                <w:szCs w:val="22"/>
              </w:rPr>
              <w:t>.0</w:t>
            </w:r>
          </w:p>
        </w:tc>
        <w:tc>
          <w:tcPr>
            <w:tcW w:w="1120"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2</w:t>
            </w:r>
            <w:r w:rsidR="002E2FFB" w:rsidRPr="00FC76AF">
              <w:rPr>
                <w:rFonts w:asciiTheme="majorBidi" w:hAnsiTheme="majorBidi" w:cstheme="majorBidi"/>
                <w:color w:val="000000" w:themeColor="text1"/>
                <w:sz w:val="22"/>
                <w:szCs w:val="22"/>
              </w:rPr>
              <w:t>.0</w:t>
            </w:r>
          </w:p>
        </w:tc>
        <w:tc>
          <w:tcPr>
            <w:tcW w:w="959"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0</w:t>
            </w:r>
            <w:r w:rsidR="002E2FFB" w:rsidRPr="00FC76AF">
              <w:rPr>
                <w:rFonts w:asciiTheme="majorBidi" w:hAnsiTheme="majorBidi" w:cstheme="majorBidi"/>
                <w:color w:val="000000" w:themeColor="text1"/>
                <w:sz w:val="22"/>
                <w:szCs w:val="22"/>
              </w:rPr>
              <w:t>.0</w:t>
            </w:r>
          </w:p>
        </w:tc>
        <w:tc>
          <w:tcPr>
            <w:tcW w:w="986"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40.42</w:t>
            </w:r>
          </w:p>
        </w:tc>
        <w:tc>
          <w:tcPr>
            <w:tcW w:w="986"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50.38</w:t>
            </w:r>
          </w:p>
        </w:tc>
        <w:tc>
          <w:tcPr>
            <w:tcW w:w="986"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72.7</w:t>
            </w:r>
          </w:p>
        </w:tc>
        <w:tc>
          <w:tcPr>
            <w:tcW w:w="1116" w:type="dxa"/>
          </w:tcPr>
          <w:p w:rsidR="00E338B3" w:rsidRPr="00FC76AF" w:rsidRDefault="00E338B3" w:rsidP="00E338B3">
            <w:pPr>
              <w:bidi w:val="0"/>
              <w:rPr>
                <w:rFonts w:asciiTheme="majorBidi" w:hAnsiTheme="majorBidi" w:cstheme="majorBidi"/>
                <w:color w:val="000000" w:themeColor="text1"/>
              </w:rPr>
            </w:pPr>
            <w:r w:rsidRPr="00FC76AF">
              <w:rPr>
                <w:rFonts w:asciiTheme="majorBidi" w:hAnsiTheme="majorBidi" w:cstheme="majorBidi"/>
                <w:color w:val="000000" w:themeColor="text1"/>
              </w:rPr>
              <w:t>2.1</w:t>
            </w:r>
          </w:p>
        </w:tc>
        <w:tc>
          <w:tcPr>
            <w:tcW w:w="1216" w:type="dxa"/>
          </w:tcPr>
          <w:p w:rsidR="00E338B3" w:rsidRPr="00FC76AF" w:rsidRDefault="00E338B3" w:rsidP="00E338B3">
            <w:pPr>
              <w:bidi w:val="0"/>
              <w:rPr>
                <w:rFonts w:asciiTheme="majorBidi" w:hAnsiTheme="majorBidi" w:cstheme="majorBidi"/>
                <w:color w:val="000000" w:themeColor="text1"/>
              </w:rPr>
            </w:pPr>
            <w:r w:rsidRPr="00FC76AF">
              <w:rPr>
                <w:rFonts w:asciiTheme="majorBidi" w:hAnsiTheme="majorBidi" w:cstheme="majorBidi"/>
                <w:color w:val="000000" w:themeColor="text1"/>
              </w:rPr>
              <w:t>0.72</w:t>
            </w:r>
          </w:p>
        </w:tc>
      </w:tr>
      <w:tr w:rsidR="00FC76AF" w:rsidRPr="00FC76AF" w:rsidTr="00E338B3">
        <w:tc>
          <w:tcPr>
            <w:tcW w:w="861" w:type="dxa"/>
          </w:tcPr>
          <w:p w:rsidR="00E338B3" w:rsidRPr="00FC76AF" w:rsidRDefault="00E338B3" w:rsidP="00924725">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M</w:t>
            </w:r>
            <w:r w:rsidR="00924725" w:rsidRPr="00FC76AF">
              <w:rPr>
                <w:rFonts w:asciiTheme="majorBidi" w:hAnsiTheme="majorBidi" w:cstheme="majorBidi"/>
                <w:color w:val="000000" w:themeColor="text1"/>
                <w:sz w:val="22"/>
                <w:szCs w:val="22"/>
              </w:rPr>
              <w:t>1</w:t>
            </w:r>
          </w:p>
        </w:tc>
        <w:tc>
          <w:tcPr>
            <w:tcW w:w="894"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0.43</w:t>
            </w:r>
          </w:p>
        </w:tc>
        <w:tc>
          <w:tcPr>
            <w:tcW w:w="1031"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0.1</w:t>
            </w:r>
          </w:p>
        </w:tc>
        <w:tc>
          <w:tcPr>
            <w:tcW w:w="1120"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1.181</w:t>
            </w:r>
          </w:p>
        </w:tc>
        <w:tc>
          <w:tcPr>
            <w:tcW w:w="959"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40.95</w:t>
            </w:r>
          </w:p>
        </w:tc>
        <w:tc>
          <w:tcPr>
            <w:tcW w:w="986" w:type="dxa"/>
          </w:tcPr>
          <w:p w:rsidR="00E338B3" w:rsidRPr="00FC76AF" w:rsidRDefault="00E338B3" w:rsidP="00E338B3">
            <w:pPr>
              <w:bidi w:val="0"/>
              <w:rPr>
                <w:rFonts w:asciiTheme="majorBidi" w:hAnsiTheme="majorBidi" w:cstheme="majorBidi"/>
                <w:color w:val="000000" w:themeColor="text1"/>
              </w:rPr>
            </w:pPr>
            <w:r w:rsidRPr="00FC76AF">
              <w:rPr>
                <w:rFonts w:asciiTheme="majorBidi" w:hAnsiTheme="majorBidi" w:cstheme="majorBidi"/>
                <w:color w:val="000000" w:themeColor="text1"/>
              </w:rPr>
              <w:t>16.04</w:t>
            </w:r>
          </w:p>
        </w:tc>
        <w:tc>
          <w:tcPr>
            <w:tcW w:w="986"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20.03</w:t>
            </w:r>
          </w:p>
        </w:tc>
        <w:tc>
          <w:tcPr>
            <w:tcW w:w="986"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28.90</w:t>
            </w:r>
          </w:p>
        </w:tc>
        <w:tc>
          <w:tcPr>
            <w:tcW w:w="1116" w:type="dxa"/>
          </w:tcPr>
          <w:p w:rsidR="00E338B3" w:rsidRPr="00FC76AF" w:rsidRDefault="00E338B3" w:rsidP="00E338B3">
            <w:pPr>
              <w:bidi w:val="0"/>
              <w:rPr>
                <w:rFonts w:asciiTheme="majorBidi" w:hAnsiTheme="majorBidi" w:cstheme="majorBidi"/>
                <w:color w:val="000000" w:themeColor="text1"/>
              </w:rPr>
            </w:pPr>
            <w:r w:rsidRPr="00FC76AF">
              <w:rPr>
                <w:rFonts w:asciiTheme="majorBidi" w:hAnsiTheme="majorBidi" w:cstheme="majorBidi"/>
                <w:color w:val="000000" w:themeColor="text1"/>
              </w:rPr>
              <w:t>4.5</w:t>
            </w:r>
          </w:p>
        </w:tc>
        <w:tc>
          <w:tcPr>
            <w:tcW w:w="1216" w:type="dxa"/>
          </w:tcPr>
          <w:p w:rsidR="00E338B3" w:rsidRPr="00FC76AF" w:rsidRDefault="00E338B3" w:rsidP="00E338B3">
            <w:pPr>
              <w:bidi w:val="0"/>
              <w:rPr>
                <w:rFonts w:asciiTheme="majorBidi" w:hAnsiTheme="majorBidi" w:cstheme="majorBidi"/>
                <w:color w:val="000000" w:themeColor="text1"/>
              </w:rPr>
            </w:pPr>
            <w:r w:rsidRPr="00FC76AF">
              <w:rPr>
                <w:rFonts w:asciiTheme="majorBidi" w:hAnsiTheme="majorBidi" w:cstheme="majorBidi"/>
                <w:color w:val="000000" w:themeColor="text1"/>
              </w:rPr>
              <w:t>0.30</w:t>
            </w:r>
          </w:p>
        </w:tc>
      </w:tr>
      <w:tr w:rsidR="00FC76AF" w:rsidRPr="00FC76AF" w:rsidTr="00E338B3">
        <w:tc>
          <w:tcPr>
            <w:tcW w:w="861" w:type="dxa"/>
          </w:tcPr>
          <w:p w:rsidR="00E338B3" w:rsidRPr="00FC76AF" w:rsidRDefault="00E338B3" w:rsidP="00924725">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M</w:t>
            </w:r>
            <w:r w:rsidR="00924725" w:rsidRPr="00FC76AF">
              <w:rPr>
                <w:rFonts w:asciiTheme="majorBidi" w:hAnsiTheme="majorBidi" w:cstheme="majorBidi"/>
                <w:color w:val="000000" w:themeColor="text1"/>
                <w:sz w:val="22"/>
                <w:szCs w:val="22"/>
              </w:rPr>
              <w:t>2</w:t>
            </w:r>
          </w:p>
        </w:tc>
        <w:tc>
          <w:tcPr>
            <w:tcW w:w="894"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0.43</w:t>
            </w:r>
          </w:p>
        </w:tc>
        <w:tc>
          <w:tcPr>
            <w:tcW w:w="1031"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0.5</w:t>
            </w:r>
          </w:p>
        </w:tc>
        <w:tc>
          <w:tcPr>
            <w:tcW w:w="1120"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1.17</w:t>
            </w:r>
            <w:r w:rsidR="00081111" w:rsidRPr="00FC76AF">
              <w:rPr>
                <w:rFonts w:asciiTheme="majorBidi" w:hAnsiTheme="majorBidi" w:cstheme="majorBidi"/>
                <w:color w:val="000000" w:themeColor="text1"/>
                <w:sz w:val="22"/>
                <w:szCs w:val="22"/>
              </w:rPr>
              <w:t>0</w:t>
            </w:r>
          </w:p>
        </w:tc>
        <w:tc>
          <w:tcPr>
            <w:tcW w:w="959"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41.5</w:t>
            </w:r>
            <w:r w:rsidR="00081111" w:rsidRPr="00FC76AF">
              <w:rPr>
                <w:rFonts w:asciiTheme="majorBidi" w:hAnsiTheme="majorBidi" w:cstheme="majorBidi"/>
                <w:color w:val="000000" w:themeColor="text1"/>
                <w:sz w:val="22"/>
                <w:szCs w:val="22"/>
              </w:rPr>
              <w:t>0</w:t>
            </w:r>
          </w:p>
        </w:tc>
        <w:tc>
          <w:tcPr>
            <w:tcW w:w="986" w:type="dxa"/>
          </w:tcPr>
          <w:p w:rsidR="00E338B3" w:rsidRPr="00FC76AF" w:rsidRDefault="00E338B3" w:rsidP="00E338B3">
            <w:pPr>
              <w:bidi w:val="0"/>
              <w:rPr>
                <w:rFonts w:asciiTheme="majorBidi" w:hAnsiTheme="majorBidi" w:cstheme="majorBidi"/>
                <w:color w:val="000000" w:themeColor="text1"/>
              </w:rPr>
            </w:pPr>
            <w:r w:rsidRPr="00FC76AF">
              <w:rPr>
                <w:rFonts w:asciiTheme="majorBidi" w:hAnsiTheme="majorBidi" w:cstheme="majorBidi"/>
                <w:color w:val="000000" w:themeColor="text1"/>
              </w:rPr>
              <w:t>15.93</w:t>
            </w:r>
          </w:p>
        </w:tc>
        <w:tc>
          <w:tcPr>
            <w:tcW w:w="986"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19.65</w:t>
            </w:r>
          </w:p>
        </w:tc>
        <w:tc>
          <w:tcPr>
            <w:tcW w:w="986"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27.70</w:t>
            </w:r>
          </w:p>
        </w:tc>
        <w:tc>
          <w:tcPr>
            <w:tcW w:w="1116" w:type="dxa"/>
          </w:tcPr>
          <w:p w:rsidR="00E338B3" w:rsidRPr="00FC76AF" w:rsidRDefault="00E338B3" w:rsidP="00E338B3">
            <w:pPr>
              <w:bidi w:val="0"/>
              <w:rPr>
                <w:rFonts w:asciiTheme="majorBidi" w:hAnsiTheme="majorBidi" w:cstheme="majorBidi"/>
                <w:color w:val="000000" w:themeColor="text1"/>
              </w:rPr>
            </w:pPr>
            <w:r w:rsidRPr="00FC76AF">
              <w:rPr>
                <w:rFonts w:asciiTheme="majorBidi" w:hAnsiTheme="majorBidi" w:cstheme="majorBidi"/>
                <w:color w:val="000000" w:themeColor="text1"/>
              </w:rPr>
              <w:t>5.9</w:t>
            </w:r>
          </w:p>
        </w:tc>
        <w:tc>
          <w:tcPr>
            <w:tcW w:w="1216" w:type="dxa"/>
          </w:tcPr>
          <w:p w:rsidR="00E338B3" w:rsidRPr="00FC76AF" w:rsidRDefault="00E338B3" w:rsidP="00E338B3">
            <w:pPr>
              <w:bidi w:val="0"/>
              <w:rPr>
                <w:rFonts w:asciiTheme="majorBidi" w:hAnsiTheme="majorBidi" w:cstheme="majorBidi"/>
                <w:color w:val="000000" w:themeColor="text1"/>
              </w:rPr>
            </w:pPr>
            <w:r w:rsidRPr="00FC76AF">
              <w:rPr>
                <w:rFonts w:asciiTheme="majorBidi" w:hAnsiTheme="majorBidi" w:cstheme="majorBidi"/>
                <w:color w:val="000000" w:themeColor="text1"/>
              </w:rPr>
              <w:t>0.28</w:t>
            </w:r>
          </w:p>
        </w:tc>
      </w:tr>
      <w:tr w:rsidR="00FC76AF" w:rsidRPr="00FC76AF" w:rsidTr="00E338B3">
        <w:tc>
          <w:tcPr>
            <w:tcW w:w="861" w:type="dxa"/>
          </w:tcPr>
          <w:p w:rsidR="00E338B3" w:rsidRPr="00FC76AF" w:rsidRDefault="00E338B3" w:rsidP="00924725">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M</w:t>
            </w:r>
            <w:r w:rsidR="00924725" w:rsidRPr="00FC76AF">
              <w:rPr>
                <w:rFonts w:asciiTheme="majorBidi" w:hAnsiTheme="majorBidi" w:cstheme="majorBidi"/>
                <w:color w:val="000000" w:themeColor="text1"/>
                <w:sz w:val="22"/>
                <w:szCs w:val="22"/>
              </w:rPr>
              <w:t>3</w:t>
            </w:r>
          </w:p>
        </w:tc>
        <w:tc>
          <w:tcPr>
            <w:tcW w:w="894"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0.43</w:t>
            </w:r>
          </w:p>
        </w:tc>
        <w:tc>
          <w:tcPr>
            <w:tcW w:w="1031"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1</w:t>
            </w:r>
            <w:r w:rsidR="002E2FFB" w:rsidRPr="00FC76AF">
              <w:rPr>
                <w:rFonts w:asciiTheme="majorBidi" w:hAnsiTheme="majorBidi" w:cstheme="majorBidi"/>
                <w:color w:val="000000" w:themeColor="text1"/>
                <w:sz w:val="22"/>
                <w:szCs w:val="22"/>
              </w:rPr>
              <w:t>.0</w:t>
            </w:r>
          </w:p>
        </w:tc>
        <w:tc>
          <w:tcPr>
            <w:tcW w:w="1120"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1.055</w:t>
            </w:r>
          </w:p>
        </w:tc>
        <w:tc>
          <w:tcPr>
            <w:tcW w:w="959"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47.25</w:t>
            </w:r>
          </w:p>
        </w:tc>
        <w:tc>
          <w:tcPr>
            <w:tcW w:w="986" w:type="dxa"/>
          </w:tcPr>
          <w:p w:rsidR="00E338B3" w:rsidRPr="00FC76AF" w:rsidRDefault="00E338B3" w:rsidP="00E338B3">
            <w:pPr>
              <w:bidi w:val="0"/>
              <w:rPr>
                <w:rFonts w:asciiTheme="majorBidi" w:hAnsiTheme="majorBidi" w:cstheme="majorBidi"/>
                <w:color w:val="000000" w:themeColor="text1"/>
              </w:rPr>
            </w:pPr>
            <w:r w:rsidRPr="00FC76AF">
              <w:rPr>
                <w:rFonts w:asciiTheme="majorBidi" w:hAnsiTheme="majorBidi" w:cstheme="majorBidi"/>
                <w:color w:val="000000" w:themeColor="text1"/>
              </w:rPr>
              <w:t>8.66</w:t>
            </w:r>
          </w:p>
        </w:tc>
        <w:tc>
          <w:tcPr>
            <w:tcW w:w="986"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10.81</w:t>
            </w:r>
          </w:p>
        </w:tc>
        <w:tc>
          <w:tcPr>
            <w:tcW w:w="986"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15.60</w:t>
            </w:r>
          </w:p>
        </w:tc>
        <w:tc>
          <w:tcPr>
            <w:tcW w:w="1116"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6.6</w:t>
            </w:r>
          </w:p>
        </w:tc>
        <w:tc>
          <w:tcPr>
            <w:tcW w:w="1216"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0.25</w:t>
            </w:r>
          </w:p>
        </w:tc>
      </w:tr>
      <w:tr w:rsidR="00FC76AF" w:rsidRPr="00FC76AF" w:rsidTr="00E338B3">
        <w:tc>
          <w:tcPr>
            <w:tcW w:w="861" w:type="dxa"/>
          </w:tcPr>
          <w:p w:rsidR="00E338B3" w:rsidRPr="00FC76AF" w:rsidRDefault="00E338B3" w:rsidP="00924725">
            <w:pPr>
              <w:pStyle w:val="Default"/>
              <w:jc w:val="both"/>
              <w:rPr>
                <w:rFonts w:asciiTheme="majorBidi" w:hAnsiTheme="majorBidi" w:cstheme="majorBidi"/>
                <w:color w:val="000000" w:themeColor="text1"/>
                <w:sz w:val="22"/>
                <w:szCs w:val="22"/>
                <w:rtl/>
              </w:rPr>
            </w:pPr>
            <w:r w:rsidRPr="00FC76AF">
              <w:rPr>
                <w:rFonts w:asciiTheme="majorBidi" w:hAnsiTheme="majorBidi" w:cstheme="majorBidi"/>
                <w:color w:val="000000" w:themeColor="text1"/>
                <w:sz w:val="22"/>
                <w:szCs w:val="22"/>
              </w:rPr>
              <w:t>M</w:t>
            </w:r>
            <w:r w:rsidR="00924725" w:rsidRPr="00FC76AF">
              <w:rPr>
                <w:rFonts w:asciiTheme="majorBidi" w:hAnsiTheme="majorBidi" w:cstheme="majorBidi"/>
                <w:color w:val="000000" w:themeColor="text1"/>
                <w:sz w:val="22"/>
                <w:szCs w:val="22"/>
              </w:rPr>
              <w:t>4</w:t>
            </w:r>
          </w:p>
        </w:tc>
        <w:tc>
          <w:tcPr>
            <w:tcW w:w="894"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0.43</w:t>
            </w:r>
          </w:p>
        </w:tc>
        <w:tc>
          <w:tcPr>
            <w:tcW w:w="1031"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2</w:t>
            </w:r>
            <w:r w:rsidR="002E2FFB" w:rsidRPr="00FC76AF">
              <w:rPr>
                <w:rFonts w:asciiTheme="majorBidi" w:hAnsiTheme="majorBidi" w:cstheme="majorBidi"/>
                <w:color w:val="000000" w:themeColor="text1"/>
                <w:sz w:val="22"/>
                <w:szCs w:val="22"/>
              </w:rPr>
              <w:t>.0</w:t>
            </w:r>
          </w:p>
        </w:tc>
        <w:tc>
          <w:tcPr>
            <w:tcW w:w="1120"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1.011</w:t>
            </w:r>
          </w:p>
        </w:tc>
        <w:tc>
          <w:tcPr>
            <w:tcW w:w="959"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49.45</w:t>
            </w:r>
          </w:p>
        </w:tc>
        <w:tc>
          <w:tcPr>
            <w:tcW w:w="986" w:type="dxa"/>
          </w:tcPr>
          <w:p w:rsidR="00E338B3" w:rsidRPr="00FC76AF" w:rsidRDefault="00E338B3" w:rsidP="00E338B3">
            <w:pPr>
              <w:bidi w:val="0"/>
              <w:rPr>
                <w:rFonts w:asciiTheme="majorBidi" w:hAnsiTheme="majorBidi" w:cstheme="majorBidi"/>
                <w:color w:val="000000" w:themeColor="text1"/>
              </w:rPr>
            </w:pPr>
            <w:r w:rsidRPr="00FC76AF">
              <w:rPr>
                <w:rFonts w:asciiTheme="majorBidi" w:hAnsiTheme="majorBidi" w:cstheme="majorBidi"/>
                <w:color w:val="000000" w:themeColor="text1"/>
              </w:rPr>
              <w:t>8.21</w:t>
            </w:r>
          </w:p>
        </w:tc>
        <w:tc>
          <w:tcPr>
            <w:tcW w:w="986"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10.23</w:t>
            </w:r>
          </w:p>
        </w:tc>
        <w:tc>
          <w:tcPr>
            <w:tcW w:w="986"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14.99</w:t>
            </w:r>
          </w:p>
        </w:tc>
        <w:tc>
          <w:tcPr>
            <w:tcW w:w="1116"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6.8</w:t>
            </w:r>
          </w:p>
        </w:tc>
        <w:tc>
          <w:tcPr>
            <w:tcW w:w="1216" w:type="dxa"/>
          </w:tcPr>
          <w:p w:rsidR="00E338B3" w:rsidRPr="00FC76AF" w:rsidRDefault="00E338B3" w:rsidP="00E338B3">
            <w:pPr>
              <w:pStyle w:val="Default"/>
              <w:jc w:val="both"/>
              <w:rPr>
                <w:rFonts w:asciiTheme="majorBidi" w:hAnsiTheme="majorBidi" w:cstheme="majorBidi"/>
                <w:color w:val="000000" w:themeColor="text1"/>
                <w:sz w:val="22"/>
                <w:szCs w:val="22"/>
              </w:rPr>
            </w:pPr>
            <w:r w:rsidRPr="00FC76AF">
              <w:rPr>
                <w:rFonts w:asciiTheme="majorBidi" w:hAnsiTheme="majorBidi" w:cstheme="majorBidi"/>
                <w:color w:val="000000" w:themeColor="text1"/>
                <w:sz w:val="22"/>
                <w:szCs w:val="22"/>
              </w:rPr>
              <w:t>0.24</w:t>
            </w:r>
          </w:p>
        </w:tc>
      </w:tr>
    </w:tbl>
    <w:p w:rsidR="00805C54" w:rsidRPr="00FC76AF" w:rsidRDefault="00805C54" w:rsidP="003735BC">
      <w:pPr>
        <w:pStyle w:val="Default"/>
        <w:jc w:val="both"/>
        <w:rPr>
          <w:rFonts w:asciiTheme="majorBidi" w:hAnsiTheme="majorBidi" w:cstheme="majorBidi"/>
          <w:color w:val="000000" w:themeColor="text1"/>
        </w:rPr>
      </w:pPr>
    </w:p>
    <w:p w:rsidR="00B47F01" w:rsidRPr="00FC76AF" w:rsidRDefault="005D7DA5" w:rsidP="00B47F01">
      <w:p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FC76AF">
        <w:rPr>
          <w:rFonts w:asciiTheme="majorBidi" w:hAnsiTheme="majorBidi" w:cstheme="majorBidi"/>
          <w:color w:val="000000" w:themeColor="text1"/>
          <w:sz w:val="24"/>
          <w:szCs w:val="24"/>
        </w:rPr>
        <w:t xml:space="preserve">Analysis  of  </w:t>
      </w:r>
      <w:r w:rsidR="005222C1" w:rsidRPr="00FC76AF">
        <w:rPr>
          <w:rFonts w:asciiTheme="majorBidi" w:hAnsiTheme="majorBidi" w:cstheme="majorBidi"/>
          <w:color w:val="000000" w:themeColor="text1"/>
          <w:sz w:val="24"/>
          <w:szCs w:val="24"/>
        </w:rPr>
        <w:t>Surface Topography</w:t>
      </w:r>
      <w:r w:rsidRPr="00FC76AF">
        <w:rPr>
          <w:rFonts w:asciiTheme="majorBidi" w:hAnsiTheme="majorBidi" w:cstheme="majorBidi"/>
          <w:color w:val="000000" w:themeColor="text1"/>
          <w:sz w:val="24"/>
          <w:szCs w:val="24"/>
        </w:rPr>
        <w:t xml:space="preserve"> and </w:t>
      </w:r>
      <w:r w:rsidR="00B47F01" w:rsidRPr="00FC76AF">
        <w:rPr>
          <w:rFonts w:asciiTheme="majorBidi" w:hAnsiTheme="majorBidi" w:cstheme="majorBidi"/>
          <w:color w:val="000000" w:themeColor="text1"/>
          <w:sz w:val="24"/>
          <w:szCs w:val="24"/>
        </w:rPr>
        <w:t xml:space="preserve">Microstructure </w:t>
      </w:r>
    </w:p>
    <w:p w:rsidR="008D7DD8" w:rsidRPr="00FC76AF" w:rsidRDefault="008D7DD8" w:rsidP="00D274CE">
      <w:p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 xml:space="preserve">The scanning electron microscope (SEM) is </w:t>
      </w:r>
      <w:r w:rsidR="00487DBD" w:rsidRPr="00FC76AF">
        <w:rPr>
          <w:rFonts w:asciiTheme="majorBidi" w:eastAsia="Times New Roman" w:hAnsiTheme="majorBidi" w:cstheme="majorBidi"/>
          <w:color w:val="000000" w:themeColor="text1"/>
          <w:sz w:val="24"/>
          <w:szCs w:val="24"/>
        </w:rPr>
        <w:t>a good</w:t>
      </w:r>
      <w:r w:rsidRPr="00FC76AF">
        <w:rPr>
          <w:rFonts w:asciiTheme="majorBidi" w:eastAsia="Times New Roman" w:hAnsiTheme="majorBidi" w:cstheme="majorBidi"/>
          <w:color w:val="000000" w:themeColor="text1"/>
          <w:sz w:val="24"/>
          <w:szCs w:val="24"/>
        </w:rPr>
        <w:t xml:space="preserve"> tool</w:t>
      </w:r>
      <w:r w:rsidR="007E1F5A" w:rsidRPr="00FC76AF">
        <w:rPr>
          <w:rFonts w:asciiTheme="majorBidi" w:eastAsia="Times New Roman" w:hAnsiTheme="majorBidi" w:cstheme="majorBidi"/>
          <w:color w:val="000000" w:themeColor="text1"/>
          <w:sz w:val="24"/>
          <w:szCs w:val="24"/>
        </w:rPr>
        <w:t xml:space="preserve"> to investigate the </w:t>
      </w:r>
      <w:r w:rsidRPr="00FC76AF">
        <w:rPr>
          <w:rFonts w:asciiTheme="majorBidi" w:eastAsia="Times New Roman" w:hAnsiTheme="majorBidi" w:cstheme="majorBidi"/>
          <w:color w:val="000000" w:themeColor="text1"/>
          <w:sz w:val="24"/>
          <w:szCs w:val="24"/>
        </w:rPr>
        <w:t xml:space="preserve"> </w:t>
      </w:r>
      <w:r w:rsidR="005826F1" w:rsidRPr="00FC76AF">
        <w:rPr>
          <w:rFonts w:asciiTheme="majorBidi" w:eastAsia="Times New Roman" w:hAnsiTheme="majorBidi" w:cstheme="majorBidi"/>
          <w:color w:val="000000" w:themeColor="text1"/>
          <w:sz w:val="24"/>
          <w:szCs w:val="24"/>
        </w:rPr>
        <w:t>surface topography</w:t>
      </w:r>
      <w:r w:rsidR="007E1F5A" w:rsidRPr="00FC76AF">
        <w:rPr>
          <w:rFonts w:asciiTheme="majorBidi" w:eastAsia="Times New Roman" w:hAnsiTheme="majorBidi" w:cstheme="majorBidi"/>
          <w:color w:val="000000" w:themeColor="text1"/>
          <w:sz w:val="24"/>
          <w:szCs w:val="24"/>
        </w:rPr>
        <w:t xml:space="preserve"> and </w:t>
      </w:r>
      <w:r w:rsidR="005D7DA5" w:rsidRPr="00FC76AF">
        <w:rPr>
          <w:rFonts w:asciiTheme="majorBidi" w:eastAsia="Times New Roman" w:hAnsiTheme="majorBidi" w:cstheme="majorBidi"/>
          <w:color w:val="000000" w:themeColor="text1"/>
          <w:sz w:val="24"/>
          <w:szCs w:val="24"/>
        </w:rPr>
        <w:t>m</w:t>
      </w:r>
      <w:r w:rsidR="00772E75" w:rsidRPr="00FC76AF">
        <w:rPr>
          <w:rFonts w:asciiTheme="majorBidi" w:eastAsia="Times New Roman" w:hAnsiTheme="majorBidi" w:cstheme="majorBidi"/>
          <w:color w:val="000000" w:themeColor="text1"/>
          <w:sz w:val="24"/>
          <w:szCs w:val="24"/>
        </w:rPr>
        <w:t xml:space="preserve">icrostructure </w:t>
      </w:r>
      <w:r w:rsidR="007E1F5A" w:rsidRPr="00FC76AF">
        <w:rPr>
          <w:rFonts w:asciiTheme="majorBidi" w:eastAsia="Times New Roman" w:hAnsiTheme="majorBidi" w:cstheme="majorBidi"/>
          <w:color w:val="000000" w:themeColor="text1"/>
          <w:sz w:val="24"/>
          <w:szCs w:val="24"/>
        </w:rPr>
        <w:t>of cementitious materials</w:t>
      </w:r>
      <w:r w:rsidR="000A42F8" w:rsidRPr="00FC76AF">
        <w:rPr>
          <w:rFonts w:asciiTheme="majorBidi" w:eastAsia="Times New Roman" w:hAnsiTheme="majorBidi" w:cstheme="majorBidi"/>
          <w:color w:val="000000" w:themeColor="text1"/>
          <w:sz w:val="24"/>
          <w:szCs w:val="24"/>
        </w:rPr>
        <w:t>.</w:t>
      </w:r>
      <w:r w:rsidR="007B65B7" w:rsidRPr="00FC76AF">
        <w:rPr>
          <w:rFonts w:asciiTheme="majorBidi" w:eastAsia="Times New Roman" w:hAnsiTheme="majorBidi" w:cstheme="majorBidi"/>
          <w:color w:val="000000" w:themeColor="text1"/>
          <w:sz w:val="24"/>
          <w:szCs w:val="24"/>
        </w:rPr>
        <w:t xml:space="preserve"> </w:t>
      </w:r>
      <w:r w:rsidR="000A42F8" w:rsidRPr="00FC76AF">
        <w:rPr>
          <w:rFonts w:asciiTheme="majorBidi" w:eastAsia="Times New Roman" w:hAnsiTheme="majorBidi" w:cstheme="majorBidi"/>
          <w:color w:val="000000" w:themeColor="text1"/>
          <w:sz w:val="24"/>
          <w:szCs w:val="24"/>
        </w:rPr>
        <w:t>Due</w:t>
      </w:r>
      <w:r w:rsidRPr="00FC76AF">
        <w:rPr>
          <w:rFonts w:asciiTheme="majorBidi" w:eastAsia="Times New Roman" w:hAnsiTheme="majorBidi" w:cstheme="majorBidi"/>
          <w:color w:val="000000" w:themeColor="text1"/>
          <w:sz w:val="24"/>
          <w:szCs w:val="24"/>
        </w:rPr>
        <w:t xml:space="preserve"> its high resolution and </w:t>
      </w:r>
      <w:r w:rsidR="000A42F8" w:rsidRPr="00FC76AF">
        <w:rPr>
          <w:rFonts w:asciiTheme="majorBidi" w:eastAsia="Times New Roman" w:hAnsiTheme="majorBidi" w:cstheme="majorBidi"/>
          <w:color w:val="000000" w:themeColor="text1"/>
          <w:sz w:val="24"/>
          <w:szCs w:val="24"/>
        </w:rPr>
        <w:t xml:space="preserve">powerful </w:t>
      </w:r>
      <w:r w:rsidRPr="00FC76AF">
        <w:rPr>
          <w:rFonts w:asciiTheme="majorBidi" w:eastAsia="Times New Roman" w:hAnsiTheme="majorBidi" w:cstheme="majorBidi"/>
          <w:color w:val="000000" w:themeColor="text1"/>
          <w:sz w:val="24"/>
          <w:szCs w:val="24"/>
        </w:rPr>
        <w:t xml:space="preserve"> depth of focus, it </w:t>
      </w:r>
      <w:r w:rsidR="00E10D08" w:rsidRPr="00FC76AF">
        <w:rPr>
          <w:rFonts w:asciiTheme="majorBidi" w:eastAsia="Times New Roman" w:hAnsiTheme="majorBidi" w:cstheme="majorBidi"/>
          <w:color w:val="000000" w:themeColor="text1"/>
          <w:sz w:val="24"/>
          <w:szCs w:val="24"/>
        </w:rPr>
        <w:t>analyzes surface roughness and topography of cement pastes</w:t>
      </w:r>
      <w:r w:rsidRPr="00FC76AF">
        <w:rPr>
          <w:rFonts w:asciiTheme="majorBidi" w:eastAsia="Times New Roman" w:hAnsiTheme="majorBidi" w:cstheme="majorBidi"/>
          <w:color w:val="000000" w:themeColor="text1"/>
          <w:sz w:val="24"/>
          <w:szCs w:val="24"/>
        </w:rPr>
        <w:t xml:space="preserve"> hydration products like calcium silicate hydrate (C-S-H) and calcium hydroxide (CH)</w:t>
      </w:r>
      <w:r w:rsidR="00D274CE" w:rsidRPr="00FC76AF">
        <w:rPr>
          <w:rFonts w:asciiTheme="majorBidi" w:eastAsia="Times New Roman" w:hAnsiTheme="majorBidi" w:cstheme="majorBidi"/>
          <w:color w:val="000000" w:themeColor="text1"/>
          <w:sz w:val="24"/>
          <w:szCs w:val="24"/>
        </w:rPr>
        <w:t xml:space="preserve"> and microscopic pores in hardened cement pastes.</w:t>
      </w:r>
    </w:p>
    <w:p w:rsidR="00FC1818" w:rsidRPr="00FC76AF" w:rsidRDefault="00EE6321" w:rsidP="00393828">
      <w:p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 xml:space="preserve">Figure 4 shows the macroscopic surface topography of hardened cement paste samples at 28 days of hydration, spotlighting the progressive increase in porosity with increasing CTAC concentrations (0% to 2%). </w:t>
      </w:r>
      <w:r w:rsidR="00E525AB" w:rsidRPr="00FC76AF">
        <w:rPr>
          <w:rFonts w:asciiTheme="majorBidi" w:eastAsia="Times New Roman" w:hAnsiTheme="majorBidi" w:cstheme="majorBidi"/>
          <w:color w:val="000000" w:themeColor="text1"/>
          <w:sz w:val="24"/>
          <w:szCs w:val="24"/>
        </w:rPr>
        <w:t xml:space="preserve">It is noticeable that </w:t>
      </w:r>
      <w:r w:rsidR="008D7DD8" w:rsidRPr="00FC76AF">
        <w:rPr>
          <w:rFonts w:asciiTheme="majorBidi" w:eastAsia="Times New Roman" w:hAnsiTheme="majorBidi" w:cstheme="majorBidi"/>
          <w:color w:val="000000" w:themeColor="text1"/>
          <w:sz w:val="24"/>
          <w:szCs w:val="24"/>
        </w:rPr>
        <w:t xml:space="preserve">control sample (0% CTAC) </w:t>
      </w:r>
      <w:r w:rsidR="00AB5D0C" w:rsidRPr="00FC76AF">
        <w:rPr>
          <w:rFonts w:asciiTheme="majorBidi" w:eastAsia="Times New Roman" w:hAnsiTheme="majorBidi" w:cstheme="majorBidi"/>
          <w:color w:val="000000" w:themeColor="text1"/>
          <w:sz w:val="24"/>
          <w:szCs w:val="24"/>
        </w:rPr>
        <w:t>reveal</w:t>
      </w:r>
      <w:r w:rsidR="008D7DD8" w:rsidRPr="00FC76AF">
        <w:rPr>
          <w:rFonts w:asciiTheme="majorBidi" w:eastAsia="Times New Roman" w:hAnsiTheme="majorBidi" w:cstheme="majorBidi"/>
          <w:color w:val="000000" w:themeColor="text1"/>
          <w:sz w:val="24"/>
          <w:szCs w:val="24"/>
        </w:rPr>
        <w:t xml:space="preserve">ed a dense, non-porous structure, </w:t>
      </w:r>
      <w:r w:rsidR="00E95A2E" w:rsidRPr="00FC76AF">
        <w:rPr>
          <w:rFonts w:asciiTheme="majorBidi" w:eastAsia="Times New Roman" w:hAnsiTheme="majorBidi" w:cstheme="majorBidi"/>
          <w:color w:val="000000" w:themeColor="text1"/>
          <w:sz w:val="24"/>
          <w:szCs w:val="24"/>
        </w:rPr>
        <w:t>interconnected with</w:t>
      </w:r>
      <w:r w:rsidR="008D7DD8" w:rsidRPr="00FC76AF">
        <w:rPr>
          <w:rFonts w:asciiTheme="majorBidi" w:eastAsia="Times New Roman" w:hAnsiTheme="majorBidi" w:cstheme="majorBidi"/>
          <w:color w:val="000000" w:themeColor="text1"/>
          <w:sz w:val="24"/>
          <w:szCs w:val="24"/>
        </w:rPr>
        <w:t xml:space="preserve"> its high bulk density (2.0 g·cm⁻³) and compressive strength (72.7 N·mm⁻²). </w:t>
      </w:r>
      <w:r w:rsidR="00FC1818" w:rsidRPr="00FC76AF">
        <w:rPr>
          <w:rFonts w:asciiTheme="majorBidi" w:eastAsia="Times New Roman" w:hAnsiTheme="majorBidi" w:cstheme="majorBidi"/>
          <w:color w:val="000000" w:themeColor="text1"/>
          <w:sz w:val="24"/>
          <w:szCs w:val="24"/>
        </w:rPr>
        <w:t xml:space="preserve">In contrast, the 2% CTAC specimen shown the highest air content (49.45%) </w:t>
      </w:r>
      <w:r w:rsidR="00BA7308" w:rsidRPr="00FC76AF">
        <w:rPr>
          <w:rFonts w:asciiTheme="majorBidi" w:eastAsia="Times New Roman" w:hAnsiTheme="majorBidi" w:cstheme="majorBidi"/>
          <w:color w:val="000000" w:themeColor="text1"/>
          <w:sz w:val="24"/>
          <w:szCs w:val="24"/>
        </w:rPr>
        <w:t>beside the</w:t>
      </w:r>
      <w:r w:rsidR="00FC1818" w:rsidRPr="00FC76AF">
        <w:rPr>
          <w:rFonts w:asciiTheme="majorBidi" w:eastAsia="Times New Roman" w:hAnsiTheme="majorBidi" w:cstheme="majorBidi"/>
          <w:color w:val="000000" w:themeColor="text1"/>
          <w:sz w:val="24"/>
          <w:szCs w:val="24"/>
        </w:rPr>
        <w:t xml:space="preserve"> lowest density (1.01 g/cm³), </w:t>
      </w:r>
      <w:r w:rsidR="00033EA4" w:rsidRPr="00FC76AF">
        <w:rPr>
          <w:rFonts w:asciiTheme="majorBidi" w:eastAsia="Times New Roman" w:hAnsiTheme="majorBidi" w:cstheme="majorBidi"/>
          <w:color w:val="000000" w:themeColor="text1"/>
          <w:sz w:val="24"/>
          <w:szCs w:val="24"/>
        </w:rPr>
        <w:t>in addition to</w:t>
      </w:r>
      <w:r w:rsidR="00FC1818" w:rsidRPr="00FC76AF">
        <w:rPr>
          <w:rFonts w:asciiTheme="majorBidi" w:eastAsia="Times New Roman" w:hAnsiTheme="majorBidi" w:cstheme="majorBidi"/>
          <w:color w:val="000000" w:themeColor="text1"/>
          <w:sz w:val="24"/>
          <w:szCs w:val="24"/>
        </w:rPr>
        <w:t xml:space="preserve"> a uniform distribution of small air voids, resulting in a significantly lower thermal conductivity (0.24 </w:t>
      </w:r>
      <w:r w:rsidR="00921D48" w:rsidRPr="00FC76AF">
        <w:rPr>
          <w:rFonts w:asciiTheme="majorBidi" w:eastAsia="Times New Roman" w:hAnsiTheme="majorBidi" w:cstheme="majorBidi"/>
          <w:color w:val="000000" w:themeColor="text1"/>
          <w:sz w:val="24"/>
          <w:szCs w:val="24"/>
        </w:rPr>
        <w:t>W•m</w:t>
      </w:r>
      <w:r w:rsidR="00921D48" w:rsidRPr="00FC76AF">
        <w:rPr>
          <w:rFonts w:asciiTheme="majorBidi" w:eastAsia="Times New Roman" w:hAnsiTheme="majorBidi" w:cstheme="majorBidi"/>
          <w:color w:val="000000" w:themeColor="text1"/>
          <w:sz w:val="24"/>
          <w:szCs w:val="24"/>
          <w:vertAlign w:val="superscript"/>
        </w:rPr>
        <w:t>−1</w:t>
      </w:r>
      <w:r w:rsidR="00921D48" w:rsidRPr="00FC76AF">
        <w:rPr>
          <w:rFonts w:asciiTheme="majorBidi" w:eastAsia="Times New Roman" w:hAnsiTheme="majorBidi" w:cstheme="majorBidi"/>
          <w:color w:val="000000" w:themeColor="text1"/>
          <w:sz w:val="24"/>
          <w:szCs w:val="24"/>
        </w:rPr>
        <w:t>•K</w:t>
      </w:r>
      <w:r w:rsidR="00921D48" w:rsidRPr="00FC76AF">
        <w:rPr>
          <w:rFonts w:asciiTheme="majorBidi" w:eastAsia="Times New Roman" w:hAnsiTheme="majorBidi" w:cstheme="majorBidi"/>
          <w:color w:val="000000" w:themeColor="text1"/>
          <w:sz w:val="24"/>
          <w:szCs w:val="24"/>
          <w:vertAlign w:val="superscript"/>
        </w:rPr>
        <w:t>−1</w:t>
      </w:r>
      <w:r w:rsidR="00FC1818" w:rsidRPr="00FC76AF">
        <w:rPr>
          <w:rFonts w:asciiTheme="majorBidi" w:eastAsia="Times New Roman" w:hAnsiTheme="majorBidi" w:cstheme="majorBidi"/>
          <w:color w:val="000000" w:themeColor="text1"/>
          <w:sz w:val="24"/>
          <w:szCs w:val="24"/>
        </w:rPr>
        <w:t xml:space="preserve">). </w:t>
      </w:r>
      <w:r w:rsidR="00393828" w:rsidRPr="00FC76AF">
        <w:rPr>
          <w:rFonts w:asciiTheme="majorBidi" w:eastAsia="Times New Roman" w:hAnsiTheme="majorBidi" w:cstheme="majorBidi"/>
          <w:color w:val="000000" w:themeColor="text1"/>
          <w:sz w:val="24"/>
          <w:szCs w:val="24"/>
        </w:rPr>
        <w:t xml:space="preserve">According to </w:t>
      </w:r>
      <w:r w:rsidR="00FC1818" w:rsidRPr="00FC76AF">
        <w:rPr>
          <w:rFonts w:asciiTheme="majorBidi" w:eastAsia="Times New Roman" w:hAnsiTheme="majorBidi" w:cstheme="majorBidi"/>
          <w:color w:val="000000" w:themeColor="text1"/>
          <w:sz w:val="24"/>
          <w:szCs w:val="24"/>
        </w:rPr>
        <w:t>these results, the 2% CTAC concentration—which exhibited the most prominent structural and thermal changes—was selected for a closer microstructural examination using a scanning electron microscope (SEM), shown in Figure 5.</w:t>
      </w:r>
    </w:p>
    <w:p w:rsidR="0085756E" w:rsidRPr="00FC76AF" w:rsidRDefault="0085756E" w:rsidP="00FC1818">
      <w:p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color w:val="000000" w:themeColor="text1"/>
          <w:sz w:val="24"/>
          <w:szCs w:val="24"/>
        </w:rPr>
        <w:t xml:space="preserve">  Figure 5 investigate the hydration products and pore structure of the 2% CTAC formulation at 7 and 28 days. At 7 days (Figure 5b), the CTAC-modified cement paste showed a hexagonal CH plates and fibrous C-S-H gels embedded with spherical air voids (average size: 82.3 µm), a characteristic result of surfactant-induced stabilization. At 28 days (Figure 5d), The matrix shown a dense C-S-H network with retention of porosity, consistent with progressive increase in strength (14.99 N•mm⁻²). While the 2% CTAC dose enhanced thermal efficiency, the trade-off between mechanical strength and porosity highlights the importance of balancing surfactant concentration for structural viability in energy-efficient applications. The uniform air void system (82.3 µm) found in modified CTAC pastes contributes to consistent bubble distribution, which enhances insulation but requires careful design to mitigate strength losses.</w:t>
      </w:r>
    </w:p>
    <w:p w:rsidR="00B40B49" w:rsidRPr="00FC76AF" w:rsidRDefault="00EA2874" w:rsidP="0085756E">
      <w:pPr>
        <w:bidi w:val="0"/>
        <w:spacing w:before="100" w:beforeAutospacing="1" w:after="100" w:afterAutospacing="1" w:line="240" w:lineRule="auto"/>
        <w:jc w:val="both"/>
        <w:rPr>
          <w:rFonts w:asciiTheme="majorBidi" w:hAnsiTheme="majorBidi" w:cstheme="majorBidi"/>
          <w:color w:val="000000" w:themeColor="text1"/>
        </w:rPr>
      </w:pPr>
      <w:r w:rsidRPr="00FC76AF">
        <w:rPr>
          <w:rFonts w:asciiTheme="majorBidi" w:hAnsiTheme="majorBidi" w:cstheme="majorBidi"/>
          <w:noProof/>
          <w:color w:val="000000" w:themeColor="text1"/>
        </w:rPr>
        <w:lastRenderedPageBreak/>
        <w:drawing>
          <wp:inline distT="0" distB="0" distL="0" distR="0" wp14:anchorId="21FDEFDB" wp14:editId="25E76AD8">
            <wp:extent cx="4374221" cy="2784840"/>
            <wp:effectExtent l="0" t="0" r="762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4485" cy="2785008"/>
                    </a:xfrm>
                    <a:prstGeom prst="rect">
                      <a:avLst/>
                    </a:prstGeom>
                    <a:noFill/>
                    <a:ln>
                      <a:noFill/>
                    </a:ln>
                  </pic:spPr>
                </pic:pic>
              </a:graphicData>
            </a:graphic>
          </wp:inline>
        </w:drawing>
      </w:r>
    </w:p>
    <w:p w:rsidR="00B8377D" w:rsidRPr="00FC76AF" w:rsidRDefault="00B8377D" w:rsidP="00267C0D">
      <w:pPr>
        <w:bidi w:val="0"/>
        <w:spacing w:before="100" w:beforeAutospacing="1" w:after="100" w:afterAutospacing="1" w:line="240" w:lineRule="auto"/>
        <w:rPr>
          <w:rFonts w:asciiTheme="majorBidi" w:hAnsiTheme="majorBidi" w:cstheme="majorBidi"/>
          <w:color w:val="000000" w:themeColor="text1"/>
          <w:sz w:val="24"/>
          <w:szCs w:val="24"/>
        </w:rPr>
      </w:pPr>
      <w:r w:rsidRPr="00FC76AF">
        <w:rPr>
          <w:rFonts w:asciiTheme="majorBidi" w:hAnsiTheme="majorBidi" w:cstheme="majorBidi"/>
          <w:color w:val="000000" w:themeColor="text1"/>
          <w:sz w:val="24"/>
          <w:szCs w:val="24"/>
        </w:rPr>
        <w:t xml:space="preserve">Figure 4. Macroscopic surface </w:t>
      </w:r>
      <w:r w:rsidR="00B47F01" w:rsidRPr="00FC76AF">
        <w:rPr>
          <w:rFonts w:asciiTheme="majorBidi" w:hAnsiTheme="majorBidi" w:cstheme="majorBidi"/>
          <w:color w:val="000000" w:themeColor="text1"/>
          <w:sz w:val="24"/>
          <w:szCs w:val="24"/>
        </w:rPr>
        <w:t>topography</w:t>
      </w:r>
      <w:r w:rsidRPr="00FC76AF">
        <w:rPr>
          <w:rFonts w:asciiTheme="majorBidi" w:hAnsiTheme="majorBidi" w:cstheme="majorBidi"/>
          <w:color w:val="000000" w:themeColor="text1"/>
          <w:sz w:val="24"/>
          <w:szCs w:val="24"/>
        </w:rPr>
        <w:t xml:space="preserve"> of hardened cement paste </w:t>
      </w:r>
      <w:r w:rsidR="00186500" w:rsidRPr="00FC76AF">
        <w:rPr>
          <w:rFonts w:asciiTheme="majorBidi" w:hAnsiTheme="majorBidi" w:cstheme="majorBidi"/>
          <w:color w:val="000000" w:themeColor="text1"/>
          <w:sz w:val="24"/>
          <w:szCs w:val="24"/>
        </w:rPr>
        <w:t>sample</w:t>
      </w:r>
      <w:r w:rsidRPr="00FC76AF">
        <w:rPr>
          <w:rFonts w:asciiTheme="majorBidi" w:hAnsiTheme="majorBidi" w:cstheme="majorBidi"/>
          <w:color w:val="000000" w:themeColor="text1"/>
          <w:sz w:val="24"/>
          <w:szCs w:val="24"/>
        </w:rPr>
        <w:t>s at 28 days of hydration (</w:t>
      </w:r>
      <w:r w:rsidR="00267C0D" w:rsidRPr="00FC76AF">
        <w:rPr>
          <w:rFonts w:asciiTheme="majorBidi" w:hAnsiTheme="majorBidi" w:cstheme="majorBidi"/>
          <w:color w:val="000000" w:themeColor="text1"/>
          <w:sz w:val="24"/>
          <w:szCs w:val="24"/>
        </w:rPr>
        <w:t>5</w:t>
      </w:r>
      <w:r w:rsidRPr="00FC76AF">
        <w:rPr>
          <w:rFonts w:asciiTheme="majorBidi" w:hAnsiTheme="majorBidi" w:cstheme="majorBidi"/>
          <w:color w:val="000000" w:themeColor="text1"/>
          <w:sz w:val="24"/>
          <w:szCs w:val="24"/>
        </w:rPr>
        <w:t>× magnification):(a) Control sample (0% CTAC) with a dense, non-porous structure. (b) 0.1% CTAC: Initial formation of sparse air voids. (c) 0.5% CTAC: Moderate porosity with distributed air pockets.(d) 1% CTAC: Increased uniformity and density of air voids. (e) 2% CTAC: Highly porous matrix dominated by uniform, spherical air voids.</w:t>
      </w:r>
    </w:p>
    <w:p w:rsidR="00BB67CC" w:rsidRPr="00FC76AF" w:rsidRDefault="00B2183F" w:rsidP="00BB67CC">
      <w:pPr>
        <w:bidi w:val="0"/>
        <w:spacing w:before="100" w:beforeAutospacing="1" w:after="100" w:afterAutospacing="1" w:line="240" w:lineRule="auto"/>
        <w:rPr>
          <w:rFonts w:asciiTheme="majorBidi" w:eastAsia="Times New Roman" w:hAnsiTheme="majorBidi" w:cstheme="majorBidi"/>
          <w:color w:val="000000" w:themeColor="text1"/>
          <w:sz w:val="24"/>
          <w:szCs w:val="24"/>
        </w:rPr>
      </w:pPr>
      <w:r w:rsidRPr="00FC76AF">
        <w:rPr>
          <w:rFonts w:asciiTheme="majorBidi" w:eastAsia="Times New Roman" w:hAnsiTheme="majorBidi" w:cstheme="majorBidi"/>
          <w:noProof/>
          <w:color w:val="000000" w:themeColor="text1"/>
          <w:sz w:val="24"/>
          <w:szCs w:val="24"/>
        </w:rPr>
        <w:drawing>
          <wp:inline distT="0" distB="0" distL="0" distR="0" wp14:anchorId="4FD206C0" wp14:editId="4759C1C0">
            <wp:extent cx="4111143" cy="3290003"/>
            <wp:effectExtent l="0" t="0" r="3810" b="5715"/>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4400" cy="3292609"/>
                    </a:xfrm>
                    <a:prstGeom prst="rect">
                      <a:avLst/>
                    </a:prstGeom>
                    <a:noFill/>
                    <a:ln>
                      <a:noFill/>
                    </a:ln>
                  </pic:spPr>
                </pic:pic>
              </a:graphicData>
            </a:graphic>
          </wp:inline>
        </w:drawing>
      </w:r>
    </w:p>
    <w:p w:rsidR="00EA0008" w:rsidRPr="00FC76AF" w:rsidRDefault="00EA0008" w:rsidP="00EA0008">
      <w:pPr>
        <w:pStyle w:val="Default"/>
        <w:jc w:val="both"/>
        <w:rPr>
          <w:rFonts w:asciiTheme="majorBidi" w:hAnsiTheme="majorBidi" w:cstheme="majorBidi"/>
          <w:color w:val="000000" w:themeColor="text1"/>
        </w:rPr>
      </w:pPr>
      <w:r w:rsidRPr="00FC76AF">
        <w:rPr>
          <w:rFonts w:asciiTheme="majorBidi" w:hAnsiTheme="majorBidi" w:cstheme="majorBidi"/>
          <w:b/>
          <w:bCs/>
          <w:color w:val="000000" w:themeColor="text1"/>
        </w:rPr>
        <w:t>Figure 5.</w:t>
      </w:r>
      <w:r w:rsidRPr="00FC76AF">
        <w:rPr>
          <w:rFonts w:asciiTheme="majorBidi" w:hAnsiTheme="majorBidi" w:cstheme="majorBidi"/>
          <w:color w:val="000000" w:themeColor="text1"/>
        </w:rPr>
        <w:t> Scanning electron microscopy (SEM) images of hardened cement pastes at </w:t>
      </w:r>
      <w:r w:rsidRPr="00FC76AF">
        <w:rPr>
          <w:rFonts w:asciiTheme="majorBidi" w:hAnsiTheme="majorBidi" w:cstheme="majorBidi"/>
          <w:b/>
          <w:bCs/>
          <w:color w:val="000000" w:themeColor="text1"/>
        </w:rPr>
        <w:t>5000× magnification</w:t>
      </w:r>
      <w:r w:rsidRPr="00FC76AF">
        <w:rPr>
          <w:rFonts w:asciiTheme="majorBidi" w:hAnsiTheme="majorBidi" w:cstheme="majorBidi"/>
          <w:color w:val="000000" w:themeColor="text1"/>
        </w:rPr>
        <w:t>:</w:t>
      </w:r>
    </w:p>
    <w:p w:rsidR="00EA0008" w:rsidRPr="00FC76AF" w:rsidRDefault="00EA0008" w:rsidP="00EA0008">
      <w:pPr>
        <w:pStyle w:val="Default"/>
        <w:jc w:val="both"/>
        <w:rPr>
          <w:rFonts w:asciiTheme="majorBidi" w:hAnsiTheme="majorBidi" w:cstheme="majorBidi"/>
          <w:color w:val="000000" w:themeColor="text1"/>
        </w:rPr>
      </w:pPr>
      <w:r w:rsidRPr="00FC76AF">
        <w:rPr>
          <w:rFonts w:asciiTheme="majorBidi" w:hAnsiTheme="majorBidi" w:cstheme="majorBidi"/>
          <w:b/>
          <w:bCs/>
          <w:color w:val="000000" w:themeColor="text1"/>
        </w:rPr>
        <w:t>(a)</w:t>
      </w:r>
      <w:r w:rsidRPr="00FC76AF">
        <w:rPr>
          <w:rFonts w:asciiTheme="majorBidi" w:hAnsiTheme="majorBidi" w:cstheme="majorBidi"/>
          <w:color w:val="000000" w:themeColor="text1"/>
        </w:rPr>
        <w:t> Control sample (0% CTAC) and </w:t>
      </w:r>
      <w:r w:rsidRPr="00FC76AF">
        <w:rPr>
          <w:rFonts w:asciiTheme="majorBidi" w:hAnsiTheme="majorBidi" w:cstheme="majorBidi"/>
          <w:b/>
          <w:bCs/>
          <w:color w:val="000000" w:themeColor="text1"/>
        </w:rPr>
        <w:t>(b)</w:t>
      </w:r>
      <w:r w:rsidRPr="00FC76AF">
        <w:rPr>
          <w:rFonts w:asciiTheme="majorBidi" w:hAnsiTheme="majorBidi" w:cstheme="majorBidi"/>
          <w:color w:val="000000" w:themeColor="text1"/>
        </w:rPr>
        <w:t> 2% CTAC after </w:t>
      </w:r>
      <w:r w:rsidRPr="00FC76AF">
        <w:rPr>
          <w:rFonts w:asciiTheme="majorBidi" w:hAnsiTheme="majorBidi" w:cstheme="majorBidi"/>
          <w:b/>
          <w:bCs/>
          <w:color w:val="000000" w:themeColor="text1"/>
        </w:rPr>
        <w:t>7 days</w:t>
      </w:r>
      <w:r w:rsidRPr="00FC76AF">
        <w:rPr>
          <w:rFonts w:asciiTheme="majorBidi" w:hAnsiTheme="majorBidi" w:cstheme="majorBidi"/>
          <w:color w:val="000000" w:themeColor="text1"/>
        </w:rPr>
        <w:t> of hydration.</w:t>
      </w:r>
    </w:p>
    <w:p w:rsidR="00EA0008" w:rsidRPr="00FC76AF" w:rsidRDefault="00EA0008" w:rsidP="00EA0008">
      <w:pPr>
        <w:pStyle w:val="Default"/>
        <w:jc w:val="both"/>
        <w:rPr>
          <w:rFonts w:asciiTheme="majorBidi" w:hAnsiTheme="majorBidi" w:cstheme="majorBidi"/>
          <w:color w:val="000000" w:themeColor="text1"/>
        </w:rPr>
      </w:pPr>
      <w:r w:rsidRPr="00FC76AF">
        <w:rPr>
          <w:rFonts w:asciiTheme="majorBidi" w:hAnsiTheme="majorBidi" w:cstheme="majorBidi"/>
          <w:b/>
          <w:bCs/>
          <w:color w:val="000000" w:themeColor="text1"/>
        </w:rPr>
        <w:t>(c)</w:t>
      </w:r>
      <w:r w:rsidRPr="00FC76AF">
        <w:rPr>
          <w:rFonts w:asciiTheme="majorBidi" w:hAnsiTheme="majorBidi" w:cstheme="majorBidi"/>
          <w:color w:val="000000" w:themeColor="text1"/>
        </w:rPr>
        <w:t> Control sample (0% CTAC) and </w:t>
      </w:r>
      <w:r w:rsidRPr="00FC76AF">
        <w:rPr>
          <w:rFonts w:asciiTheme="majorBidi" w:hAnsiTheme="majorBidi" w:cstheme="majorBidi"/>
          <w:b/>
          <w:bCs/>
          <w:color w:val="000000" w:themeColor="text1"/>
        </w:rPr>
        <w:t>(d)</w:t>
      </w:r>
      <w:r w:rsidRPr="00FC76AF">
        <w:rPr>
          <w:rFonts w:asciiTheme="majorBidi" w:hAnsiTheme="majorBidi" w:cstheme="majorBidi"/>
          <w:color w:val="000000" w:themeColor="text1"/>
        </w:rPr>
        <w:t> 2% CTAC after </w:t>
      </w:r>
      <w:r w:rsidRPr="00FC76AF">
        <w:rPr>
          <w:rFonts w:asciiTheme="majorBidi" w:hAnsiTheme="majorBidi" w:cstheme="majorBidi"/>
          <w:b/>
          <w:bCs/>
          <w:color w:val="000000" w:themeColor="text1"/>
        </w:rPr>
        <w:t>28 days</w:t>
      </w:r>
      <w:r w:rsidRPr="00FC76AF">
        <w:rPr>
          <w:rFonts w:asciiTheme="majorBidi" w:hAnsiTheme="majorBidi" w:cstheme="majorBidi"/>
          <w:color w:val="000000" w:themeColor="text1"/>
        </w:rPr>
        <w:t> of hydration.</w:t>
      </w:r>
    </w:p>
    <w:p w:rsidR="005534F4" w:rsidRPr="00FC76AF" w:rsidRDefault="005534F4" w:rsidP="005534F4">
      <w:pPr>
        <w:pStyle w:val="Default"/>
        <w:jc w:val="both"/>
        <w:rPr>
          <w:rFonts w:asciiTheme="majorBidi" w:hAnsiTheme="majorBidi" w:cstheme="majorBidi"/>
          <w:color w:val="000000" w:themeColor="text1"/>
        </w:rPr>
      </w:pPr>
    </w:p>
    <w:p w:rsidR="003B5FB2" w:rsidRPr="00FC76AF" w:rsidRDefault="003B5FB2" w:rsidP="005534F4">
      <w:pPr>
        <w:pStyle w:val="Default"/>
        <w:jc w:val="both"/>
        <w:rPr>
          <w:rFonts w:asciiTheme="majorBidi" w:hAnsiTheme="majorBidi" w:cstheme="majorBidi"/>
          <w:color w:val="000000" w:themeColor="text1"/>
        </w:rPr>
      </w:pPr>
    </w:p>
    <w:p w:rsidR="006E2353" w:rsidRPr="00FC76AF" w:rsidRDefault="006E2353" w:rsidP="00C5353E">
      <w:pPr>
        <w:autoSpaceDE w:val="0"/>
        <w:autoSpaceDN w:val="0"/>
        <w:bidi w:val="0"/>
        <w:adjustRightInd w:val="0"/>
        <w:spacing w:after="0" w:line="240" w:lineRule="auto"/>
        <w:rPr>
          <w:rFonts w:asciiTheme="majorBidi" w:hAnsiTheme="majorBidi" w:cstheme="majorBidi"/>
          <w:color w:val="000000" w:themeColor="text1"/>
          <w:sz w:val="24"/>
          <w:szCs w:val="24"/>
        </w:rPr>
      </w:pPr>
      <w:r w:rsidRPr="00FC76AF">
        <w:rPr>
          <w:rFonts w:asciiTheme="majorBidi" w:hAnsiTheme="majorBidi" w:cstheme="majorBidi"/>
          <w:i/>
          <w:iCs/>
          <w:color w:val="000000" w:themeColor="text1"/>
          <w:sz w:val="24"/>
          <w:szCs w:val="24"/>
        </w:rPr>
        <w:lastRenderedPageBreak/>
        <w:t xml:space="preserve">Effect of </w:t>
      </w:r>
      <w:r w:rsidR="00C5353E" w:rsidRPr="00FC76AF">
        <w:rPr>
          <w:rFonts w:asciiTheme="majorBidi" w:hAnsiTheme="majorBidi" w:cstheme="majorBidi"/>
          <w:i/>
          <w:iCs/>
          <w:color w:val="000000" w:themeColor="text1"/>
          <w:sz w:val="24"/>
          <w:szCs w:val="24"/>
        </w:rPr>
        <w:t xml:space="preserve">CTAC </w:t>
      </w:r>
      <w:r w:rsidRPr="00FC76AF">
        <w:rPr>
          <w:rFonts w:asciiTheme="majorBidi" w:hAnsiTheme="majorBidi" w:cstheme="majorBidi"/>
          <w:i/>
          <w:iCs/>
          <w:color w:val="000000" w:themeColor="text1"/>
          <w:sz w:val="24"/>
          <w:szCs w:val="24"/>
        </w:rPr>
        <w:t xml:space="preserve">on the Compressive Strength of the Hardened </w:t>
      </w:r>
      <w:r w:rsidR="006C3621" w:rsidRPr="00FC76AF">
        <w:rPr>
          <w:rFonts w:asciiTheme="majorBidi" w:hAnsiTheme="majorBidi" w:cstheme="majorBidi"/>
          <w:i/>
          <w:iCs/>
          <w:color w:val="000000" w:themeColor="text1"/>
          <w:sz w:val="24"/>
          <w:szCs w:val="24"/>
        </w:rPr>
        <w:t>cement paste</w:t>
      </w:r>
      <w:r w:rsidRPr="00FC76AF">
        <w:rPr>
          <w:rFonts w:asciiTheme="majorBidi" w:hAnsiTheme="majorBidi" w:cstheme="majorBidi"/>
          <w:i/>
          <w:iCs/>
          <w:color w:val="000000" w:themeColor="text1"/>
          <w:sz w:val="24"/>
          <w:szCs w:val="24"/>
        </w:rPr>
        <w:t xml:space="preserve"> </w:t>
      </w:r>
    </w:p>
    <w:p w:rsidR="0067372B" w:rsidRPr="00FC76AF" w:rsidRDefault="0067372B" w:rsidP="00EB524F">
      <w:pPr>
        <w:pStyle w:val="Default"/>
        <w:jc w:val="both"/>
        <w:rPr>
          <w:rFonts w:asciiTheme="majorBidi" w:hAnsiTheme="majorBidi" w:cstheme="majorBidi"/>
          <w:color w:val="000000" w:themeColor="text1"/>
        </w:rPr>
      </w:pPr>
    </w:p>
    <w:p w:rsidR="0067372B" w:rsidRPr="00FC76AF" w:rsidRDefault="00D24EC2" w:rsidP="00D24EC2">
      <w:pPr>
        <w:pStyle w:val="Default"/>
        <w:jc w:val="both"/>
        <w:rPr>
          <w:rFonts w:asciiTheme="majorBidi" w:hAnsiTheme="majorBidi" w:cstheme="majorBidi"/>
          <w:color w:val="000000" w:themeColor="text1"/>
        </w:rPr>
      </w:pPr>
      <w:r w:rsidRPr="00FC76AF">
        <w:rPr>
          <w:rFonts w:asciiTheme="majorBidi" w:hAnsiTheme="majorBidi" w:cstheme="majorBidi"/>
          <w:color w:val="000000" w:themeColor="text1"/>
        </w:rPr>
        <w:t>Compressive Strength is considered as important a factor as density in evaluating the performance of cement pastes</w:t>
      </w:r>
      <w:r w:rsidR="0067372B" w:rsidRPr="00FC76AF">
        <w:rPr>
          <w:rFonts w:asciiTheme="majorBidi" w:hAnsiTheme="majorBidi" w:cstheme="majorBidi"/>
          <w:color w:val="000000" w:themeColor="text1"/>
        </w:rPr>
        <w:t>. Due to the time-dependent nature of cement hydration, compressive strength assessments should be performed at standardized hydration ages. In this study, the compressive strength of hardened cement paste specimens—both with and without CTAC—was measured at 3, 7, and 28 days of</w:t>
      </w:r>
      <w:r w:rsidR="00703DCA" w:rsidRPr="00FC76AF">
        <w:rPr>
          <w:rFonts w:asciiTheme="majorBidi" w:hAnsiTheme="majorBidi" w:cstheme="majorBidi"/>
          <w:color w:val="000000" w:themeColor="text1"/>
        </w:rPr>
        <w:t xml:space="preserve"> </w:t>
      </w:r>
      <w:r w:rsidR="0067372B" w:rsidRPr="00FC76AF">
        <w:rPr>
          <w:rFonts w:asciiTheme="majorBidi" w:hAnsiTheme="majorBidi" w:cstheme="majorBidi"/>
          <w:color w:val="000000" w:themeColor="text1"/>
        </w:rPr>
        <w:t xml:space="preserve"> </w:t>
      </w:r>
      <w:r w:rsidR="00703DCA" w:rsidRPr="00FC76AF">
        <w:rPr>
          <w:rFonts w:asciiTheme="majorBidi" w:hAnsiTheme="majorBidi" w:cstheme="majorBidi"/>
          <w:color w:val="000000" w:themeColor="text1"/>
        </w:rPr>
        <w:t xml:space="preserve">hydration </w:t>
      </w:r>
      <w:r w:rsidR="0067372B" w:rsidRPr="00FC76AF">
        <w:rPr>
          <w:rFonts w:asciiTheme="majorBidi" w:hAnsiTheme="majorBidi" w:cstheme="majorBidi"/>
          <w:color w:val="000000" w:themeColor="text1"/>
        </w:rPr>
        <w:t xml:space="preserve"> using </w:t>
      </w:r>
      <w:r w:rsidR="00703DCA" w:rsidRPr="00FC76AF">
        <w:rPr>
          <w:rFonts w:asciiTheme="majorBidi" w:hAnsiTheme="majorBidi" w:cstheme="majorBidi"/>
          <w:color w:val="000000" w:themeColor="text1"/>
        </w:rPr>
        <w:t>triplicate samples</w:t>
      </w:r>
      <w:r w:rsidR="0067372B" w:rsidRPr="00FC76AF">
        <w:rPr>
          <w:rFonts w:asciiTheme="majorBidi" w:hAnsiTheme="majorBidi" w:cstheme="majorBidi"/>
          <w:color w:val="000000" w:themeColor="text1"/>
        </w:rPr>
        <w:t xml:space="preserve"> for each mix (M0-M4). The average values, shown in Table 3 and represented in Figure 6, showed </w:t>
      </w:r>
      <w:r w:rsidR="00DF3F1B" w:rsidRPr="00FC76AF">
        <w:rPr>
          <w:rFonts w:asciiTheme="majorBidi" w:hAnsiTheme="majorBidi" w:cstheme="majorBidi"/>
          <w:color w:val="000000" w:themeColor="text1"/>
        </w:rPr>
        <w:t>a consistent increase</w:t>
      </w:r>
      <w:r w:rsidR="0067372B" w:rsidRPr="00FC76AF">
        <w:rPr>
          <w:rFonts w:asciiTheme="majorBidi" w:hAnsiTheme="majorBidi" w:cstheme="majorBidi"/>
          <w:color w:val="000000" w:themeColor="text1"/>
        </w:rPr>
        <w:t xml:space="preserve"> in compressive strength in all mixes with prolonged </w:t>
      </w:r>
      <w:r w:rsidR="003E3697" w:rsidRPr="00FC76AF">
        <w:rPr>
          <w:rFonts w:asciiTheme="majorBidi" w:hAnsiTheme="majorBidi" w:cstheme="majorBidi"/>
          <w:color w:val="000000" w:themeColor="text1"/>
        </w:rPr>
        <w:t>hydration</w:t>
      </w:r>
      <w:r w:rsidR="0067372B" w:rsidRPr="00FC76AF">
        <w:rPr>
          <w:rFonts w:asciiTheme="majorBidi" w:hAnsiTheme="majorBidi" w:cstheme="majorBidi"/>
          <w:color w:val="000000" w:themeColor="text1"/>
        </w:rPr>
        <w:t xml:space="preserve">, attributing this to </w:t>
      </w:r>
      <w:r w:rsidR="002C030A" w:rsidRPr="00FC76AF">
        <w:rPr>
          <w:rFonts w:asciiTheme="majorBidi" w:hAnsiTheme="majorBidi" w:cstheme="majorBidi"/>
          <w:color w:val="000000" w:themeColor="text1"/>
        </w:rPr>
        <w:t>progressive</w:t>
      </w:r>
      <w:r w:rsidR="0067372B" w:rsidRPr="00FC76AF">
        <w:rPr>
          <w:rFonts w:asciiTheme="majorBidi" w:hAnsiTheme="majorBidi" w:cstheme="majorBidi"/>
          <w:color w:val="000000" w:themeColor="text1"/>
        </w:rPr>
        <w:t xml:space="preserve"> cement hydration and C-S-H formation</w:t>
      </w:r>
      <w:r w:rsidR="00B66BDB" w:rsidRPr="00FC76AF">
        <w:rPr>
          <w:rFonts w:asciiTheme="majorBidi" w:hAnsiTheme="majorBidi" w:cstheme="majorBidi"/>
          <w:color w:val="000000" w:themeColor="text1"/>
        </w:rPr>
        <w:t>.</w:t>
      </w:r>
    </w:p>
    <w:p w:rsidR="00B66BDB" w:rsidRPr="00FC76AF" w:rsidRDefault="00B66BDB" w:rsidP="00D24EC2">
      <w:pPr>
        <w:pStyle w:val="Default"/>
        <w:jc w:val="both"/>
        <w:rPr>
          <w:rFonts w:asciiTheme="majorBidi" w:hAnsiTheme="majorBidi" w:cstheme="majorBidi"/>
          <w:color w:val="000000" w:themeColor="text1"/>
        </w:rPr>
      </w:pPr>
    </w:p>
    <w:p w:rsidR="005534F4" w:rsidRPr="00FC76AF" w:rsidRDefault="00496318" w:rsidP="000F6B38">
      <w:pPr>
        <w:pStyle w:val="Default"/>
        <w:jc w:val="both"/>
        <w:rPr>
          <w:rFonts w:asciiTheme="majorBidi" w:hAnsiTheme="majorBidi" w:cstheme="majorBidi"/>
          <w:color w:val="000000" w:themeColor="text1"/>
        </w:rPr>
      </w:pPr>
      <w:r w:rsidRPr="00FC76AF">
        <w:rPr>
          <w:rFonts w:asciiTheme="majorBidi" w:hAnsiTheme="majorBidi" w:cstheme="majorBidi"/>
          <w:color w:val="000000" w:themeColor="text1"/>
          <w:lang w:bidi="ar"/>
        </w:rPr>
        <w:t>Due to the time-dependent nature of cement hydration, compressive strength was evaluated at different hydration ages. In this study, the compressive strength of hardened cement paste samples with and without CTAC was measured at 3, 7, and 28 days of hydration. Table 3 and Figure 6 show the average values ​​for three samples of each mixture (M0-M4). The values ​​showed a steady increase in compressive strength values, which is attributed to the C-S-H growth resulting from the gradual hydration of cement</w:t>
      </w:r>
      <w:r w:rsidRPr="00FC76AF">
        <w:rPr>
          <w:rFonts w:asciiTheme="majorBidi" w:hAnsiTheme="majorBidi"/>
          <w:color w:val="000000" w:themeColor="text1"/>
          <w:rtl/>
          <w:lang w:bidi="ar"/>
        </w:rPr>
        <w:t>.</w:t>
      </w:r>
      <w:r w:rsidRPr="00FC76AF">
        <w:rPr>
          <w:rFonts w:asciiTheme="majorBidi" w:hAnsiTheme="majorBidi" w:cstheme="majorBidi" w:hint="cs"/>
          <w:color w:val="000000" w:themeColor="text1"/>
          <w:rtl/>
        </w:rPr>
        <w:t xml:space="preserve"> </w:t>
      </w:r>
    </w:p>
    <w:p w:rsidR="006D284A" w:rsidRPr="00FC76AF" w:rsidRDefault="006D284A" w:rsidP="000F6B38">
      <w:pPr>
        <w:pStyle w:val="Default"/>
        <w:jc w:val="both"/>
        <w:rPr>
          <w:rFonts w:asciiTheme="majorBidi" w:hAnsiTheme="majorBidi" w:cstheme="majorBidi"/>
          <w:color w:val="000000" w:themeColor="text1"/>
        </w:rPr>
      </w:pPr>
    </w:p>
    <w:p w:rsidR="00B02EF0" w:rsidRPr="00FC76AF" w:rsidRDefault="00A74720" w:rsidP="00B02EF0">
      <w:pPr>
        <w:pStyle w:val="Default"/>
        <w:jc w:val="both"/>
        <w:rPr>
          <w:rFonts w:asciiTheme="majorBidi" w:hAnsiTheme="majorBidi" w:cstheme="majorBidi"/>
          <w:color w:val="000000" w:themeColor="text1"/>
        </w:rPr>
      </w:pPr>
      <w:r w:rsidRPr="00FC76AF">
        <w:rPr>
          <w:rFonts w:asciiTheme="majorBidi" w:hAnsiTheme="majorBidi"/>
          <w:color w:val="000000" w:themeColor="text1"/>
        </w:rPr>
        <w:t>Figure 6 shows that the compressive strength peaked at 28 days, with the control sample M0 (0% CTAC) reaching the maximum value (72.7 N⁻mm⁻²). It is also observed that the compressive strength is inversely proportional to the CTAC dosage, reaching the minimum value of 14.99 N•mm⁻² for the 2% CTAC mixture (M4). This inverse relationship between CTAC concentration and compressive strength is due to the surfactant efficiency as an air-entraining agent. This high air content (40.95-49.45% in M1-M4) leads to high porosity, which affects the structural integrity. All cement pastes modified with CTAC maintained acceptable levels of compressive strength. This is attributed to the ability of CTAC to distribute voids in a regular and small manner, with an average void size of 82.3 micrometers as shown by SEM analysis, which maintained the cohesion of the matrix and reduced the stress level (Qaraman, 2016).</w:t>
      </w:r>
    </w:p>
    <w:p w:rsidR="00805C54" w:rsidRPr="00FC76AF" w:rsidRDefault="00E76DFA" w:rsidP="006D284A">
      <w:pPr>
        <w:pStyle w:val="Default"/>
        <w:jc w:val="both"/>
        <w:rPr>
          <w:rFonts w:asciiTheme="majorBidi" w:hAnsiTheme="majorBidi" w:cstheme="majorBidi"/>
          <w:color w:val="000000" w:themeColor="text1"/>
        </w:rPr>
      </w:pPr>
      <w:r w:rsidRPr="00FC76AF">
        <w:rPr>
          <w:rFonts w:asciiTheme="majorBidi" w:hAnsiTheme="majorBidi" w:cstheme="majorBidi"/>
          <w:noProof/>
          <w:color w:val="000000" w:themeColor="text1"/>
        </w:rPr>
        <w:lastRenderedPageBreak/>
        <w:drawing>
          <wp:inline distT="0" distB="0" distL="0" distR="0" wp14:anchorId="494D2B1A" wp14:editId="307B68ED">
            <wp:extent cx="4577183" cy="3650284"/>
            <wp:effectExtent l="0" t="0" r="0" b="762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1185" cy="3653475"/>
                    </a:xfrm>
                    <a:prstGeom prst="rect">
                      <a:avLst/>
                    </a:prstGeom>
                    <a:noFill/>
                    <a:ln>
                      <a:noFill/>
                    </a:ln>
                  </pic:spPr>
                </pic:pic>
              </a:graphicData>
            </a:graphic>
          </wp:inline>
        </w:drawing>
      </w:r>
    </w:p>
    <w:p w:rsidR="00786A3D" w:rsidRPr="00FC76AF" w:rsidRDefault="00786A3D" w:rsidP="003735BC">
      <w:pPr>
        <w:pStyle w:val="Default"/>
        <w:jc w:val="both"/>
        <w:rPr>
          <w:rFonts w:asciiTheme="majorBidi" w:hAnsiTheme="majorBidi" w:cstheme="majorBidi"/>
          <w:color w:val="000000" w:themeColor="text1"/>
        </w:rPr>
      </w:pPr>
    </w:p>
    <w:p w:rsidR="00187E6D" w:rsidRPr="00FC76AF" w:rsidRDefault="00EF474B" w:rsidP="00EF474B">
      <w:pPr>
        <w:pStyle w:val="Default"/>
        <w:jc w:val="both"/>
        <w:rPr>
          <w:rFonts w:asciiTheme="majorBidi" w:hAnsiTheme="majorBidi" w:cstheme="majorBidi"/>
          <w:color w:val="000000" w:themeColor="text1"/>
        </w:rPr>
      </w:pPr>
      <w:r w:rsidRPr="00FC76AF">
        <w:rPr>
          <w:rFonts w:asciiTheme="majorBidi" w:hAnsiTheme="majorBidi" w:cstheme="majorBidi"/>
          <w:b/>
          <w:bCs/>
          <w:color w:val="000000" w:themeColor="text1"/>
        </w:rPr>
        <w:t>Figure 6.</w:t>
      </w:r>
      <w:r w:rsidRPr="00FC76AF">
        <w:rPr>
          <w:rFonts w:asciiTheme="majorBidi" w:hAnsiTheme="majorBidi" w:cstheme="majorBidi"/>
          <w:color w:val="000000" w:themeColor="text1"/>
        </w:rPr>
        <w:t> Compressive strength development of CTAC-modified cementitious pastes at </w:t>
      </w:r>
      <w:r w:rsidRPr="00FC76AF">
        <w:rPr>
          <w:rFonts w:asciiTheme="majorBidi" w:hAnsiTheme="majorBidi" w:cstheme="majorBidi"/>
          <w:b/>
          <w:bCs/>
          <w:color w:val="000000" w:themeColor="text1"/>
        </w:rPr>
        <w:t>3, 7, and 28 days</w:t>
      </w:r>
      <w:r w:rsidRPr="00FC76AF">
        <w:rPr>
          <w:rFonts w:asciiTheme="majorBidi" w:hAnsiTheme="majorBidi" w:cstheme="majorBidi"/>
          <w:color w:val="000000" w:themeColor="text1"/>
        </w:rPr>
        <w:t> of hydration.</w:t>
      </w:r>
    </w:p>
    <w:p w:rsidR="00187E6D" w:rsidRPr="00FC76AF" w:rsidRDefault="00187E6D" w:rsidP="00786A3D">
      <w:pPr>
        <w:pStyle w:val="Default"/>
        <w:jc w:val="both"/>
        <w:rPr>
          <w:rFonts w:asciiTheme="majorBidi" w:hAnsiTheme="majorBidi" w:cstheme="majorBidi"/>
          <w:color w:val="000000" w:themeColor="text1"/>
        </w:rPr>
      </w:pPr>
    </w:p>
    <w:p w:rsidR="00187E6D" w:rsidRPr="00FC76AF" w:rsidRDefault="00187E6D" w:rsidP="00786A3D">
      <w:pPr>
        <w:pStyle w:val="Default"/>
        <w:jc w:val="both"/>
        <w:rPr>
          <w:rFonts w:asciiTheme="majorBidi" w:hAnsiTheme="majorBidi" w:cstheme="majorBidi"/>
          <w:color w:val="000000" w:themeColor="text1"/>
        </w:rPr>
      </w:pPr>
    </w:p>
    <w:p w:rsidR="00187E6D" w:rsidRPr="00FC76AF" w:rsidRDefault="00187E6D" w:rsidP="00187E6D">
      <w:pPr>
        <w:autoSpaceDE w:val="0"/>
        <w:autoSpaceDN w:val="0"/>
        <w:bidi w:val="0"/>
        <w:adjustRightInd w:val="0"/>
        <w:spacing w:after="0" w:line="240" w:lineRule="auto"/>
        <w:rPr>
          <w:rFonts w:asciiTheme="majorBidi" w:hAnsiTheme="majorBidi" w:cstheme="majorBidi"/>
          <w:color w:val="000000" w:themeColor="text1"/>
          <w:sz w:val="24"/>
          <w:szCs w:val="24"/>
        </w:rPr>
      </w:pPr>
      <w:r w:rsidRPr="00FC76AF">
        <w:rPr>
          <w:rFonts w:asciiTheme="majorBidi" w:hAnsiTheme="majorBidi" w:cstheme="majorBidi"/>
          <w:i/>
          <w:iCs/>
          <w:color w:val="000000" w:themeColor="text1"/>
          <w:sz w:val="24"/>
          <w:szCs w:val="24"/>
        </w:rPr>
        <w:t xml:space="preserve">Effect of density on thermal conductivity of foam </w:t>
      </w:r>
      <w:r w:rsidR="006C3621" w:rsidRPr="00FC76AF">
        <w:rPr>
          <w:rFonts w:asciiTheme="majorBidi" w:hAnsiTheme="majorBidi" w:cstheme="majorBidi"/>
          <w:i/>
          <w:iCs/>
          <w:color w:val="000000" w:themeColor="text1"/>
          <w:sz w:val="24"/>
          <w:szCs w:val="24"/>
        </w:rPr>
        <w:t>cement paste</w:t>
      </w:r>
      <w:r w:rsidRPr="00FC76AF">
        <w:rPr>
          <w:rFonts w:asciiTheme="majorBidi" w:hAnsiTheme="majorBidi" w:cstheme="majorBidi"/>
          <w:i/>
          <w:iCs/>
          <w:color w:val="000000" w:themeColor="text1"/>
          <w:sz w:val="24"/>
          <w:szCs w:val="24"/>
        </w:rPr>
        <w:t xml:space="preserve"> </w:t>
      </w:r>
    </w:p>
    <w:p w:rsidR="00D550CF" w:rsidRPr="00FC76AF" w:rsidRDefault="00D550CF" w:rsidP="00D550CF">
      <w:pPr>
        <w:autoSpaceDE w:val="0"/>
        <w:autoSpaceDN w:val="0"/>
        <w:bidi w:val="0"/>
        <w:adjustRightInd w:val="0"/>
        <w:spacing w:after="0" w:line="240" w:lineRule="auto"/>
        <w:rPr>
          <w:rFonts w:asciiTheme="majorBidi" w:hAnsiTheme="majorBidi" w:cstheme="majorBidi"/>
          <w:color w:val="000000" w:themeColor="text1"/>
          <w:sz w:val="24"/>
          <w:szCs w:val="24"/>
        </w:rPr>
      </w:pPr>
    </w:p>
    <w:p w:rsidR="00483E37" w:rsidRPr="00FC76AF" w:rsidRDefault="00483E37" w:rsidP="00483E37">
      <w:pPr>
        <w:pStyle w:val="Default"/>
        <w:jc w:val="both"/>
        <w:rPr>
          <w:rFonts w:asciiTheme="majorBidi" w:hAnsiTheme="majorBidi" w:cstheme="majorBidi"/>
          <w:color w:val="000000" w:themeColor="text1"/>
        </w:rPr>
      </w:pPr>
      <w:r w:rsidRPr="00FC76AF">
        <w:rPr>
          <w:rFonts w:asciiTheme="majorBidi" w:hAnsiTheme="majorBidi" w:cstheme="majorBidi"/>
          <w:color w:val="000000" w:themeColor="text1"/>
        </w:rPr>
        <w:t>Thermal conductivity, a critical parameter in assessing the insulation efficiency of lightweight cementitious materials, is intrinsically linked to the material’s density and porosity. Foam cement paste derives its insulating capabilities from a cellular structure dominated by air-filled voids, which impede heat transfer. For instance, Chen et al. (2013) highlighted that a foam cement paste with a density of </w:t>
      </w:r>
      <w:r w:rsidR="00D30B33" w:rsidRPr="00FC76AF">
        <w:rPr>
          <w:rFonts w:asciiTheme="majorBidi" w:hAnsiTheme="majorBidi" w:cstheme="majorBidi"/>
          <w:color w:val="000000" w:themeColor="text1"/>
        </w:rPr>
        <w:t xml:space="preserve"> </w:t>
      </w:r>
      <w:r w:rsidRPr="00FC76AF">
        <w:rPr>
          <w:rFonts w:asciiTheme="majorBidi" w:hAnsiTheme="majorBidi" w:cstheme="majorBidi"/>
          <w:color w:val="000000" w:themeColor="text1"/>
        </w:rPr>
        <w:t>400 kg·m⁻³ exhibits thermal insulation comparable to a 25 mm-thick cork layer, emphasizing its suitability for energy-efficient construction.</w:t>
      </w:r>
    </w:p>
    <w:p w:rsidR="00483E37" w:rsidRPr="00FC76AF" w:rsidRDefault="00483E37" w:rsidP="00483E37">
      <w:pPr>
        <w:pStyle w:val="Default"/>
        <w:jc w:val="both"/>
        <w:rPr>
          <w:rFonts w:asciiTheme="majorBidi" w:hAnsiTheme="majorBidi" w:cstheme="majorBidi"/>
          <w:color w:val="000000" w:themeColor="text1"/>
        </w:rPr>
      </w:pPr>
      <w:r w:rsidRPr="00FC76AF">
        <w:rPr>
          <w:rFonts w:asciiTheme="majorBidi" w:hAnsiTheme="majorBidi" w:cstheme="majorBidi"/>
          <w:color w:val="000000" w:themeColor="text1"/>
        </w:rPr>
        <w:t>As demonstrated in Figure 7 and </w:t>
      </w:r>
      <w:r w:rsidR="001745C0" w:rsidRPr="00FC76AF">
        <w:rPr>
          <w:rFonts w:asciiTheme="majorBidi" w:hAnsiTheme="majorBidi" w:cstheme="majorBidi"/>
          <w:color w:val="000000" w:themeColor="text1"/>
        </w:rPr>
        <w:t>Table 3</w:t>
      </w:r>
      <w:r w:rsidRPr="00FC76AF">
        <w:rPr>
          <w:rFonts w:asciiTheme="majorBidi" w:hAnsiTheme="majorBidi" w:cstheme="majorBidi"/>
          <w:color w:val="000000" w:themeColor="text1"/>
        </w:rPr>
        <w:t>, thermal conductivity decreases proportionally with reduced density across all tested formulations. The control sample (0% CTAC), with a density of 2.0 g·cm⁻³, exhibited a thermal conductivity of 0.72 W·m⁻¹·K⁻¹, while the 2% CTAC-modified paste, with a density of 1.01 g·cm⁻³, achieved a significantly lower conductivity of 0.24 W·m⁻¹·K⁻¹. This inverse relationship stems from the increased air content (49.45%) and porosity in low-density pastes, where entrapped air voids act as thermal insulators by disrupting conductive pathways (</w:t>
      </w:r>
      <w:proofErr w:type="spellStart"/>
      <w:r w:rsidRPr="00FC76AF">
        <w:rPr>
          <w:rFonts w:asciiTheme="majorBidi" w:hAnsiTheme="majorBidi" w:cstheme="majorBidi"/>
          <w:color w:val="000000" w:themeColor="text1"/>
        </w:rPr>
        <w:t>Meletse</w:t>
      </w:r>
      <w:proofErr w:type="spellEnd"/>
      <w:r w:rsidRPr="00FC76AF">
        <w:rPr>
          <w:rFonts w:asciiTheme="majorBidi" w:hAnsiTheme="majorBidi" w:cstheme="majorBidi"/>
          <w:color w:val="000000" w:themeColor="text1"/>
        </w:rPr>
        <w:t xml:space="preserve">, 2005; </w:t>
      </w:r>
      <w:proofErr w:type="spellStart"/>
      <w:r w:rsidRPr="00FC76AF">
        <w:rPr>
          <w:rFonts w:asciiTheme="majorBidi" w:hAnsiTheme="majorBidi" w:cstheme="majorBidi"/>
          <w:color w:val="000000" w:themeColor="text1"/>
        </w:rPr>
        <w:t>Bumanis</w:t>
      </w:r>
      <w:proofErr w:type="spellEnd"/>
      <w:r w:rsidRPr="00FC76AF">
        <w:rPr>
          <w:rFonts w:asciiTheme="majorBidi" w:hAnsiTheme="majorBidi" w:cstheme="majorBidi"/>
          <w:color w:val="000000" w:themeColor="text1"/>
        </w:rPr>
        <w:t>, 2013).</w:t>
      </w:r>
    </w:p>
    <w:p w:rsidR="00483E37" w:rsidRPr="00FC76AF" w:rsidRDefault="00483E37" w:rsidP="00483E37">
      <w:pPr>
        <w:pStyle w:val="Default"/>
        <w:jc w:val="both"/>
        <w:rPr>
          <w:rFonts w:asciiTheme="majorBidi" w:hAnsiTheme="majorBidi" w:cstheme="majorBidi"/>
          <w:color w:val="000000" w:themeColor="text1"/>
        </w:rPr>
      </w:pPr>
      <w:r w:rsidRPr="00FC76AF">
        <w:rPr>
          <w:rFonts w:asciiTheme="majorBidi" w:hAnsiTheme="majorBidi" w:cstheme="majorBidi"/>
          <w:color w:val="000000" w:themeColor="text1"/>
        </w:rPr>
        <w:t xml:space="preserve">The underlying mechanism involves the role of porosity in limiting phonon propagation—the primary mode of heat transfer in solid matrices. Higher porosity reduces the continuity of the cementitious framework, thereby diminishing thermal conduction. While CTAC-modified pastes (e.g., 2% CTAC) achieve exceptional thermal performance, the balance between insulation and mechanical integrity must be carefully calibrated for structural applications. These findings underscore foam </w:t>
      </w:r>
      <w:r w:rsidRPr="00FC76AF">
        <w:rPr>
          <w:rFonts w:asciiTheme="majorBidi" w:hAnsiTheme="majorBidi" w:cstheme="majorBidi"/>
          <w:color w:val="000000" w:themeColor="text1"/>
        </w:rPr>
        <w:lastRenderedPageBreak/>
        <w:t>cement paste’s potential as a dual-function material, offering both thermal efficiency and lightweight properties when optimized with surfactants like CTAC.</w:t>
      </w:r>
    </w:p>
    <w:p w:rsidR="00E76025" w:rsidRPr="00FC76AF" w:rsidRDefault="00E76025" w:rsidP="00291F2C">
      <w:pPr>
        <w:pStyle w:val="Default"/>
        <w:jc w:val="both"/>
        <w:rPr>
          <w:rFonts w:asciiTheme="majorBidi" w:hAnsiTheme="majorBidi" w:cstheme="majorBidi"/>
          <w:color w:val="000000" w:themeColor="text1"/>
        </w:rPr>
      </w:pPr>
      <w:r w:rsidRPr="00FC76AF">
        <w:rPr>
          <w:rFonts w:asciiTheme="majorBidi" w:hAnsiTheme="majorBidi" w:cstheme="majorBidi"/>
          <w:color w:val="000000" w:themeColor="text1"/>
        </w:rPr>
        <w:t>The relationship between density and thermal conductivity in CTAC-modified foam cement paste was rigorously analyzed, revealing a strong inverse correlation quantified by a linear regression coefficient of </w:t>
      </w:r>
      <w:r w:rsidR="00291F2C" w:rsidRPr="00FC76AF">
        <w:rPr>
          <w:rFonts w:asciiTheme="majorBidi" w:hAnsiTheme="majorBidi" w:cstheme="majorBidi"/>
          <w:i/>
          <w:iCs/>
          <w:color w:val="000000" w:themeColor="text1"/>
        </w:rPr>
        <w:t xml:space="preserve"> </w:t>
      </w:r>
      <w:r w:rsidRPr="00FC76AF">
        <w:rPr>
          <w:rFonts w:asciiTheme="majorBidi" w:hAnsiTheme="majorBidi" w:cstheme="majorBidi"/>
          <w:i/>
          <w:iCs/>
          <w:color w:val="000000" w:themeColor="text1"/>
        </w:rPr>
        <w:t>R</w:t>
      </w:r>
      <w:r w:rsidRPr="00FC76AF">
        <w:rPr>
          <w:rFonts w:asciiTheme="majorBidi" w:hAnsiTheme="majorBidi" w:cstheme="majorBidi"/>
          <w:color w:val="000000" w:themeColor="text1"/>
        </w:rPr>
        <w:t>2=0.98 (Figure 7). This statistical validation confirms that reducing density from 2.0 g·cm⁻³ (control) to 1.01 g·cm⁻³ (2% CTAC) directly lowers thermal conductivity from 0.72 W·m⁻¹·K⁻¹ to 0.24 W·m⁻¹·K⁻¹, aligning with the insulating mechanism of air-entrained porosity. While this performance surpasses traditional dense concrete, the CTAC-modified paste exhibits higher conductivity than specialized insulators like expanded polystyrene (EPS: 0.033–0.040 W·m⁻¹·K⁻¹) or mineral wool (0.030–0.045 W·m⁻¹·K⁻¹)</w:t>
      </w:r>
      <w:r w:rsidR="002D190C" w:rsidRPr="00FC76AF">
        <w:rPr>
          <w:rFonts w:asciiTheme="majorBidi" w:hAnsiTheme="majorBidi" w:cstheme="majorBidi"/>
          <w:color w:val="000000" w:themeColor="text1"/>
        </w:rPr>
        <w:t xml:space="preserve"> </w:t>
      </w:r>
      <w:r w:rsidR="0078685F" w:rsidRPr="00FC76AF">
        <w:rPr>
          <w:rFonts w:asciiTheme="majorBidi" w:hAnsiTheme="majorBidi" w:cstheme="majorBidi"/>
          <w:color w:val="000000" w:themeColor="text1"/>
        </w:rPr>
        <w:t>(</w:t>
      </w:r>
      <w:proofErr w:type="spellStart"/>
      <w:r w:rsidR="0078685F" w:rsidRPr="00FC76AF">
        <w:rPr>
          <w:rFonts w:asciiTheme="majorBidi" w:hAnsiTheme="majorBidi" w:cstheme="majorBidi"/>
          <w:color w:val="000000" w:themeColor="text1"/>
        </w:rPr>
        <w:t>Jelle</w:t>
      </w:r>
      <w:proofErr w:type="spellEnd"/>
      <w:r w:rsidR="0078685F" w:rsidRPr="00FC76AF">
        <w:rPr>
          <w:rFonts w:asciiTheme="majorBidi" w:hAnsiTheme="majorBidi" w:cstheme="majorBidi"/>
          <w:color w:val="000000" w:themeColor="text1"/>
        </w:rPr>
        <w:t>, 2011)</w:t>
      </w:r>
      <w:r w:rsidRPr="00FC76AF">
        <w:rPr>
          <w:rFonts w:asciiTheme="majorBidi" w:hAnsiTheme="majorBidi" w:cstheme="majorBidi"/>
          <w:color w:val="000000" w:themeColor="text1"/>
        </w:rPr>
        <w:t xml:space="preserve">. However, its dual role as a structural and insulating material—retaining 14.99 N·mm⁻² compressive strength—positions it uniquely for applications requiring </w:t>
      </w:r>
      <w:proofErr w:type="spellStart"/>
      <w:r w:rsidRPr="00FC76AF">
        <w:rPr>
          <w:rFonts w:asciiTheme="majorBidi" w:hAnsiTheme="majorBidi" w:cstheme="majorBidi"/>
          <w:color w:val="000000" w:themeColor="text1"/>
        </w:rPr>
        <w:t>multifunctionality</w:t>
      </w:r>
      <w:proofErr w:type="spellEnd"/>
      <w:r w:rsidRPr="00FC76AF">
        <w:rPr>
          <w:rFonts w:asciiTheme="majorBidi" w:hAnsiTheme="majorBidi" w:cstheme="majorBidi"/>
          <w:color w:val="000000" w:themeColor="text1"/>
        </w:rPr>
        <w:t>.</w:t>
      </w:r>
    </w:p>
    <w:p w:rsidR="00E76025" w:rsidRPr="00FC76AF" w:rsidRDefault="00E76025" w:rsidP="00E76025">
      <w:pPr>
        <w:pStyle w:val="Default"/>
        <w:jc w:val="both"/>
        <w:rPr>
          <w:rFonts w:asciiTheme="majorBidi" w:hAnsiTheme="majorBidi" w:cstheme="majorBidi"/>
          <w:color w:val="000000" w:themeColor="text1"/>
        </w:rPr>
      </w:pPr>
      <w:r w:rsidRPr="00FC76AF">
        <w:rPr>
          <w:rFonts w:asciiTheme="majorBidi" w:hAnsiTheme="majorBidi" w:cstheme="majorBidi"/>
          <w:color w:val="000000" w:themeColor="text1"/>
        </w:rPr>
        <w:t>Practically, the 2% CTAC formulation could revolutionize sustainable construction in:</w:t>
      </w:r>
    </w:p>
    <w:p w:rsidR="00E76025" w:rsidRPr="00FC76AF" w:rsidRDefault="00E76025" w:rsidP="00E76025">
      <w:pPr>
        <w:pStyle w:val="Default"/>
        <w:numPr>
          <w:ilvl w:val="0"/>
          <w:numId w:val="7"/>
        </w:numPr>
        <w:jc w:val="both"/>
        <w:rPr>
          <w:rFonts w:asciiTheme="majorBidi" w:hAnsiTheme="majorBidi" w:cstheme="majorBidi"/>
          <w:color w:val="000000" w:themeColor="text1"/>
        </w:rPr>
      </w:pPr>
      <w:r w:rsidRPr="00FC76AF">
        <w:rPr>
          <w:rFonts w:asciiTheme="majorBidi" w:hAnsiTheme="majorBidi" w:cstheme="majorBidi"/>
          <w:color w:val="000000" w:themeColor="text1"/>
        </w:rPr>
        <w:t>Building Envelopes: Replacing conventional blocks in moderate climates (e.g., Mediterranean regions) to reduce thermal bridging.</w:t>
      </w:r>
    </w:p>
    <w:p w:rsidR="00E76025" w:rsidRPr="00FC76AF" w:rsidRDefault="00E76025" w:rsidP="00E76025">
      <w:pPr>
        <w:pStyle w:val="Default"/>
        <w:numPr>
          <w:ilvl w:val="0"/>
          <w:numId w:val="7"/>
        </w:numPr>
        <w:jc w:val="both"/>
        <w:rPr>
          <w:rFonts w:asciiTheme="majorBidi" w:hAnsiTheme="majorBidi" w:cstheme="majorBidi"/>
          <w:color w:val="000000" w:themeColor="text1"/>
        </w:rPr>
      </w:pPr>
      <w:r w:rsidRPr="00FC76AF">
        <w:rPr>
          <w:rFonts w:asciiTheme="majorBidi" w:hAnsiTheme="majorBidi" w:cstheme="majorBidi"/>
          <w:color w:val="000000" w:themeColor="text1"/>
        </w:rPr>
        <w:t>Prefabricated Panels: Streamlining assembly in low-rise structures while minimizing weight.</w:t>
      </w:r>
    </w:p>
    <w:p w:rsidR="00E76025" w:rsidRPr="00FC76AF" w:rsidRDefault="00E76025" w:rsidP="00E76025">
      <w:pPr>
        <w:pStyle w:val="Default"/>
        <w:numPr>
          <w:ilvl w:val="0"/>
          <w:numId w:val="7"/>
        </w:numPr>
        <w:jc w:val="both"/>
        <w:rPr>
          <w:rFonts w:asciiTheme="majorBidi" w:hAnsiTheme="majorBidi" w:cstheme="majorBidi"/>
          <w:color w:val="000000" w:themeColor="text1"/>
        </w:rPr>
      </w:pPr>
      <w:r w:rsidRPr="00FC76AF">
        <w:rPr>
          <w:rFonts w:asciiTheme="majorBidi" w:hAnsiTheme="majorBidi" w:cstheme="majorBidi"/>
          <w:color w:val="000000" w:themeColor="text1"/>
        </w:rPr>
        <w:t>Retrofitting: Enhancing insulation in existing buildings without structural overhauls.</w:t>
      </w:r>
    </w:p>
    <w:p w:rsidR="00E76025" w:rsidRPr="00FC76AF" w:rsidRDefault="00E76025" w:rsidP="00E76025">
      <w:pPr>
        <w:pStyle w:val="Default"/>
        <w:jc w:val="both"/>
        <w:rPr>
          <w:rFonts w:asciiTheme="majorBidi" w:hAnsiTheme="majorBidi" w:cstheme="majorBidi"/>
          <w:color w:val="000000" w:themeColor="text1"/>
        </w:rPr>
      </w:pPr>
      <w:r w:rsidRPr="00FC76AF">
        <w:rPr>
          <w:rFonts w:asciiTheme="majorBidi" w:hAnsiTheme="majorBidi" w:cstheme="majorBidi"/>
          <w:color w:val="000000" w:themeColor="text1"/>
        </w:rPr>
        <w:t>This balance of thermal and mechanical performance underscores CTAC’s potential as a scalable, eco-friendly alternative, bridging the gap between insulation efficiency and structural viability.</w:t>
      </w:r>
    </w:p>
    <w:p w:rsidR="00E76025" w:rsidRPr="00FC76AF" w:rsidRDefault="00E76025" w:rsidP="00483E37">
      <w:pPr>
        <w:pStyle w:val="Default"/>
        <w:jc w:val="both"/>
        <w:rPr>
          <w:rFonts w:asciiTheme="majorBidi" w:hAnsiTheme="majorBidi" w:cstheme="majorBidi"/>
          <w:color w:val="000000" w:themeColor="text1"/>
        </w:rPr>
      </w:pPr>
    </w:p>
    <w:p w:rsidR="00187E6D" w:rsidRPr="00FC76AF" w:rsidRDefault="00187E6D" w:rsidP="00187E6D">
      <w:pPr>
        <w:pStyle w:val="Default"/>
        <w:jc w:val="both"/>
        <w:rPr>
          <w:rFonts w:asciiTheme="majorBidi" w:hAnsiTheme="majorBidi" w:cstheme="majorBidi"/>
          <w:color w:val="000000" w:themeColor="text1"/>
        </w:rPr>
      </w:pPr>
      <w:r w:rsidRPr="00FC76AF">
        <w:rPr>
          <w:rFonts w:asciiTheme="majorBidi" w:hAnsiTheme="majorBidi" w:cstheme="majorBidi"/>
          <w:noProof/>
          <w:color w:val="000000" w:themeColor="text1"/>
        </w:rPr>
        <w:drawing>
          <wp:inline distT="0" distB="0" distL="0" distR="0" wp14:anchorId="1E107849" wp14:editId="78E33F24">
            <wp:extent cx="4774409" cy="3474600"/>
            <wp:effectExtent l="0" t="0" r="7620"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4179" cy="3474432"/>
                    </a:xfrm>
                    <a:prstGeom prst="rect">
                      <a:avLst/>
                    </a:prstGeom>
                    <a:noFill/>
                    <a:ln>
                      <a:noFill/>
                    </a:ln>
                  </pic:spPr>
                </pic:pic>
              </a:graphicData>
            </a:graphic>
          </wp:inline>
        </w:drawing>
      </w:r>
    </w:p>
    <w:p w:rsidR="00187E6D" w:rsidRPr="00FC76AF" w:rsidRDefault="00187E6D" w:rsidP="00187E6D">
      <w:pPr>
        <w:pStyle w:val="Default"/>
        <w:jc w:val="both"/>
        <w:rPr>
          <w:rFonts w:asciiTheme="majorBidi" w:hAnsiTheme="majorBidi" w:cstheme="majorBidi"/>
          <w:color w:val="000000" w:themeColor="text1"/>
        </w:rPr>
      </w:pPr>
    </w:p>
    <w:p w:rsidR="00187E6D" w:rsidRPr="00FC76AF" w:rsidRDefault="00845279" w:rsidP="00845279">
      <w:pPr>
        <w:pStyle w:val="Default"/>
        <w:jc w:val="both"/>
        <w:rPr>
          <w:rFonts w:asciiTheme="majorBidi" w:hAnsiTheme="majorBidi" w:cstheme="majorBidi"/>
          <w:color w:val="000000" w:themeColor="text1"/>
        </w:rPr>
      </w:pPr>
      <w:r w:rsidRPr="00FC76AF">
        <w:rPr>
          <w:rFonts w:asciiTheme="majorBidi" w:hAnsiTheme="majorBidi" w:cstheme="majorBidi"/>
          <w:b/>
          <w:bCs/>
          <w:color w:val="000000" w:themeColor="text1"/>
        </w:rPr>
        <w:t>Figure 7.</w:t>
      </w:r>
      <w:r w:rsidRPr="00FC76AF">
        <w:rPr>
          <w:rFonts w:asciiTheme="majorBidi" w:hAnsiTheme="majorBidi" w:cstheme="majorBidi"/>
          <w:color w:val="000000" w:themeColor="text1"/>
        </w:rPr>
        <w:t> Inverse correlation between thermal conductivity and density in CTAC-modified cementitious pastes after 28 days of hydration</w:t>
      </w:r>
    </w:p>
    <w:p w:rsidR="00187E6D" w:rsidRPr="00FC76AF" w:rsidRDefault="00187E6D" w:rsidP="00187E6D">
      <w:pPr>
        <w:pStyle w:val="Default"/>
        <w:jc w:val="both"/>
        <w:rPr>
          <w:rFonts w:asciiTheme="majorBidi" w:hAnsiTheme="majorBidi" w:cstheme="majorBidi"/>
          <w:color w:val="000000" w:themeColor="text1"/>
        </w:rPr>
      </w:pPr>
    </w:p>
    <w:p w:rsidR="00187E6D" w:rsidRPr="00FC76AF" w:rsidRDefault="00187E6D" w:rsidP="00187E6D">
      <w:pPr>
        <w:pStyle w:val="Default"/>
        <w:jc w:val="both"/>
        <w:rPr>
          <w:rFonts w:asciiTheme="majorBidi" w:hAnsiTheme="majorBidi" w:cstheme="majorBidi"/>
          <w:color w:val="000000" w:themeColor="text1"/>
        </w:rPr>
      </w:pPr>
    </w:p>
    <w:p w:rsidR="00187E6D" w:rsidRPr="00FC76AF" w:rsidRDefault="00187E6D" w:rsidP="00187E6D">
      <w:pPr>
        <w:pStyle w:val="Default"/>
        <w:jc w:val="both"/>
        <w:rPr>
          <w:rFonts w:asciiTheme="majorBidi" w:hAnsiTheme="majorBidi" w:cstheme="majorBidi"/>
          <w:color w:val="000000" w:themeColor="text1"/>
        </w:rPr>
      </w:pPr>
    </w:p>
    <w:p w:rsidR="006C33D8" w:rsidRPr="00FC76AF" w:rsidRDefault="006C33D8" w:rsidP="006C33D8">
      <w:pPr>
        <w:pStyle w:val="Default"/>
        <w:jc w:val="both"/>
        <w:rPr>
          <w:rFonts w:asciiTheme="majorBidi" w:hAnsiTheme="majorBidi" w:cstheme="majorBidi"/>
          <w:color w:val="000000" w:themeColor="text1"/>
        </w:rPr>
      </w:pPr>
      <w:r w:rsidRPr="00FC76AF">
        <w:rPr>
          <w:rFonts w:asciiTheme="majorBidi" w:hAnsiTheme="majorBidi" w:cstheme="majorBidi"/>
          <w:i/>
          <w:iCs/>
          <w:color w:val="000000" w:themeColor="text1"/>
        </w:rPr>
        <w:t xml:space="preserve">Effect of CTAC on the water absorbance of the Hardened </w:t>
      </w:r>
      <w:r w:rsidR="006C3621" w:rsidRPr="00FC76AF">
        <w:rPr>
          <w:rFonts w:asciiTheme="majorBidi" w:hAnsiTheme="majorBidi" w:cstheme="majorBidi"/>
          <w:i/>
          <w:iCs/>
          <w:color w:val="000000" w:themeColor="text1"/>
        </w:rPr>
        <w:t>cement paste</w:t>
      </w:r>
      <w:r w:rsidRPr="00FC76AF">
        <w:rPr>
          <w:rFonts w:asciiTheme="majorBidi" w:hAnsiTheme="majorBidi" w:cstheme="majorBidi"/>
          <w:i/>
          <w:iCs/>
          <w:color w:val="000000" w:themeColor="text1"/>
        </w:rPr>
        <w:t xml:space="preserve"> </w:t>
      </w:r>
    </w:p>
    <w:p w:rsidR="00187E6D" w:rsidRPr="00FC76AF" w:rsidRDefault="00187E6D" w:rsidP="00187E6D">
      <w:pPr>
        <w:pStyle w:val="Default"/>
        <w:jc w:val="both"/>
        <w:rPr>
          <w:rFonts w:asciiTheme="majorBidi" w:hAnsiTheme="majorBidi" w:cstheme="majorBidi"/>
          <w:color w:val="000000" w:themeColor="text1"/>
        </w:rPr>
      </w:pPr>
    </w:p>
    <w:p w:rsidR="00187E6D" w:rsidRPr="00FC76AF" w:rsidRDefault="00657E76" w:rsidP="00657E76">
      <w:pPr>
        <w:pStyle w:val="Default"/>
        <w:jc w:val="both"/>
        <w:rPr>
          <w:rFonts w:asciiTheme="majorBidi" w:hAnsiTheme="majorBidi" w:cstheme="majorBidi"/>
          <w:color w:val="000000" w:themeColor="text1"/>
        </w:rPr>
      </w:pPr>
      <w:r w:rsidRPr="00FC76AF">
        <w:rPr>
          <w:rFonts w:asciiTheme="majorBidi" w:hAnsiTheme="majorBidi" w:cstheme="majorBidi"/>
          <w:color w:val="000000" w:themeColor="text1"/>
        </w:rPr>
        <w:t>Figure 8 and </w:t>
      </w:r>
      <w:r w:rsidR="001745C0" w:rsidRPr="00FC76AF">
        <w:rPr>
          <w:rFonts w:asciiTheme="majorBidi" w:hAnsiTheme="majorBidi" w:cstheme="majorBidi"/>
          <w:color w:val="000000" w:themeColor="text1"/>
        </w:rPr>
        <w:t>Table 3</w:t>
      </w:r>
      <w:r w:rsidRPr="00FC76AF">
        <w:rPr>
          <w:rFonts w:asciiTheme="majorBidi" w:hAnsiTheme="majorBidi" w:cstheme="majorBidi"/>
          <w:color w:val="000000" w:themeColor="text1"/>
        </w:rPr>
        <w:t> reveal a clear dose-dependent relationship between CTAC concentration and water absorption in hardened cement paste, with values escalating from 2.1% (0% CTAC) to 6.8% (2% CTAC) after 28 days of hydration. This increase is attributed to CTAC’s multifaceted impact on the cementitious matrix. Primarily, CTAC adsorption on cement particles modifies pore structure, creating a more interconnected network that enhances permeability (Zhang et al., 2019). Concurrently, CTAC interferes with hydration kinetics, disrupting the formation of calcium silicate hydrate (C-S-H) and yielding a porous, less dense microstructure (</w:t>
      </w:r>
      <w:proofErr w:type="spellStart"/>
      <w:r w:rsidRPr="00FC76AF">
        <w:rPr>
          <w:rFonts w:asciiTheme="majorBidi" w:hAnsiTheme="majorBidi" w:cstheme="majorBidi"/>
          <w:color w:val="000000" w:themeColor="text1"/>
        </w:rPr>
        <w:t>Snoeck</w:t>
      </w:r>
      <w:proofErr w:type="spellEnd"/>
      <w:r w:rsidRPr="00FC76AF">
        <w:rPr>
          <w:rFonts w:asciiTheme="majorBidi" w:hAnsiTheme="majorBidi" w:cstheme="majorBidi"/>
          <w:color w:val="000000" w:themeColor="text1"/>
        </w:rPr>
        <w:t xml:space="preserve"> et al., 2017). At higher concentrations, surfactant saturation within pores further inhibits hydration, amplifying porosity (</w:t>
      </w:r>
      <w:proofErr w:type="spellStart"/>
      <w:r w:rsidRPr="00FC76AF">
        <w:rPr>
          <w:rFonts w:asciiTheme="majorBidi" w:hAnsiTheme="majorBidi" w:cstheme="majorBidi"/>
          <w:color w:val="000000" w:themeColor="text1"/>
        </w:rPr>
        <w:t>Gholizadeh-Vayghan</w:t>
      </w:r>
      <w:proofErr w:type="spellEnd"/>
      <w:r w:rsidRPr="00FC76AF">
        <w:rPr>
          <w:rFonts w:asciiTheme="majorBidi" w:hAnsiTheme="majorBidi" w:cstheme="majorBidi"/>
          <w:color w:val="000000" w:themeColor="text1"/>
        </w:rPr>
        <w:t xml:space="preserve"> et al., 2020). Additionally, CTAC’s </w:t>
      </w:r>
      <w:proofErr w:type="spellStart"/>
      <w:r w:rsidRPr="00FC76AF">
        <w:rPr>
          <w:rFonts w:asciiTheme="majorBidi" w:hAnsiTheme="majorBidi" w:cstheme="majorBidi"/>
          <w:color w:val="000000" w:themeColor="text1"/>
        </w:rPr>
        <w:t>amphiphilic</w:t>
      </w:r>
      <w:proofErr w:type="spellEnd"/>
      <w:r w:rsidRPr="00FC76AF">
        <w:rPr>
          <w:rFonts w:asciiTheme="majorBidi" w:hAnsiTheme="majorBidi" w:cstheme="majorBidi"/>
          <w:color w:val="000000" w:themeColor="text1"/>
        </w:rPr>
        <w:t xml:space="preserve"> nature alters the water-cement interface, reducing surface tension and promoting uneven water distribution, which exacerbates structural inhomogeneity (</w:t>
      </w:r>
      <w:proofErr w:type="spellStart"/>
      <w:r w:rsidRPr="00FC76AF">
        <w:rPr>
          <w:rFonts w:asciiTheme="majorBidi" w:hAnsiTheme="majorBidi" w:cstheme="majorBidi"/>
          <w:color w:val="000000" w:themeColor="text1"/>
        </w:rPr>
        <w:t>Bentz</w:t>
      </w:r>
      <w:proofErr w:type="spellEnd"/>
      <w:r w:rsidRPr="00FC76AF">
        <w:rPr>
          <w:rFonts w:asciiTheme="majorBidi" w:hAnsiTheme="majorBidi" w:cstheme="majorBidi"/>
          <w:color w:val="000000" w:themeColor="text1"/>
        </w:rPr>
        <w:t xml:space="preserve"> &amp; Ferraris, 2010). Despite this rise in water absorption, the observed range (2.1–6.8%) remains within acceptable limits for foam cement pastes, which typically exhibit 5–15% absorption due to their inherently porous nature (Jones &amp; McCarthy, 2005). To mitigate durability risks—such as freeze-thaw degradation or chemical ingress—while retaining thermal benefits, optimizing CTAC dosage (e.g., 0.1–0.5%) is critical. This balance ensures minimal water uptake without sacrificing insulation efficiency, underscoring the necessity of tailoring surfactant chemistry to harmonize functional performance with long-term resilience in energy-efficient construction materials.</w:t>
      </w:r>
    </w:p>
    <w:p w:rsidR="00187E6D" w:rsidRPr="00FC76AF" w:rsidRDefault="00187E6D" w:rsidP="00187E6D">
      <w:pPr>
        <w:pStyle w:val="Default"/>
        <w:jc w:val="both"/>
        <w:rPr>
          <w:rFonts w:asciiTheme="majorBidi" w:hAnsiTheme="majorBidi" w:cstheme="majorBidi"/>
          <w:color w:val="000000" w:themeColor="text1"/>
        </w:rPr>
      </w:pPr>
    </w:p>
    <w:p w:rsidR="00187E6D" w:rsidRPr="00FC76AF" w:rsidRDefault="00187E6D" w:rsidP="00187E6D">
      <w:pPr>
        <w:pStyle w:val="Default"/>
        <w:jc w:val="both"/>
        <w:rPr>
          <w:rFonts w:asciiTheme="majorBidi" w:hAnsiTheme="majorBidi" w:cstheme="majorBidi"/>
          <w:color w:val="000000" w:themeColor="text1"/>
        </w:rPr>
      </w:pPr>
    </w:p>
    <w:p w:rsidR="00187E6D" w:rsidRPr="00FC76AF" w:rsidRDefault="00187E6D" w:rsidP="00187E6D">
      <w:pPr>
        <w:pStyle w:val="Default"/>
        <w:jc w:val="both"/>
        <w:rPr>
          <w:rFonts w:asciiTheme="majorBidi" w:hAnsiTheme="majorBidi" w:cstheme="majorBidi"/>
          <w:color w:val="000000" w:themeColor="text1"/>
        </w:rPr>
      </w:pPr>
    </w:p>
    <w:p w:rsidR="00187E6D" w:rsidRPr="00FC76AF" w:rsidRDefault="00187E6D" w:rsidP="00187E6D">
      <w:pPr>
        <w:pStyle w:val="Default"/>
        <w:jc w:val="both"/>
        <w:rPr>
          <w:rFonts w:asciiTheme="majorBidi" w:hAnsiTheme="majorBidi" w:cstheme="majorBidi"/>
          <w:color w:val="000000" w:themeColor="text1"/>
        </w:rPr>
      </w:pPr>
    </w:p>
    <w:p w:rsidR="00187E6D" w:rsidRPr="00FC76AF" w:rsidRDefault="00187E6D" w:rsidP="00187E6D">
      <w:pPr>
        <w:pStyle w:val="Default"/>
        <w:jc w:val="both"/>
        <w:rPr>
          <w:rFonts w:asciiTheme="majorBidi" w:hAnsiTheme="majorBidi" w:cstheme="majorBidi"/>
          <w:color w:val="000000" w:themeColor="text1"/>
        </w:rPr>
      </w:pPr>
    </w:p>
    <w:p w:rsidR="00D95502" w:rsidRPr="00FC76AF" w:rsidRDefault="00786B24" w:rsidP="00D95502">
      <w:pPr>
        <w:pStyle w:val="Default"/>
        <w:jc w:val="both"/>
        <w:rPr>
          <w:rFonts w:asciiTheme="majorBidi" w:hAnsiTheme="majorBidi" w:cstheme="majorBidi"/>
          <w:color w:val="000000" w:themeColor="text1"/>
        </w:rPr>
      </w:pPr>
      <w:r w:rsidRPr="00FC76AF">
        <w:rPr>
          <w:rFonts w:asciiTheme="majorBidi" w:hAnsiTheme="majorBidi" w:cstheme="majorBidi"/>
          <w:noProof/>
          <w:color w:val="000000" w:themeColor="text1"/>
        </w:rPr>
        <w:lastRenderedPageBreak/>
        <w:drawing>
          <wp:inline distT="0" distB="0" distL="0" distR="0" wp14:anchorId="3B6B7D47" wp14:editId="25B1D1E1">
            <wp:extent cx="5274310" cy="4037965"/>
            <wp:effectExtent l="0" t="0" r="2540" b="63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4037965"/>
                    </a:xfrm>
                    <a:prstGeom prst="rect">
                      <a:avLst/>
                    </a:prstGeom>
                    <a:noFill/>
                    <a:ln>
                      <a:noFill/>
                    </a:ln>
                  </pic:spPr>
                </pic:pic>
              </a:graphicData>
            </a:graphic>
          </wp:inline>
        </w:drawing>
      </w:r>
    </w:p>
    <w:p w:rsidR="00D95502" w:rsidRPr="00FC76AF" w:rsidRDefault="00D95502" w:rsidP="00D95502">
      <w:pPr>
        <w:pStyle w:val="Default"/>
        <w:jc w:val="both"/>
        <w:rPr>
          <w:rFonts w:asciiTheme="majorBidi" w:hAnsiTheme="majorBidi" w:cstheme="majorBidi"/>
          <w:color w:val="000000" w:themeColor="text1"/>
        </w:rPr>
      </w:pPr>
    </w:p>
    <w:p w:rsidR="00585B53" w:rsidRPr="00FC76AF" w:rsidRDefault="00AD1BC4" w:rsidP="00AD1BC4">
      <w:pPr>
        <w:pStyle w:val="Default"/>
        <w:rPr>
          <w:rFonts w:asciiTheme="majorBidi" w:hAnsiTheme="majorBidi" w:cstheme="majorBidi"/>
          <w:color w:val="000000" w:themeColor="text1"/>
        </w:rPr>
      </w:pPr>
      <w:r w:rsidRPr="00FC76AF">
        <w:rPr>
          <w:rFonts w:asciiTheme="majorBidi" w:hAnsiTheme="majorBidi" w:cstheme="majorBidi"/>
          <w:b/>
          <w:bCs/>
          <w:color w:val="000000" w:themeColor="text1"/>
        </w:rPr>
        <w:t>Figure 8.</w:t>
      </w:r>
      <w:r w:rsidRPr="00FC76AF">
        <w:rPr>
          <w:rFonts w:asciiTheme="majorBidi" w:hAnsiTheme="majorBidi" w:cstheme="majorBidi"/>
          <w:color w:val="000000" w:themeColor="text1"/>
        </w:rPr>
        <w:t> Dose-dependent increase in water absorption of CTAC-modified cementitious pastes after 28 days of hydration. </w:t>
      </w:r>
    </w:p>
    <w:p w:rsidR="00AD1BC4" w:rsidRPr="00FC76AF" w:rsidRDefault="00AD1BC4" w:rsidP="00AD1BC4">
      <w:pPr>
        <w:pStyle w:val="Default"/>
        <w:rPr>
          <w:rFonts w:asciiTheme="majorBidi" w:hAnsiTheme="majorBidi" w:cstheme="majorBidi"/>
          <w:color w:val="000000" w:themeColor="text1"/>
        </w:rPr>
      </w:pPr>
    </w:p>
    <w:p w:rsidR="00AD1BC4" w:rsidRPr="00FC76AF" w:rsidRDefault="00AD1BC4" w:rsidP="00AD1BC4">
      <w:pPr>
        <w:pStyle w:val="Default"/>
        <w:rPr>
          <w:rFonts w:asciiTheme="majorBidi" w:hAnsiTheme="majorBidi" w:cstheme="majorBidi"/>
          <w:color w:val="000000" w:themeColor="text1"/>
        </w:rPr>
      </w:pPr>
    </w:p>
    <w:p w:rsidR="00585B53" w:rsidRPr="00FC76AF" w:rsidRDefault="00585B53" w:rsidP="00585B53">
      <w:pPr>
        <w:pStyle w:val="Default"/>
        <w:rPr>
          <w:rFonts w:asciiTheme="majorBidi" w:hAnsiTheme="majorBidi" w:cstheme="majorBidi"/>
          <w:b/>
          <w:bCs/>
          <w:color w:val="000000" w:themeColor="text1"/>
        </w:rPr>
      </w:pPr>
      <w:r w:rsidRPr="00FC76AF">
        <w:rPr>
          <w:rFonts w:asciiTheme="majorBidi" w:hAnsiTheme="majorBidi" w:cstheme="majorBidi"/>
          <w:b/>
          <w:bCs/>
          <w:color w:val="000000" w:themeColor="text1"/>
        </w:rPr>
        <w:t>Conclusion</w:t>
      </w:r>
    </w:p>
    <w:p w:rsidR="00585B53" w:rsidRPr="00FC76AF" w:rsidRDefault="00585B53" w:rsidP="00891C2F">
      <w:pPr>
        <w:pStyle w:val="Default"/>
        <w:jc w:val="both"/>
        <w:rPr>
          <w:rFonts w:asciiTheme="majorBidi" w:hAnsiTheme="majorBidi" w:cstheme="majorBidi"/>
          <w:color w:val="000000" w:themeColor="text1"/>
        </w:rPr>
      </w:pPr>
      <w:r w:rsidRPr="00FC76AF">
        <w:rPr>
          <w:rFonts w:asciiTheme="majorBidi" w:hAnsiTheme="majorBidi" w:cstheme="majorBidi"/>
          <w:color w:val="000000" w:themeColor="text1"/>
        </w:rPr>
        <w:t>The incorporation of CTAC as an air-entraining agent in cementitious pastes demonstrates a transformative capacity to enhance thermal insulation and reduce density through controlled porosity. However, this comes with inherent trade-offs: higher CTAC concentrations (&gt;1%) drastically reduce compressive strength and increase water absorption, posing durability risks. SEM analysis corroborates that CTAC modifies pore architecture, stabilizes air voids, and disrupts hydration kinetics, yielding a lightweight yet mechanically compromised matrix. The optimal CTAC dosage (0.5–1%) achieves a balance, offering 0.25–0.28 W·m⁻¹·K⁻¹ thermal conductivity while retaining 15–28 N·mm⁻² compressive strength—suitable for non-load-bearing insulation applications. Comparatively, CTAC-modified pastes exhibit higher conductivity than traditional insulators (e.g., polystyrene) but excel as dual-function structural-insulating materials. Future work should explore hybrid surfactants or pore-refining additives to mitigate water uptake and enhance durability. This research advances the development of sustainable, energy-efficient cementitious composites, emphasizing the critical role of surfactant chemistry in multifunctional material design.</w:t>
      </w:r>
    </w:p>
    <w:p w:rsidR="008C573E" w:rsidRPr="00FC76AF" w:rsidRDefault="008C573E" w:rsidP="00891C2F">
      <w:pPr>
        <w:pStyle w:val="Default"/>
        <w:jc w:val="both"/>
        <w:rPr>
          <w:rFonts w:asciiTheme="majorBidi" w:hAnsiTheme="majorBidi" w:cstheme="majorBidi"/>
          <w:color w:val="000000" w:themeColor="text1"/>
        </w:rPr>
      </w:pPr>
    </w:p>
    <w:p w:rsidR="008C573E" w:rsidRPr="00FC76AF" w:rsidRDefault="008C573E" w:rsidP="00891C2F">
      <w:pPr>
        <w:pStyle w:val="Default"/>
        <w:jc w:val="both"/>
        <w:rPr>
          <w:rFonts w:asciiTheme="majorBidi" w:hAnsiTheme="majorBidi" w:cstheme="majorBidi"/>
          <w:color w:val="000000" w:themeColor="text1"/>
        </w:rPr>
      </w:pPr>
    </w:p>
    <w:p w:rsidR="008C573E" w:rsidRPr="00FC76AF" w:rsidRDefault="008C573E" w:rsidP="00891C2F">
      <w:pPr>
        <w:pStyle w:val="Default"/>
        <w:jc w:val="both"/>
        <w:rPr>
          <w:rFonts w:asciiTheme="majorBidi" w:hAnsiTheme="majorBidi" w:cstheme="majorBidi"/>
          <w:b/>
          <w:bCs/>
          <w:color w:val="000000" w:themeColor="text1"/>
        </w:rPr>
      </w:pPr>
      <w:r w:rsidRPr="00FC76AF">
        <w:rPr>
          <w:rFonts w:asciiTheme="majorBidi" w:hAnsiTheme="majorBidi" w:cstheme="majorBidi"/>
          <w:b/>
          <w:bCs/>
          <w:color w:val="000000" w:themeColor="text1"/>
        </w:rPr>
        <w:t xml:space="preserve">References </w:t>
      </w:r>
    </w:p>
    <w:p w:rsidR="00585B53" w:rsidRPr="00FC76AF" w:rsidRDefault="00585B53" w:rsidP="009A0C09">
      <w:pPr>
        <w:pStyle w:val="Default"/>
        <w:rPr>
          <w:rFonts w:asciiTheme="majorBidi" w:hAnsiTheme="majorBidi" w:cstheme="majorBidi"/>
          <w:b/>
          <w:bCs/>
          <w:color w:val="000000" w:themeColor="text1"/>
        </w:rPr>
      </w:pPr>
    </w:p>
    <w:p w:rsidR="00585B53" w:rsidRPr="00FC76AF" w:rsidRDefault="00585B53" w:rsidP="009A0C09">
      <w:pPr>
        <w:pStyle w:val="Default"/>
        <w:rPr>
          <w:rFonts w:asciiTheme="majorBidi" w:hAnsiTheme="majorBidi" w:cstheme="majorBidi"/>
          <w:color w:val="000000" w:themeColor="text1"/>
        </w:rPr>
      </w:pPr>
    </w:p>
    <w:p w:rsidR="006718EB" w:rsidRPr="00FC76AF" w:rsidRDefault="006718EB" w:rsidP="006718EB">
      <w:pPr>
        <w:bidi w:val="0"/>
        <w:spacing w:before="8" w:after="0" w:line="100" w:lineRule="exact"/>
        <w:jc w:val="center"/>
        <w:rPr>
          <w:rFonts w:asciiTheme="majorBidi" w:eastAsia="Times New Roman" w:hAnsiTheme="majorBidi" w:cstheme="majorBidi"/>
          <w:color w:val="000000" w:themeColor="text1"/>
          <w:sz w:val="24"/>
          <w:szCs w:val="24"/>
        </w:rPr>
      </w:pPr>
    </w:p>
    <w:p w:rsidR="00614B52" w:rsidRPr="00FC76AF" w:rsidRDefault="00614B52" w:rsidP="00614B52">
      <w:pPr>
        <w:pStyle w:val="a5"/>
        <w:numPr>
          <w:ilvl w:val="0"/>
          <w:numId w:val="9"/>
        </w:numPr>
        <w:spacing w:before="0" w:beforeAutospacing="0"/>
        <w:rPr>
          <w:rFonts w:asciiTheme="majorBidi" w:hAnsiTheme="majorBidi" w:cstheme="majorBidi"/>
          <w:color w:val="000000" w:themeColor="text1"/>
        </w:rPr>
      </w:pPr>
      <w:r w:rsidRPr="00FC76AF">
        <w:rPr>
          <w:rStyle w:val="a6"/>
          <w:rFonts w:asciiTheme="majorBidi" w:hAnsiTheme="majorBidi" w:cstheme="majorBidi"/>
          <w:b w:val="0"/>
          <w:bCs w:val="0"/>
          <w:color w:val="000000" w:themeColor="text1"/>
        </w:rPr>
        <w:lastRenderedPageBreak/>
        <w:t>ASTM C109/C109M-21</w:t>
      </w:r>
      <w:r w:rsidRPr="00FC76AF">
        <w:rPr>
          <w:rFonts w:asciiTheme="majorBidi" w:hAnsiTheme="majorBidi" w:cstheme="majorBidi"/>
          <w:color w:val="000000" w:themeColor="text1"/>
        </w:rPr>
        <w:t>:</w:t>
      </w:r>
      <w:r w:rsidRPr="00FC76AF">
        <w:rPr>
          <w:rFonts w:asciiTheme="majorBidi" w:hAnsiTheme="majorBidi" w:cstheme="majorBidi"/>
          <w:color w:val="000000" w:themeColor="text1"/>
        </w:rPr>
        <w:br/>
        <w:t>ASTM International. (2021). </w:t>
      </w:r>
      <w:r w:rsidRPr="00FC76AF">
        <w:rPr>
          <w:rStyle w:val="a7"/>
          <w:rFonts w:asciiTheme="majorBidi" w:hAnsiTheme="majorBidi" w:cstheme="majorBidi"/>
          <w:color w:val="000000" w:themeColor="text1"/>
        </w:rPr>
        <w:t xml:space="preserve">Standard test method for compressive strength of hydraulic cement mortars (using 2-in. or [50-mm] cube </w:t>
      </w:r>
      <w:r w:rsidR="00186500" w:rsidRPr="00FC76AF">
        <w:rPr>
          <w:rStyle w:val="a7"/>
          <w:rFonts w:asciiTheme="majorBidi" w:hAnsiTheme="majorBidi" w:cstheme="majorBidi"/>
          <w:color w:val="000000" w:themeColor="text1"/>
        </w:rPr>
        <w:t>sample</w:t>
      </w:r>
      <w:r w:rsidRPr="00FC76AF">
        <w:rPr>
          <w:rStyle w:val="a7"/>
          <w:rFonts w:asciiTheme="majorBidi" w:hAnsiTheme="majorBidi" w:cstheme="majorBidi"/>
          <w:color w:val="000000" w:themeColor="text1"/>
        </w:rPr>
        <w:t>s)</w:t>
      </w:r>
      <w:r w:rsidRPr="00FC76AF">
        <w:rPr>
          <w:rFonts w:asciiTheme="majorBidi" w:hAnsiTheme="majorBidi" w:cstheme="majorBidi"/>
          <w:color w:val="000000" w:themeColor="text1"/>
        </w:rPr>
        <w:t> (ASTM C109/C109M-21).</w:t>
      </w:r>
    </w:p>
    <w:p w:rsidR="00614B52" w:rsidRPr="00FC76AF" w:rsidRDefault="00614B52" w:rsidP="00614B52">
      <w:pPr>
        <w:pStyle w:val="a5"/>
        <w:numPr>
          <w:ilvl w:val="0"/>
          <w:numId w:val="9"/>
        </w:numPr>
        <w:spacing w:before="0" w:beforeAutospacing="0"/>
        <w:rPr>
          <w:rFonts w:asciiTheme="majorBidi" w:hAnsiTheme="majorBidi" w:cstheme="majorBidi"/>
          <w:color w:val="000000" w:themeColor="text1"/>
        </w:rPr>
      </w:pPr>
      <w:r w:rsidRPr="00FC76AF">
        <w:rPr>
          <w:rStyle w:val="a6"/>
          <w:rFonts w:asciiTheme="majorBidi" w:hAnsiTheme="majorBidi" w:cstheme="majorBidi"/>
          <w:b w:val="0"/>
          <w:bCs w:val="0"/>
          <w:color w:val="000000" w:themeColor="text1"/>
        </w:rPr>
        <w:t>ASTM C138/C138M-08</w:t>
      </w:r>
      <w:r w:rsidRPr="00FC76AF">
        <w:rPr>
          <w:rFonts w:asciiTheme="majorBidi" w:hAnsiTheme="majorBidi" w:cstheme="majorBidi"/>
          <w:color w:val="000000" w:themeColor="text1"/>
        </w:rPr>
        <w:t>:</w:t>
      </w:r>
      <w:r w:rsidRPr="00FC76AF">
        <w:rPr>
          <w:rFonts w:asciiTheme="majorBidi" w:hAnsiTheme="majorBidi" w:cstheme="majorBidi"/>
          <w:color w:val="000000" w:themeColor="text1"/>
        </w:rPr>
        <w:br/>
        <w:t>ASTM International. (2008). </w:t>
      </w:r>
      <w:r w:rsidRPr="00FC76AF">
        <w:rPr>
          <w:rStyle w:val="a7"/>
          <w:rFonts w:asciiTheme="majorBidi" w:hAnsiTheme="majorBidi" w:cstheme="majorBidi"/>
          <w:color w:val="000000" w:themeColor="text1"/>
        </w:rPr>
        <w:t>Standard test method for density (unit weight), yield, and air content (gravimetric) of concrete</w:t>
      </w:r>
      <w:r w:rsidRPr="00FC76AF">
        <w:rPr>
          <w:rFonts w:asciiTheme="majorBidi" w:hAnsiTheme="majorBidi" w:cstheme="majorBidi"/>
          <w:color w:val="000000" w:themeColor="text1"/>
        </w:rPr>
        <w:t> (ASTM C138/C138M-08).</w:t>
      </w:r>
    </w:p>
    <w:p w:rsidR="00614B52" w:rsidRPr="00FC76AF" w:rsidRDefault="00614B52" w:rsidP="00614B52">
      <w:pPr>
        <w:pStyle w:val="a5"/>
        <w:numPr>
          <w:ilvl w:val="0"/>
          <w:numId w:val="9"/>
        </w:numPr>
        <w:spacing w:before="0" w:beforeAutospacing="0"/>
        <w:rPr>
          <w:rFonts w:asciiTheme="majorBidi" w:hAnsiTheme="majorBidi" w:cstheme="majorBidi"/>
          <w:color w:val="000000" w:themeColor="text1"/>
        </w:rPr>
      </w:pPr>
      <w:r w:rsidRPr="00FC76AF">
        <w:rPr>
          <w:rStyle w:val="a6"/>
          <w:rFonts w:asciiTheme="majorBidi" w:hAnsiTheme="majorBidi" w:cstheme="majorBidi"/>
          <w:b w:val="0"/>
          <w:bCs w:val="0"/>
          <w:color w:val="000000" w:themeColor="text1"/>
        </w:rPr>
        <w:t>ASTM C177-19</w:t>
      </w:r>
      <w:r w:rsidRPr="00FC76AF">
        <w:rPr>
          <w:rFonts w:asciiTheme="majorBidi" w:hAnsiTheme="majorBidi" w:cstheme="majorBidi"/>
          <w:color w:val="000000" w:themeColor="text1"/>
        </w:rPr>
        <w:t>:</w:t>
      </w:r>
      <w:r w:rsidRPr="00FC76AF">
        <w:rPr>
          <w:rFonts w:asciiTheme="majorBidi" w:hAnsiTheme="majorBidi" w:cstheme="majorBidi"/>
          <w:color w:val="000000" w:themeColor="text1"/>
        </w:rPr>
        <w:br/>
        <w:t>ASTM International. (2019). </w:t>
      </w:r>
      <w:r w:rsidRPr="00FC76AF">
        <w:rPr>
          <w:rStyle w:val="a7"/>
          <w:rFonts w:asciiTheme="majorBidi" w:hAnsiTheme="majorBidi" w:cstheme="majorBidi"/>
          <w:color w:val="000000" w:themeColor="text1"/>
        </w:rPr>
        <w:t>Standard test method for steady-state heat flux measurements and thermal transmission properties by means of the guarded-hot-plate apparatus</w:t>
      </w:r>
      <w:r w:rsidRPr="00FC76AF">
        <w:rPr>
          <w:rFonts w:asciiTheme="majorBidi" w:hAnsiTheme="majorBidi" w:cstheme="majorBidi"/>
          <w:color w:val="000000" w:themeColor="text1"/>
        </w:rPr>
        <w:t> (ASTM C177-19).</w:t>
      </w:r>
    </w:p>
    <w:p w:rsidR="00614B52" w:rsidRPr="00FC76AF" w:rsidRDefault="00614B52" w:rsidP="00614B52">
      <w:pPr>
        <w:pStyle w:val="a5"/>
        <w:numPr>
          <w:ilvl w:val="0"/>
          <w:numId w:val="9"/>
        </w:numPr>
        <w:spacing w:before="0" w:beforeAutospacing="0"/>
        <w:rPr>
          <w:rFonts w:asciiTheme="majorBidi" w:hAnsiTheme="majorBidi" w:cstheme="majorBidi"/>
          <w:color w:val="000000" w:themeColor="text1"/>
        </w:rPr>
      </w:pPr>
      <w:r w:rsidRPr="00FC76AF">
        <w:rPr>
          <w:rStyle w:val="a6"/>
          <w:rFonts w:asciiTheme="majorBidi" w:hAnsiTheme="majorBidi" w:cstheme="majorBidi"/>
          <w:b w:val="0"/>
          <w:bCs w:val="0"/>
          <w:color w:val="000000" w:themeColor="text1"/>
        </w:rPr>
        <w:t>ASTM C642-21</w:t>
      </w:r>
      <w:r w:rsidRPr="00FC76AF">
        <w:rPr>
          <w:rFonts w:asciiTheme="majorBidi" w:hAnsiTheme="majorBidi" w:cstheme="majorBidi"/>
          <w:color w:val="000000" w:themeColor="text1"/>
        </w:rPr>
        <w:t>:</w:t>
      </w:r>
      <w:r w:rsidRPr="00FC76AF">
        <w:rPr>
          <w:rFonts w:asciiTheme="majorBidi" w:hAnsiTheme="majorBidi" w:cstheme="majorBidi"/>
          <w:color w:val="000000" w:themeColor="text1"/>
        </w:rPr>
        <w:br/>
        <w:t>ASTM International. (2021). </w:t>
      </w:r>
      <w:r w:rsidRPr="00FC76AF">
        <w:rPr>
          <w:rStyle w:val="a7"/>
          <w:rFonts w:asciiTheme="majorBidi" w:hAnsiTheme="majorBidi" w:cstheme="majorBidi"/>
          <w:color w:val="000000" w:themeColor="text1"/>
        </w:rPr>
        <w:t>Standard test method for density, absorption, and voids in hardened concrete</w:t>
      </w:r>
      <w:r w:rsidRPr="00FC76AF">
        <w:rPr>
          <w:rFonts w:asciiTheme="majorBidi" w:hAnsiTheme="majorBidi" w:cstheme="majorBidi"/>
          <w:color w:val="000000" w:themeColor="text1"/>
        </w:rPr>
        <w:t> (ASTM C642-21).</w:t>
      </w:r>
    </w:p>
    <w:p w:rsidR="00614B52" w:rsidRPr="00FC76AF" w:rsidRDefault="00614B52" w:rsidP="005036BA">
      <w:pPr>
        <w:pStyle w:val="a5"/>
        <w:numPr>
          <w:ilvl w:val="0"/>
          <w:numId w:val="9"/>
        </w:numPr>
        <w:spacing w:before="0" w:beforeAutospacing="0"/>
        <w:rPr>
          <w:rFonts w:asciiTheme="majorBidi" w:hAnsiTheme="majorBidi" w:cstheme="majorBidi"/>
          <w:color w:val="000000" w:themeColor="text1"/>
        </w:rPr>
      </w:pPr>
      <w:proofErr w:type="spellStart"/>
      <w:r w:rsidRPr="00FC76AF">
        <w:rPr>
          <w:rStyle w:val="a6"/>
          <w:rFonts w:asciiTheme="majorBidi" w:hAnsiTheme="majorBidi" w:cstheme="majorBidi"/>
          <w:b w:val="0"/>
          <w:bCs w:val="0"/>
          <w:color w:val="000000" w:themeColor="text1"/>
        </w:rPr>
        <w:t>Bentz</w:t>
      </w:r>
      <w:proofErr w:type="spellEnd"/>
      <w:r w:rsidRPr="00FC76AF">
        <w:rPr>
          <w:rStyle w:val="a6"/>
          <w:rFonts w:asciiTheme="majorBidi" w:hAnsiTheme="majorBidi" w:cstheme="majorBidi"/>
          <w:b w:val="0"/>
          <w:bCs w:val="0"/>
          <w:color w:val="000000" w:themeColor="text1"/>
        </w:rPr>
        <w:t>, D. P., &amp; Ferraris, C. F.</w:t>
      </w:r>
      <w:r w:rsidRPr="00FC76AF">
        <w:rPr>
          <w:rFonts w:asciiTheme="majorBidi" w:hAnsiTheme="majorBidi" w:cstheme="majorBidi"/>
          <w:color w:val="000000" w:themeColor="text1"/>
        </w:rPr>
        <w:t> (2010). Rheology and setting of high-volume fly ash mixtures. </w:t>
      </w:r>
      <w:r w:rsidRPr="00FC76AF">
        <w:rPr>
          <w:rStyle w:val="a7"/>
          <w:rFonts w:asciiTheme="majorBidi" w:hAnsiTheme="majorBidi" w:cstheme="majorBidi"/>
          <w:color w:val="000000" w:themeColor="text1"/>
        </w:rPr>
        <w:t>Cement and Concrete Composites, 32</w:t>
      </w:r>
      <w:r w:rsidRPr="00FC76AF">
        <w:rPr>
          <w:rFonts w:asciiTheme="majorBidi" w:hAnsiTheme="majorBidi" w:cstheme="majorBidi"/>
          <w:color w:val="000000" w:themeColor="text1"/>
        </w:rPr>
        <w:t>(4), 265–270. </w:t>
      </w:r>
      <w:hyperlink r:id="rId21" w:tgtFrame="_blank" w:history="1">
        <w:r w:rsidRPr="00FC76AF">
          <w:rPr>
            <w:rStyle w:val="Hyperlink"/>
            <w:rFonts w:asciiTheme="majorBidi" w:hAnsiTheme="majorBidi" w:cstheme="majorBidi"/>
            <w:color w:val="000000" w:themeColor="text1"/>
          </w:rPr>
          <w:t>https://doi.org/10.1016/j.cemconcomp.2010.03.001</w:t>
        </w:r>
      </w:hyperlink>
    </w:p>
    <w:p w:rsidR="00614B52" w:rsidRPr="00FC76AF" w:rsidRDefault="00614B52" w:rsidP="005036BA">
      <w:pPr>
        <w:pStyle w:val="a5"/>
        <w:numPr>
          <w:ilvl w:val="0"/>
          <w:numId w:val="9"/>
        </w:numPr>
        <w:spacing w:before="0" w:beforeAutospacing="0"/>
        <w:rPr>
          <w:rFonts w:asciiTheme="majorBidi" w:hAnsiTheme="majorBidi" w:cstheme="majorBidi"/>
          <w:color w:val="000000" w:themeColor="text1"/>
        </w:rPr>
      </w:pPr>
      <w:proofErr w:type="spellStart"/>
      <w:r w:rsidRPr="00FC76AF">
        <w:rPr>
          <w:rStyle w:val="a6"/>
          <w:rFonts w:asciiTheme="majorBidi" w:hAnsiTheme="majorBidi" w:cstheme="majorBidi"/>
          <w:b w:val="0"/>
          <w:bCs w:val="0"/>
          <w:color w:val="000000" w:themeColor="text1"/>
        </w:rPr>
        <w:t>Bessenouci</w:t>
      </w:r>
      <w:proofErr w:type="spellEnd"/>
      <w:r w:rsidRPr="00FC76AF">
        <w:rPr>
          <w:rStyle w:val="a6"/>
          <w:rFonts w:asciiTheme="majorBidi" w:hAnsiTheme="majorBidi" w:cstheme="majorBidi"/>
          <w:b w:val="0"/>
          <w:bCs w:val="0"/>
          <w:color w:val="000000" w:themeColor="text1"/>
        </w:rPr>
        <w:t>, H.</w:t>
      </w:r>
      <w:r w:rsidRPr="00FC76AF">
        <w:rPr>
          <w:rFonts w:asciiTheme="majorBidi" w:hAnsiTheme="majorBidi" w:cstheme="majorBidi"/>
          <w:color w:val="000000" w:themeColor="text1"/>
        </w:rPr>
        <w:t> (2011). The impact of porosity on the thermal properties of building materials. </w:t>
      </w:r>
      <w:r w:rsidRPr="00FC76AF">
        <w:rPr>
          <w:rStyle w:val="a7"/>
          <w:rFonts w:asciiTheme="majorBidi" w:hAnsiTheme="majorBidi" w:cstheme="majorBidi"/>
          <w:color w:val="000000" w:themeColor="text1"/>
        </w:rPr>
        <w:t>Journal of Materials Science, 46</w:t>
      </w:r>
      <w:r w:rsidRPr="00FC76AF">
        <w:rPr>
          <w:rFonts w:asciiTheme="majorBidi" w:hAnsiTheme="majorBidi" w:cstheme="majorBidi"/>
          <w:color w:val="000000" w:themeColor="text1"/>
        </w:rPr>
        <w:t>(15), 5105–5114. </w:t>
      </w:r>
      <w:hyperlink r:id="rId22" w:tgtFrame="_blank" w:history="1">
        <w:r w:rsidRPr="00FC76AF">
          <w:rPr>
            <w:rStyle w:val="Hyperlink"/>
            <w:rFonts w:asciiTheme="majorBidi" w:hAnsiTheme="majorBidi" w:cstheme="majorBidi"/>
            <w:color w:val="000000" w:themeColor="text1"/>
          </w:rPr>
          <w:t>https://doi.org/10.1007/s10853-011-5574-9</w:t>
        </w:r>
      </w:hyperlink>
    </w:p>
    <w:p w:rsidR="00614B52" w:rsidRPr="00FC76AF" w:rsidRDefault="00614B52" w:rsidP="005036BA">
      <w:pPr>
        <w:pStyle w:val="a5"/>
        <w:numPr>
          <w:ilvl w:val="0"/>
          <w:numId w:val="9"/>
        </w:numPr>
        <w:spacing w:before="0" w:beforeAutospacing="0"/>
        <w:rPr>
          <w:rFonts w:asciiTheme="majorBidi" w:hAnsiTheme="majorBidi" w:cstheme="majorBidi"/>
          <w:color w:val="000000" w:themeColor="text1"/>
        </w:rPr>
      </w:pPr>
      <w:proofErr w:type="spellStart"/>
      <w:r w:rsidRPr="00FC76AF">
        <w:rPr>
          <w:rStyle w:val="a6"/>
          <w:rFonts w:asciiTheme="majorBidi" w:hAnsiTheme="majorBidi" w:cstheme="majorBidi"/>
          <w:b w:val="0"/>
          <w:bCs w:val="0"/>
          <w:color w:val="000000" w:themeColor="text1"/>
        </w:rPr>
        <w:t>Bremner</w:t>
      </w:r>
      <w:proofErr w:type="spellEnd"/>
      <w:r w:rsidRPr="00FC76AF">
        <w:rPr>
          <w:rStyle w:val="a6"/>
          <w:rFonts w:asciiTheme="majorBidi" w:hAnsiTheme="majorBidi" w:cstheme="majorBidi"/>
          <w:b w:val="0"/>
          <w:bCs w:val="0"/>
          <w:color w:val="000000" w:themeColor="text1"/>
        </w:rPr>
        <w:t xml:space="preserve">, T. W., </w:t>
      </w:r>
      <w:proofErr w:type="spellStart"/>
      <w:r w:rsidRPr="00FC76AF">
        <w:rPr>
          <w:rStyle w:val="a6"/>
          <w:rFonts w:asciiTheme="majorBidi" w:hAnsiTheme="majorBidi" w:cstheme="majorBidi"/>
          <w:b w:val="0"/>
          <w:bCs w:val="0"/>
          <w:color w:val="000000" w:themeColor="text1"/>
        </w:rPr>
        <w:t>Malhotra</w:t>
      </w:r>
      <w:proofErr w:type="spellEnd"/>
      <w:r w:rsidRPr="00FC76AF">
        <w:rPr>
          <w:rStyle w:val="a6"/>
          <w:rFonts w:asciiTheme="majorBidi" w:hAnsiTheme="majorBidi" w:cstheme="majorBidi"/>
          <w:b w:val="0"/>
          <w:bCs w:val="0"/>
          <w:color w:val="000000" w:themeColor="text1"/>
        </w:rPr>
        <w:t xml:space="preserve">, V. M., &amp; </w:t>
      </w:r>
      <w:proofErr w:type="spellStart"/>
      <w:r w:rsidRPr="00FC76AF">
        <w:rPr>
          <w:rStyle w:val="a6"/>
          <w:rFonts w:asciiTheme="majorBidi" w:hAnsiTheme="majorBidi" w:cstheme="majorBidi"/>
          <w:b w:val="0"/>
          <w:bCs w:val="0"/>
          <w:color w:val="000000" w:themeColor="text1"/>
        </w:rPr>
        <w:t>Bilodeau</w:t>
      </w:r>
      <w:proofErr w:type="spellEnd"/>
      <w:r w:rsidRPr="00FC76AF">
        <w:rPr>
          <w:rStyle w:val="a6"/>
          <w:rFonts w:asciiTheme="majorBidi" w:hAnsiTheme="majorBidi" w:cstheme="majorBidi"/>
          <w:b w:val="0"/>
          <w:bCs w:val="0"/>
          <w:color w:val="000000" w:themeColor="text1"/>
        </w:rPr>
        <w:t>, A.</w:t>
      </w:r>
      <w:r w:rsidRPr="00FC76AF">
        <w:rPr>
          <w:rFonts w:asciiTheme="majorBidi" w:hAnsiTheme="majorBidi" w:cstheme="majorBidi"/>
          <w:color w:val="000000" w:themeColor="text1"/>
        </w:rPr>
        <w:t> (2000). Thermal conductivity of cementitious materials. </w:t>
      </w:r>
      <w:r w:rsidRPr="00FC76AF">
        <w:rPr>
          <w:rStyle w:val="a7"/>
          <w:rFonts w:asciiTheme="majorBidi" w:hAnsiTheme="majorBidi" w:cstheme="majorBidi"/>
          <w:color w:val="000000" w:themeColor="text1"/>
        </w:rPr>
        <w:t>Cement and Concrete Research, 30</w:t>
      </w:r>
      <w:r w:rsidRPr="00FC76AF">
        <w:rPr>
          <w:rFonts w:asciiTheme="majorBidi" w:hAnsiTheme="majorBidi" w:cstheme="majorBidi"/>
          <w:color w:val="000000" w:themeColor="text1"/>
        </w:rPr>
        <w:t>(4), 649–654. </w:t>
      </w:r>
      <w:hyperlink r:id="rId23" w:tgtFrame="_blank" w:history="1">
        <w:r w:rsidRPr="00FC76AF">
          <w:rPr>
            <w:rStyle w:val="Hyperlink"/>
            <w:rFonts w:asciiTheme="majorBidi" w:hAnsiTheme="majorBidi" w:cstheme="majorBidi"/>
            <w:color w:val="000000" w:themeColor="text1"/>
          </w:rPr>
          <w:t>https://doi.org/10.1016/S0008-8846(00)00225-3</w:t>
        </w:r>
      </w:hyperlink>
    </w:p>
    <w:p w:rsidR="00614B52" w:rsidRPr="00FC76AF" w:rsidRDefault="00614B52" w:rsidP="005036BA">
      <w:pPr>
        <w:pStyle w:val="a5"/>
        <w:numPr>
          <w:ilvl w:val="0"/>
          <w:numId w:val="9"/>
        </w:numPr>
        <w:spacing w:before="0" w:beforeAutospacing="0"/>
        <w:rPr>
          <w:rFonts w:asciiTheme="majorBidi" w:hAnsiTheme="majorBidi" w:cstheme="majorBidi"/>
          <w:color w:val="000000" w:themeColor="text1"/>
        </w:rPr>
      </w:pPr>
      <w:proofErr w:type="spellStart"/>
      <w:r w:rsidRPr="00FC76AF">
        <w:rPr>
          <w:rStyle w:val="a6"/>
          <w:rFonts w:asciiTheme="majorBidi" w:hAnsiTheme="majorBidi" w:cstheme="majorBidi"/>
          <w:b w:val="0"/>
          <w:bCs w:val="0"/>
          <w:color w:val="000000" w:themeColor="text1"/>
        </w:rPr>
        <w:t>Bumanis</w:t>
      </w:r>
      <w:proofErr w:type="spellEnd"/>
      <w:r w:rsidRPr="00FC76AF">
        <w:rPr>
          <w:rStyle w:val="a6"/>
          <w:rFonts w:asciiTheme="majorBidi" w:hAnsiTheme="majorBidi" w:cstheme="majorBidi"/>
          <w:b w:val="0"/>
          <w:bCs w:val="0"/>
          <w:color w:val="000000" w:themeColor="text1"/>
        </w:rPr>
        <w:t>, G.</w:t>
      </w:r>
      <w:r w:rsidRPr="00FC76AF">
        <w:rPr>
          <w:rFonts w:asciiTheme="majorBidi" w:hAnsiTheme="majorBidi" w:cstheme="majorBidi"/>
          <w:color w:val="000000" w:themeColor="text1"/>
        </w:rPr>
        <w:t> (2013). Lightweight concrete with improved thermal insulation properties. </w:t>
      </w:r>
      <w:r w:rsidRPr="00FC76AF">
        <w:rPr>
          <w:rStyle w:val="a7"/>
          <w:rFonts w:asciiTheme="majorBidi" w:hAnsiTheme="majorBidi" w:cstheme="majorBidi"/>
          <w:color w:val="000000" w:themeColor="text1"/>
        </w:rPr>
        <w:t>Journal of Civil Engineering and Management, 19</w:t>
      </w:r>
      <w:r w:rsidRPr="00FC76AF">
        <w:rPr>
          <w:rFonts w:asciiTheme="majorBidi" w:hAnsiTheme="majorBidi" w:cstheme="majorBidi"/>
          <w:color w:val="000000" w:themeColor="text1"/>
        </w:rPr>
        <w:t>(5), 619–626. </w:t>
      </w:r>
      <w:hyperlink r:id="rId24" w:tgtFrame="_blank" w:history="1">
        <w:r w:rsidRPr="00FC76AF">
          <w:rPr>
            <w:rStyle w:val="Hyperlink"/>
            <w:rFonts w:asciiTheme="majorBidi" w:hAnsiTheme="majorBidi" w:cstheme="majorBidi"/>
            <w:color w:val="000000" w:themeColor="text1"/>
          </w:rPr>
          <w:t>https://doi.org/10.3846/13923730.2013.799093</w:t>
        </w:r>
      </w:hyperlink>
    </w:p>
    <w:p w:rsidR="00614B52" w:rsidRPr="00FC76AF" w:rsidRDefault="00614B52" w:rsidP="005036BA">
      <w:pPr>
        <w:pStyle w:val="a5"/>
        <w:numPr>
          <w:ilvl w:val="0"/>
          <w:numId w:val="9"/>
        </w:numPr>
        <w:spacing w:before="0" w:beforeAutospacing="0"/>
        <w:rPr>
          <w:rFonts w:asciiTheme="majorBidi" w:hAnsiTheme="majorBidi" w:cstheme="majorBidi"/>
          <w:color w:val="000000" w:themeColor="text1"/>
        </w:rPr>
      </w:pPr>
      <w:proofErr w:type="spellStart"/>
      <w:r w:rsidRPr="00FC76AF">
        <w:rPr>
          <w:rStyle w:val="a6"/>
          <w:rFonts w:asciiTheme="majorBidi" w:hAnsiTheme="majorBidi" w:cstheme="majorBidi"/>
          <w:b w:val="0"/>
          <w:bCs w:val="0"/>
          <w:color w:val="000000" w:themeColor="text1"/>
        </w:rPr>
        <w:t>Gholizadeh-Vayghan</w:t>
      </w:r>
      <w:proofErr w:type="spellEnd"/>
      <w:r w:rsidRPr="00FC76AF">
        <w:rPr>
          <w:rStyle w:val="a6"/>
          <w:rFonts w:asciiTheme="majorBidi" w:hAnsiTheme="majorBidi" w:cstheme="majorBidi"/>
          <w:b w:val="0"/>
          <w:bCs w:val="0"/>
          <w:color w:val="000000" w:themeColor="text1"/>
        </w:rPr>
        <w:t xml:space="preserve">, A., </w:t>
      </w:r>
      <w:proofErr w:type="spellStart"/>
      <w:r w:rsidRPr="00FC76AF">
        <w:rPr>
          <w:rStyle w:val="a6"/>
          <w:rFonts w:asciiTheme="majorBidi" w:hAnsiTheme="majorBidi" w:cstheme="majorBidi"/>
          <w:b w:val="0"/>
          <w:bCs w:val="0"/>
          <w:color w:val="000000" w:themeColor="text1"/>
        </w:rPr>
        <w:t>Masoumi</w:t>
      </w:r>
      <w:proofErr w:type="spellEnd"/>
      <w:r w:rsidRPr="00FC76AF">
        <w:rPr>
          <w:rStyle w:val="a6"/>
          <w:rFonts w:asciiTheme="majorBidi" w:hAnsiTheme="majorBidi" w:cstheme="majorBidi"/>
          <w:b w:val="0"/>
          <w:bCs w:val="0"/>
          <w:color w:val="000000" w:themeColor="text1"/>
        </w:rPr>
        <w:t xml:space="preserve">, S., &amp; </w:t>
      </w:r>
      <w:proofErr w:type="spellStart"/>
      <w:r w:rsidRPr="00FC76AF">
        <w:rPr>
          <w:rStyle w:val="a6"/>
          <w:rFonts w:asciiTheme="majorBidi" w:hAnsiTheme="majorBidi" w:cstheme="majorBidi"/>
          <w:b w:val="0"/>
          <w:bCs w:val="0"/>
          <w:color w:val="000000" w:themeColor="text1"/>
        </w:rPr>
        <w:t>Shekarchi</w:t>
      </w:r>
      <w:proofErr w:type="spellEnd"/>
      <w:r w:rsidRPr="00FC76AF">
        <w:rPr>
          <w:rStyle w:val="a6"/>
          <w:rFonts w:asciiTheme="majorBidi" w:hAnsiTheme="majorBidi" w:cstheme="majorBidi"/>
          <w:b w:val="0"/>
          <w:bCs w:val="0"/>
          <w:color w:val="000000" w:themeColor="text1"/>
        </w:rPr>
        <w:t>, M.</w:t>
      </w:r>
      <w:r w:rsidRPr="00FC76AF">
        <w:rPr>
          <w:rFonts w:asciiTheme="majorBidi" w:hAnsiTheme="majorBidi" w:cstheme="majorBidi"/>
          <w:color w:val="000000" w:themeColor="text1"/>
        </w:rPr>
        <w:t> (2020). Effect of surfactants on the hydration and durability of cementitious materials. </w:t>
      </w:r>
      <w:r w:rsidRPr="00FC76AF">
        <w:rPr>
          <w:rStyle w:val="a7"/>
          <w:rFonts w:asciiTheme="majorBidi" w:hAnsiTheme="majorBidi" w:cstheme="majorBidi"/>
          <w:color w:val="000000" w:themeColor="text1"/>
        </w:rPr>
        <w:t>Construction and Building Materials, 247</w:t>
      </w:r>
      <w:r w:rsidRPr="00FC76AF">
        <w:rPr>
          <w:rFonts w:asciiTheme="majorBidi" w:hAnsiTheme="majorBidi" w:cstheme="majorBidi"/>
          <w:color w:val="000000" w:themeColor="text1"/>
        </w:rPr>
        <w:t>, 118496. </w:t>
      </w:r>
      <w:hyperlink r:id="rId25" w:tgtFrame="_blank" w:history="1">
        <w:r w:rsidRPr="00FC76AF">
          <w:rPr>
            <w:rStyle w:val="Hyperlink"/>
            <w:rFonts w:asciiTheme="majorBidi" w:hAnsiTheme="majorBidi" w:cstheme="majorBidi"/>
            <w:color w:val="000000" w:themeColor="text1"/>
          </w:rPr>
          <w:t>https://doi.org/10.1016/j.conbuildmat.2020.118496</w:t>
        </w:r>
      </w:hyperlink>
    </w:p>
    <w:p w:rsidR="00614B52" w:rsidRPr="00FC76AF" w:rsidRDefault="00614B52" w:rsidP="005036BA">
      <w:pPr>
        <w:pStyle w:val="a5"/>
        <w:numPr>
          <w:ilvl w:val="0"/>
          <w:numId w:val="9"/>
        </w:numPr>
        <w:spacing w:before="0" w:beforeAutospacing="0"/>
        <w:rPr>
          <w:rFonts w:asciiTheme="majorBidi" w:hAnsiTheme="majorBidi" w:cstheme="majorBidi"/>
          <w:color w:val="000000" w:themeColor="text1"/>
        </w:rPr>
      </w:pPr>
      <w:r w:rsidRPr="00FC76AF">
        <w:rPr>
          <w:rStyle w:val="a6"/>
          <w:rFonts w:asciiTheme="majorBidi" w:hAnsiTheme="majorBidi" w:cstheme="majorBidi"/>
          <w:b w:val="0"/>
          <w:bCs w:val="0"/>
          <w:color w:val="000000" w:themeColor="text1"/>
        </w:rPr>
        <w:t>Harvey, L. D. D.</w:t>
      </w:r>
      <w:r w:rsidRPr="00FC76AF">
        <w:rPr>
          <w:rFonts w:asciiTheme="majorBidi" w:hAnsiTheme="majorBidi" w:cstheme="majorBidi"/>
          <w:color w:val="000000" w:themeColor="text1"/>
        </w:rPr>
        <w:t> (2009). Reducing energy use in buildings: How much, and at what cost? </w:t>
      </w:r>
      <w:r w:rsidRPr="00FC76AF">
        <w:rPr>
          <w:rStyle w:val="a7"/>
          <w:rFonts w:asciiTheme="majorBidi" w:hAnsiTheme="majorBidi" w:cstheme="majorBidi"/>
          <w:color w:val="000000" w:themeColor="text1"/>
        </w:rPr>
        <w:t>Science and Public Policy, 36</w:t>
      </w:r>
      <w:r w:rsidRPr="00FC76AF">
        <w:rPr>
          <w:rFonts w:asciiTheme="majorBidi" w:hAnsiTheme="majorBidi" w:cstheme="majorBidi"/>
          <w:color w:val="000000" w:themeColor="text1"/>
        </w:rPr>
        <w:t>(1), 19–28. </w:t>
      </w:r>
      <w:hyperlink r:id="rId26" w:tgtFrame="_blank" w:history="1">
        <w:r w:rsidRPr="00FC76AF">
          <w:rPr>
            <w:rStyle w:val="Hyperlink"/>
            <w:rFonts w:asciiTheme="majorBidi" w:hAnsiTheme="majorBidi" w:cstheme="majorBidi"/>
            <w:color w:val="000000" w:themeColor="text1"/>
          </w:rPr>
          <w:t>https://doi.org/10.3152/030234209X415573</w:t>
        </w:r>
      </w:hyperlink>
    </w:p>
    <w:p w:rsidR="00614B52" w:rsidRPr="00FC76AF" w:rsidRDefault="00614B52" w:rsidP="00782716">
      <w:pPr>
        <w:pStyle w:val="a5"/>
        <w:numPr>
          <w:ilvl w:val="0"/>
          <w:numId w:val="9"/>
        </w:numPr>
        <w:spacing w:before="0" w:beforeAutospacing="0"/>
        <w:rPr>
          <w:rFonts w:asciiTheme="majorBidi" w:eastAsiaTheme="minorHAnsi" w:hAnsiTheme="majorBidi" w:cstheme="majorBidi"/>
          <w:color w:val="000000" w:themeColor="text1"/>
        </w:rPr>
      </w:pPr>
      <w:proofErr w:type="spellStart"/>
      <w:r w:rsidRPr="00FC76AF">
        <w:rPr>
          <w:rFonts w:asciiTheme="majorBidi" w:eastAsiaTheme="minorHAnsi" w:hAnsiTheme="majorBidi" w:cstheme="majorBidi"/>
          <w:color w:val="000000" w:themeColor="text1"/>
        </w:rPr>
        <w:t>Jelle</w:t>
      </w:r>
      <w:proofErr w:type="spellEnd"/>
      <w:r w:rsidRPr="00FC76AF">
        <w:rPr>
          <w:rFonts w:asciiTheme="majorBidi" w:eastAsiaTheme="minorHAnsi" w:hAnsiTheme="majorBidi" w:cstheme="majorBidi"/>
          <w:color w:val="000000" w:themeColor="text1"/>
        </w:rPr>
        <w:t xml:space="preserve">, B. P. (2011). Traditional, state-of-the-art and future thermal building insulation materials and solutions – Properties, requirements and possibilities. Energy and Buildings, 43(10), 2549–2563. </w:t>
      </w:r>
      <w:hyperlink r:id="rId27" w:history="1">
        <w:r w:rsidRPr="00FC76AF">
          <w:rPr>
            <w:rStyle w:val="Hyperlink"/>
            <w:rFonts w:asciiTheme="majorBidi" w:eastAsiaTheme="minorHAnsi" w:hAnsiTheme="majorBidi" w:cstheme="majorBidi"/>
            <w:color w:val="000000" w:themeColor="text1"/>
          </w:rPr>
          <w:t>https://doi.org/10.1016/j.enbuild.2011.05.015</w:t>
        </w:r>
      </w:hyperlink>
      <w:r w:rsidRPr="00FC76AF">
        <w:rPr>
          <w:rFonts w:asciiTheme="majorBidi" w:eastAsiaTheme="minorHAnsi" w:hAnsiTheme="majorBidi" w:cstheme="majorBidi"/>
          <w:color w:val="000000" w:themeColor="text1"/>
        </w:rPr>
        <w:t>.</w:t>
      </w:r>
    </w:p>
    <w:p w:rsidR="00614B52" w:rsidRPr="00FC76AF" w:rsidRDefault="00614B52" w:rsidP="005036BA">
      <w:pPr>
        <w:pStyle w:val="a5"/>
        <w:numPr>
          <w:ilvl w:val="0"/>
          <w:numId w:val="9"/>
        </w:numPr>
        <w:spacing w:before="0" w:beforeAutospacing="0"/>
        <w:rPr>
          <w:rFonts w:asciiTheme="majorBidi" w:hAnsiTheme="majorBidi" w:cstheme="majorBidi"/>
          <w:color w:val="000000" w:themeColor="text1"/>
        </w:rPr>
      </w:pPr>
      <w:r w:rsidRPr="00FC76AF">
        <w:rPr>
          <w:rStyle w:val="a6"/>
          <w:rFonts w:asciiTheme="majorBidi" w:hAnsiTheme="majorBidi" w:cstheme="majorBidi"/>
          <w:b w:val="0"/>
          <w:bCs w:val="0"/>
          <w:color w:val="000000" w:themeColor="text1"/>
        </w:rPr>
        <w:t>Jones, M. R., &amp; McCarthy, A.</w:t>
      </w:r>
      <w:r w:rsidRPr="00FC76AF">
        <w:rPr>
          <w:rFonts w:asciiTheme="majorBidi" w:hAnsiTheme="majorBidi" w:cstheme="majorBidi"/>
          <w:color w:val="000000" w:themeColor="text1"/>
        </w:rPr>
        <w:t> (2005). Behavior of foam concrete in structural applications. </w:t>
      </w:r>
      <w:r w:rsidRPr="00FC76AF">
        <w:rPr>
          <w:rStyle w:val="a7"/>
          <w:rFonts w:asciiTheme="majorBidi" w:hAnsiTheme="majorBidi" w:cstheme="majorBidi"/>
          <w:color w:val="000000" w:themeColor="text1"/>
        </w:rPr>
        <w:t>Materials and Structures, 38</w:t>
      </w:r>
      <w:r w:rsidRPr="00FC76AF">
        <w:rPr>
          <w:rFonts w:asciiTheme="majorBidi" w:hAnsiTheme="majorBidi" w:cstheme="majorBidi"/>
          <w:color w:val="000000" w:themeColor="text1"/>
        </w:rPr>
        <w:t>(4), 289–300. </w:t>
      </w:r>
      <w:hyperlink r:id="rId28" w:tgtFrame="_blank" w:history="1">
        <w:r w:rsidRPr="00FC76AF">
          <w:rPr>
            <w:rStyle w:val="Hyperlink"/>
            <w:rFonts w:asciiTheme="majorBidi" w:hAnsiTheme="majorBidi" w:cstheme="majorBidi"/>
            <w:color w:val="000000" w:themeColor="text1"/>
          </w:rPr>
          <w:t>https://doi.org/10.1007/BF02479293</w:t>
        </w:r>
      </w:hyperlink>
    </w:p>
    <w:p w:rsidR="00614B52" w:rsidRPr="00FC76AF" w:rsidRDefault="00614B52" w:rsidP="005036BA">
      <w:pPr>
        <w:pStyle w:val="a5"/>
        <w:numPr>
          <w:ilvl w:val="0"/>
          <w:numId w:val="9"/>
        </w:numPr>
        <w:spacing w:before="0" w:beforeAutospacing="0"/>
        <w:rPr>
          <w:rFonts w:asciiTheme="majorBidi" w:hAnsiTheme="majorBidi" w:cstheme="majorBidi"/>
          <w:color w:val="000000" w:themeColor="text1"/>
        </w:rPr>
      </w:pPr>
      <w:r w:rsidRPr="00FC76AF">
        <w:rPr>
          <w:rStyle w:val="a6"/>
          <w:rFonts w:asciiTheme="majorBidi" w:hAnsiTheme="majorBidi" w:cstheme="majorBidi"/>
          <w:b w:val="0"/>
          <w:bCs w:val="0"/>
          <w:color w:val="000000" w:themeColor="text1"/>
        </w:rPr>
        <w:t>Jones, M. R., &amp; McCarthy, A.</w:t>
      </w:r>
      <w:r w:rsidRPr="00FC76AF">
        <w:rPr>
          <w:rFonts w:asciiTheme="majorBidi" w:hAnsiTheme="majorBidi" w:cstheme="majorBidi"/>
          <w:color w:val="000000" w:themeColor="text1"/>
        </w:rPr>
        <w:t xml:space="preserve"> (2005). </w:t>
      </w:r>
      <w:proofErr w:type="spellStart"/>
      <w:r w:rsidRPr="00FC76AF">
        <w:rPr>
          <w:rFonts w:asciiTheme="majorBidi" w:hAnsiTheme="majorBidi" w:cstheme="majorBidi"/>
          <w:color w:val="000000" w:themeColor="text1"/>
        </w:rPr>
        <w:t>Behaviour</w:t>
      </w:r>
      <w:proofErr w:type="spellEnd"/>
      <w:r w:rsidRPr="00FC76AF">
        <w:rPr>
          <w:rFonts w:asciiTheme="majorBidi" w:hAnsiTheme="majorBidi" w:cstheme="majorBidi"/>
          <w:color w:val="000000" w:themeColor="text1"/>
        </w:rPr>
        <w:t xml:space="preserve"> and performance of foam concrete. </w:t>
      </w:r>
      <w:r w:rsidRPr="00FC76AF">
        <w:rPr>
          <w:rStyle w:val="a7"/>
          <w:rFonts w:asciiTheme="majorBidi" w:hAnsiTheme="majorBidi" w:cstheme="majorBidi"/>
          <w:color w:val="000000" w:themeColor="text1"/>
        </w:rPr>
        <w:t>Cement and Concrete Research, 35</w:t>
      </w:r>
      <w:r w:rsidRPr="00FC76AF">
        <w:rPr>
          <w:rFonts w:asciiTheme="majorBidi" w:hAnsiTheme="majorBidi" w:cstheme="majorBidi"/>
          <w:color w:val="000000" w:themeColor="text1"/>
        </w:rPr>
        <w:t>(6), 1133–1146. </w:t>
      </w:r>
      <w:hyperlink r:id="rId29" w:tgtFrame="_blank" w:history="1">
        <w:r w:rsidRPr="00FC76AF">
          <w:rPr>
            <w:rStyle w:val="Hyperlink"/>
            <w:rFonts w:asciiTheme="majorBidi" w:hAnsiTheme="majorBidi" w:cstheme="majorBidi"/>
            <w:color w:val="000000" w:themeColor="text1"/>
          </w:rPr>
          <w:t>https://doi.org/10.1016/j.cemconres.2004.11.001</w:t>
        </w:r>
      </w:hyperlink>
    </w:p>
    <w:p w:rsidR="00614B52" w:rsidRPr="00FC76AF" w:rsidRDefault="00614B52" w:rsidP="005036BA">
      <w:pPr>
        <w:pStyle w:val="a5"/>
        <w:numPr>
          <w:ilvl w:val="0"/>
          <w:numId w:val="9"/>
        </w:numPr>
        <w:spacing w:before="0" w:beforeAutospacing="0"/>
        <w:rPr>
          <w:rFonts w:asciiTheme="majorBidi" w:hAnsiTheme="majorBidi" w:cstheme="majorBidi"/>
          <w:color w:val="000000" w:themeColor="text1"/>
        </w:rPr>
      </w:pPr>
      <w:proofErr w:type="spellStart"/>
      <w:r w:rsidRPr="00FC76AF">
        <w:rPr>
          <w:rStyle w:val="a6"/>
          <w:rFonts w:asciiTheme="majorBidi" w:hAnsiTheme="majorBidi" w:cstheme="majorBidi"/>
          <w:b w:val="0"/>
          <w:bCs w:val="0"/>
          <w:color w:val="000000" w:themeColor="text1"/>
        </w:rPr>
        <w:t>Meletse</w:t>
      </w:r>
      <w:proofErr w:type="spellEnd"/>
      <w:r w:rsidRPr="00FC76AF">
        <w:rPr>
          <w:rStyle w:val="a6"/>
          <w:rFonts w:asciiTheme="majorBidi" w:hAnsiTheme="majorBidi" w:cstheme="majorBidi"/>
          <w:b w:val="0"/>
          <w:bCs w:val="0"/>
          <w:color w:val="000000" w:themeColor="text1"/>
        </w:rPr>
        <w:t>, M.</w:t>
      </w:r>
      <w:r w:rsidRPr="00FC76AF">
        <w:rPr>
          <w:rFonts w:asciiTheme="majorBidi" w:hAnsiTheme="majorBidi" w:cstheme="majorBidi"/>
          <w:color w:val="000000" w:themeColor="text1"/>
        </w:rPr>
        <w:t> (2005). Thermal insulation principles and applications. </w:t>
      </w:r>
      <w:r w:rsidRPr="00FC76AF">
        <w:rPr>
          <w:rStyle w:val="a7"/>
          <w:rFonts w:asciiTheme="majorBidi" w:hAnsiTheme="majorBidi" w:cstheme="majorBidi"/>
          <w:color w:val="000000" w:themeColor="text1"/>
        </w:rPr>
        <w:t>Building Science Journal, 18</w:t>
      </w:r>
      <w:r w:rsidRPr="00FC76AF">
        <w:rPr>
          <w:rFonts w:asciiTheme="majorBidi" w:hAnsiTheme="majorBidi" w:cstheme="majorBidi"/>
          <w:color w:val="000000" w:themeColor="text1"/>
        </w:rPr>
        <w:t>(3), 45–52.</w:t>
      </w:r>
    </w:p>
    <w:p w:rsidR="00614B52" w:rsidRPr="00FC76AF" w:rsidRDefault="00614B52" w:rsidP="005036BA">
      <w:pPr>
        <w:pStyle w:val="a5"/>
        <w:numPr>
          <w:ilvl w:val="0"/>
          <w:numId w:val="9"/>
        </w:numPr>
        <w:spacing w:before="0" w:beforeAutospacing="0"/>
        <w:rPr>
          <w:rFonts w:asciiTheme="majorBidi" w:hAnsiTheme="majorBidi" w:cstheme="majorBidi"/>
          <w:color w:val="000000" w:themeColor="text1"/>
        </w:rPr>
      </w:pPr>
      <w:proofErr w:type="spellStart"/>
      <w:r w:rsidRPr="00FC76AF">
        <w:rPr>
          <w:rStyle w:val="a6"/>
          <w:rFonts w:asciiTheme="majorBidi" w:hAnsiTheme="majorBidi" w:cstheme="majorBidi"/>
          <w:b w:val="0"/>
          <w:bCs w:val="0"/>
          <w:color w:val="000000" w:themeColor="text1"/>
        </w:rPr>
        <w:t>Peng</w:t>
      </w:r>
      <w:proofErr w:type="spellEnd"/>
      <w:r w:rsidRPr="00FC76AF">
        <w:rPr>
          <w:rStyle w:val="a6"/>
          <w:rFonts w:asciiTheme="majorBidi" w:hAnsiTheme="majorBidi" w:cstheme="majorBidi"/>
          <w:b w:val="0"/>
          <w:bCs w:val="0"/>
          <w:color w:val="000000" w:themeColor="text1"/>
        </w:rPr>
        <w:t>, H., Jiang, Y., &amp; Hu, Y.</w:t>
      </w:r>
      <w:r w:rsidRPr="00FC76AF">
        <w:rPr>
          <w:rFonts w:asciiTheme="majorBidi" w:hAnsiTheme="majorBidi" w:cstheme="majorBidi"/>
          <w:color w:val="000000" w:themeColor="text1"/>
        </w:rPr>
        <w:t> (2008). Energy-saving potential of a ventilated cavity structure applied to building envelopes. </w:t>
      </w:r>
      <w:r w:rsidRPr="00FC76AF">
        <w:rPr>
          <w:rStyle w:val="a7"/>
          <w:rFonts w:asciiTheme="majorBidi" w:hAnsiTheme="majorBidi" w:cstheme="majorBidi"/>
          <w:color w:val="000000" w:themeColor="text1"/>
        </w:rPr>
        <w:t>Energy and Buildings, 40</w:t>
      </w:r>
      <w:r w:rsidRPr="00FC76AF">
        <w:rPr>
          <w:rFonts w:asciiTheme="majorBidi" w:hAnsiTheme="majorBidi" w:cstheme="majorBidi"/>
          <w:color w:val="000000" w:themeColor="text1"/>
        </w:rPr>
        <w:t>(9), 1645–1655. </w:t>
      </w:r>
      <w:hyperlink r:id="rId30" w:tgtFrame="_blank" w:history="1">
        <w:r w:rsidRPr="00FC76AF">
          <w:rPr>
            <w:rStyle w:val="Hyperlink"/>
            <w:rFonts w:asciiTheme="majorBidi" w:hAnsiTheme="majorBidi" w:cstheme="majorBidi"/>
            <w:color w:val="000000" w:themeColor="text1"/>
          </w:rPr>
          <w:t>https://doi.org/10.1016/j.enbuild.2008.02.016</w:t>
        </w:r>
      </w:hyperlink>
    </w:p>
    <w:p w:rsidR="00614B52" w:rsidRPr="00FC76AF" w:rsidRDefault="00614B52" w:rsidP="00AB7218">
      <w:pPr>
        <w:numPr>
          <w:ilvl w:val="0"/>
          <w:numId w:val="9"/>
        </w:numPr>
        <w:bidi w:val="0"/>
        <w:spacing w:after="0"/>
        <w:jc w:val="both"/>
        <w:rPr>
          <w:rFonts w:asciiTheme="majorBidi" w:hAnsiTheme="majorBidi" w:cstheme="majorBidi"/>
          <w:color w:val="000000" w:themeColor="text1"/>
          <w:sz w:val="24"/>
          <w:szCs w:val="24"/>
        </w:rPr>
      </w:pPr>
      <w:r w:rsidRPr="00FC76AF">
        <w:rPr>
          <w:rFonts w:asciiTheme="majorBidi" w:hAnsiTheme="majorBidi" w:cstheme="majorBidi"/>
          <w:color w:val="000000" w:themeColor="text1"/>
          <w:sz w:val="24"/>
          <w:szCs w:val="24"/>
        </w:rPr>
        <w:t xml:space="preserve">Qaraman, A. F. A. &amp; </w:t>
      </w:r>
      <w:proofErr w:type="spellStart"/>
      <w:r w:rsidRPr="00FC76AF">
        <w:rPr>
          <w:rFonts w:asciiTheme="majorBidi" w:hAnsiTheme="majorBidi" w:cstheme="majorBidi"/>
          <w:color w:val="000000" w:themeColor="text1"/>
          <w:sz w:val="24"/>
          <w:szCs w:val="24"/>
        </w:rPr>
        <w:t>Zuhud</w:t>
      </w:r>
      <w:proofErr w:type="spellEnd"/>
      <w:r w:rsidRPr="00FC76AF">
        <w:rPr>
          <w:rFonts w:asciiTheme="majorBidi" w:hAnsiTheme="majorBidi" w:cstheme="majorBidi"/>
          <w:color w:val="000000" w:themeColor="text1"/>
          <w:sz w:val="24"/>
          <w:szCs w:val="24"/>
        </w:rPr>
        <w:t xml:space="preserve">, A., (2018). The influence of using </w:t>
      </w:r>
      <w:proofErr w:type="spellStart"/>
      <w:r w:rsidRPr="00FC76AF">
        <w:rPr>
          <w:rFonts w:asciiTheme="majorBidi" w:hAnsiTheme="majorBidi" w:cstheme="majorBidi"/>
          <w:color w:val="000000" w:themeColor="text1"/>
          <w:sz w:val="24"/>
          <w:szCs w:val="24"/>
        </w:rPr>
        <w:t>Cocamidopropyl</w:t>
      </w:r>
      <w:proofErr w:type="spellEnd"/>
      <w:r w:rsidRPr="00FC76AF">
        <w:rPr>
          <w:rFonts w:asciiTheme="majorBidi" w:hAnsiTheme="majorBidi" w:cstheme="majorBidi"/>
          <w:color w:val="000000" w:themeColor="text1"/>
          <w:sz w:val="24"/>
          <w:szCs w:val="24"/>
        </w:rPr>
        <w:t xml:space="preserve"> </w:t>
      </w:r>
      <w:proofErr w:type="spellStart"/>
      <w:r w:rsidRPr="00FC76AF">
        <w:rPr>
          <w:rFonts w:asciiTheme="majorBidi" w:hAnsiTheme="majorBidi" w:cstheme="majorBidi"/>
          <w:color w:val="000000" w:themeColor="text1"/>
          <w:sz w:val="24"/>
          <w:szCs w:val="24"/>
        </w:rPr>
        <w:t>Betaine</w:t>
      </w:r>
      <w:proofErr w:type="spellEnd"/>
      <w:r w:rsidRPr="00FC76AF">
        <w:rPr>
          <w:rFonts w:asciiTheme="majorBidi" w:hAnsiTheme="majorBidi" w:cstheme="majorBidi"/>
          <w:color w:val="000000" w:themeColor="text1"/>
          <w:sz w:val="24"/>
          <w:szCs w:val="24"/>
        </w:rPr>
        <w:t xml:space="preserve"> as chemical additive on thermal and physical </w:t>
      </w:r>
      <w:r w:rsidRPr="00FC76AF">
        <w:rPr>
          <w:rFonts w:asciiTheme="majorBidi" w:hAnsiTheme="majorBidi" w:cstheme="majorBidi"/>
          <w:color w:val="000000" w:themeColor="text1"/>
          <w:sz w:val="24"/>
          <w:szCs w:val="24"/>
        </w:rPr>
        <w:lastRenderedPageBreak/>
        <w:t>properties of foam mortar. Asian Journal of Natural &amp; Applied Sciences Vol. 7(3), 12-21.</w:t>
      </w:r>
      <w:r w:rsidRPr="00FC76AF">
        <w:rPr>
          <w:rFonts w:asciiTheme="majorBidi" w:hAnsiTheme="majorBidi" w:cstheme="majorBidi"/>
          <w:color w:val="000000" w:themeColor="text1"/>
          <w:sz w:val="24"/>
          <w:szCs w:val="24"/>
          <w:rtl/>
        </w:rPr>
        <w:t>‏</w:t>
      </w:r>
      <w:r w:rsidRPr="00FC76AF">
        <w:rPr>
          <w:rFonts w:asciiTheme="majorBidi" w:hAnsiTheme="majorBidi" w:cstheme="majorBidi"/>
          <w:color w:val="000000" w:themeColor="text1"/>
          <w:sz w:val="24"/>
          <w:szCs w:val="24"/>
        </w:rPr>
        <w:t xml:space="preserve"> </w:t>
      </w:r>
    </w:p>
    <w:p w:rsidR="00614B52" w:rsidRPr="00FC76AF" w:rsidRDefault="00614B52" w:rsidP="00016F74">
      <w:pPr>
        <w:numPr>
          <w:ilvl w:val="0"/>
          <w:numId w:val="9"/>
        </w:numPr>
        <w:bidi w:val="0"/>
        <w:spacing w:after="0"/>
        <w:jc w:val="both"/>
        <w:rPr>
          <w:rFonts w:asciiTheme="majorBidi" w:hAnsiTheme="majorBidi" w:cstheme="majorBidi"/>
          <w:color w:val="000000" w:themeColor="text1"/>
          <w:sz w:val="24"/>
          <w:szCs w:val="24"/>
        </w:rPr>
      </w:pPr>
      <w:r w:rsidRPr="00FC76AF">
        <w:rPr>
          <w:rFonts w:asciiTheme="majorBidi" w:hAnsiTheme="majorBidi" w:cstheme="majorBidi"/>
          <w:color w:val="000000" w:themeColor="text1"/>
          <w:sz w:val="24"/>
          <w:szCs w:val="24"/>
        </w:rPr>
        <w:t xml:space="preserve">Qaraman, A. F. A., </w:t>
      </w:r>
      <w:proofErr w:type="spellStart"/>
      <w:r w:rsidRPr="00FC76AF">
        <w:rPr>
          <w:rFonts w:asciiTheme="majorBidi" w:hAnsiTheme="majorBidi" w:cstheme="majorBidi"/>
          <w:color w:val="000000" w:themeColor="text1"/>
          <w:sz w:val="24"/>
          <w:szCs w:val="24"/>
        </w:rPr>
        <w:t>Musalam</w:t>
      </w:r>
      <w:proofErr w:type="spellEnd"/>
      <w:r w:rsidRPr="00FC76AF">
        <w:rPr>
          <w:rFonts w:asciiTheme="majorBidi" w:hAnsiTheme="majorBidi" w:cstheme="majorBidi"/>
          <w:color w:val="000000" w:themeColor="text1"/>
          <w:sz w:val="24"/>
          <w:szCs w:val="24"/>
        </w:rPr>
        <w:t>, A. M., &amp; El-</w:t>
      </w:r>
      <w:proofErr w:type="spellStart"/>
      <w:r w:rsidRPr="00FC76AF">
        <w:rPr>
          <w:rFonts w:asciiTheme="majorBidi" w:hAnsiTheme="majorBidi" w:cstheme="majorBidi"/>
          <w:color w:val="000000" w:themeColor="text1"/>
          <w:sz w:val="24"/>
          <w:szCs w:val="24"/>
        </w:rPr>
        <w:t>Hassayna</w:t>
      </w:r>
      <w:proofErr w:type="spellEnd"/>
      <w:r w:rsidRPr="00FC76AF">
        <w:rPr>
          <w:rFonts w:asciiTheme="majorBidi" w:hAnsiTheme="majorBidi" w:cstheme="majorBidi"/>
          <w:color w:val="000000" w:themeColor="text1"/>
          <w:sz w:val="24"/>
          <w:szCs w:val="24"/>
        </w:rPr>
        <w:t xml:space="preserve">, I. M. (2017), The Behavior of Lauryl </w:t>
      </w:r>
      <w:proofErr w:type="spellStart"/>
      <w:r w:rsidRPr="00FC76AF">
        <w:rPr>
          <w:rFonts w:asciiTheme="majorBidi" w:hAnsiTheme="majorBidi" w:cstheme="majorBidi"/>
          <w:color w:val="000000" w:themeColor="text1"/>
          <w:sz w:val="24"/>
          <w:szCs w:val="24"/>
        </w:rPr>
        <w:t>Glucoside</w:t>
      </w:r>
      <w:proofErr w:type="spellEnd"/>
      <w:r w:rsidRPr="00FC76AF">
        <w:rPr>
          <w:rFonts w:asciiTheme="majorBidi" w:hAnsiTheme="majorBidi" w:cstheme="majorBidi"/>
          <w:color w:val="000000" w:themeColor="text1"/>
          <w:sz w:val="24"/>
          <w:szCs w:val="24"/>
        </w:rPr>
        <w:t xml:space="preserve"> as cement paste admixture, Israa university journal for applied science,1(1), 7-15.</w:t>
      </w:r>
    </w:p>
    <w:p w:rsidR="00614B52" w:rsidRPr="00FC76AF" w:rsidRDefault="00614B52" w:rsidP="00016F74">
      <w:pPr>
        <w:numPr>
          <w:ilvl w:val="0"/>
          <w:numId w:val="9"/>
        </w:numPr>
        <w:bidi w:val="0"/>
        <w:spacing w:after="0"/>
        <w:jc w:val="both"/>
        <w:rPr>
          <w:rFonts w:asciiTheme="majorBidi" w:hAnsiTheme="majorBidi" w:cstheme="majorBidi"/>
          <w:color w:val="000000" w:themeColor="text1"/>
          <w:sz w:val="24"/>
          <w:szCs w:val="24"/>
        </w:rPr>
      </w:pPr>
      <w:r w:rsidRPr="00FC76AF">
        <w:rPr>
          <w:rFonts w:asciiTheme="majorBidi" w:hAnsiTheme="majorBidi" w:cstheme="majorBidi"/>
          <w:color w:val="000000" w:themeColor="text1"/>
          <w:sz w:val="24"/>
          <w:szCs w:val="24"/>
        </w:rPr>
        <w:t>Qaraman</w:t>
      </w:r>
      <w:r w:rsidRPr="00FC76AF">
        <w:rPr>
          <w:rFonts w:asciiTheme="majorBidi" w:hAnsiTheme="majorBidi" w:cstheme="majorBidi"/>
          <w:color w:val="000000" w:themeColor="text1"/>
          <w:sz w:val="24"/>
          <w:szCs w:val="24"/>
          <w:rtl/>
        </w:rPr>
        <w:t>،</w:t>
      </w:r>
      <w:r w:rsidRPr="00FC76AF">
        <w:rPr>
          <w:rFonts w:asciiTheme="majorBidi" w:hAnsiTheme="majorBidi" w:cstheme="majorBidi"/>
          <w:color w:val="000000" w:themeColor="text1"/>
          <w:sz w:val="24"/>
          <w:szCs w:val="24"/>
        </w:rPr>
        <w:t xml:space="preserve"> A. F. A., (2016). The efficiency of mixed surfactants as air entraining agents in cement pastes. European Journal of Material Sciences, 3(3), 12-22.</w:t>
      </w:r>
      <w:r w:rsidRPr="00FC76AF">
        <w:rPr>
          <w:rFonts w:asciiTheme="majorBidi" w:hAnsiTheme="majorBidi" w:cstheme="majorBidi"/>
          <w:color w:val="000000" w:themeColor="text1"/>
          <w:sz w:val="24"/>
          <w:szCs w:val="24"/>
          <w:rtl/>
        </w:rPr>
        <w:t>‏</w:t>
      </w:r>
    </w:p>
    <w:p w:rsidR="00614B52" w:rsidRPr="00FC76AF" w:rsidRDefault="00614B52" w:rsidP="005036BA">
      <w:pPr>
        <w:pStyle w:val="a5"/>
        <w:numPr>
          <w:ilvl w:val="0"/>
          <w:numId w:val="9"/>
        </w:numPr>
        <w:spacing w:before="0" w:beforeAutospacing="0"/>
        <w:rPr>
          <w:rFonts w:asciiTheme="majorBidi" w:hAnsiTheme="majorBidi" w:cstheme="majorBidi"/>
          <w:color w:val="000000" w:themeColor="text1"/>
        </w:rPr>
      </w:pPr>
      <w:proofErr w:type="spellStart"/>
      <w:r w:rsidRPr="00FC76AF">
        <w:rPr>
          <w:rStyle w:val="a6"/>
          <w:rFonts w:asciiTheme="majorBidi" w:hAnsiTheme="majorBidi" w:cstheme="majorBidi"/>
          <w:b w:val="0"/>
          <w:bCs w:val="0"/>
          <w:color w:val="000000" w:themeColor="text1"/>
        </w:rPr>
        <w:t>Seppälä</w:t>
      </w:r>
      <w:proofErr w:type="spellEnd"/>
      <w:r w:rsidRPr="00FC76AF">
        <w:rPr>
          <w:rStyle w:val="a6"/>
          <w:rFonts w:asciiTheme="majorBidi" w:hAnsiTheme="majorBidi" w:cstheme="majorBidi"/>
          <w:b w:val="0"/>
          <w:bCs w:val="0"/>
          <w:color w:val="000000" w:themeColor="text1"/>
        </w:rPr>
        <w:t xml:space="preserve">, J., </w:t>
      </w:r>
      <w:proofErr w:type="spellStart"/>
      <w:r w:rsidRPr="00FC76AF">
        <w:rPr>
          <w:rStyle w:val="a6"/>
          <w:rFonts w:asciiTheme="majorBidi" w:hAnsiTheme="majorBidi" w:cstheme="majorBidi"/>
          <w:b w:val="0"/>
          <w:bCs w:val="0"/>
          <w:color w:val="000000" w:themeColor="text1"/>
        </w:rPr>
        <w:t>Heinonen</w:t>
      </w:r>
      <w:proofErr w:type="spellEnd"/>
      <w:r w:rsidRPr="00FC76AF">
        <w:rPr>
          <w:rStyle w:val="a6"/>
          <w:rFonts w:asciiTheme="majorBidi" w:hAnsiTheme="majorBidi" w:cstheme="majorBidi"/>
          <w:b w:val="0"/>
          <w:bCs w:val="0"/>
          <w:color w:val="000000" w:themeColor="text1"/>
        </w:rPr>
        <w:t xml:space="preserve">, J., &amp; </w:t>
      </w:r>
      <w:proofErr w:type="spellStart"/>
      <w:r w:rsidRPr="00FC76AF">
        <w:rPr>
          <w:rStyle w:val="a6"/>
          <w:rFonts w:asciiTheme="majorBidi" w:hAnsiTheme="majorBidi" w:cstheme="majorBidi"/>
          <w:b w:val="0"/>
          <w:bCs w:val="0"/>
          <w:color w:val="000000" w:themeColor="text1"/>
        </w:rPr>
        <w:t>Junnila</w:t>
      </w:r>
      <w:proofErr w:type="spellEnd"/>
      <w:r w:rsidRPr="00FC76AF">
        <w:rPr>
          <w:rStyle w:val="a6"/>
          <w:rFonts w:asciiTheme="majorBidi" w:hAnsiTheme="majorBidi" w:cstheme="majorBidi"/>
          <w:b w:val="0"/>
          <w:bCs w:val="0"/>
          <w:color w:val="000000" w:themeColor="text1"/>
        </w:rPr>
        <w:t>, S.</w:t>
      </w:r>
      <w:r w:rsidRPr="00FC76AF">
        <w:rPr>
          <w:rFonts w:asciiTheme="majorBidi" w:hAnsiTheme="majorBidi" w:cstheme="majorBidi"/>
          <w:color w:val="000000" w:themeColor="text1"/>
        </w:rPr>
        <w:t> (2008). A review of energy-efficient building materials. </w:t>
      </w:r>
      <w:r w:rsidRPr="00FC76AF">
        <w:rPr>
          <w:rStyle w:val="a7"/>
          <w:rFonts w:asciiTheme="majorBidi" w:hAnsiTheme="majorBidi" w:cstheme="majorBidi"/>
          <w:color w:val="000000" w:themeColor="text1"/>
        </w:rPr>
        <w:t>Building and Environment, 43</w:t>
      </w:r>
      <w:r w:rsidRPr="00FC76AF">
        <w:rPr>
          <w:rFonts w:asciiTheme="majorBidi" w:hAnsiTheme="majorBidi" w:cstheme="majorBidi"/>
          <w:color w:val="000000" w:themeColor="text1"/>
        </w:rPr>
        <w:t>(6), 1211–1220. </w:t>
      </w:r>
      <w:hyperlink r:id="rId31" w:tgtFrame="_blank" w:history="1">
        <w:r w:rsidRPr="00FC76AF">
          <w:rPr>
            <w:rStyle w:val="Hyperlink"/>
            <w:rFonts w:asciiTheme="majorBidi" w:hAnsiTheme="majorBidi" w:cstheme="majorBidi"/>
            <w:color w:val="000000" w:themeColor="text1"/>
          </w:rPr>
          <w:t>https://doi.org/10.1016/j.buildenv.2007.04.015</w:t>
        </w:r>
      </w:hyperlink>
    </w:p>
    <w:p w:rsidR="00614B52" w:rsidRPr="00FC76AF" w:rsidRDefault="00614B52" w:rsidP="005036BA">
      <w:pPr>
        <w:pStyle w:val="a5"/>
        <w:numPr>
          <w:ilvl w:val="0"/>
          <w:numId w:val="9"/>
        </w:numPr>
        <w:spacing w:before="0" w:beforeAutospacing="0"/>
        <w:rPr>
          <w:rFonts w:asciiTheme="majorBidi" w:hAnsiTheme="majorBidi" w:cstheme="majorBidi"/>
          <w:color w:val="000000" w:themeColor="text1"/>
        </w:rPr>
      </w:pPr>
      <w:proofErr w:type="spellStart"/>
      <w:r w:rsidRPr="00FC76AF">
        <w:rPr>
          <w:rStyle w:val="a6"/>
          <w:rFonts w:asciiTheme="majorBidi" w:hAnsiTheme="majorBidi" w:cstheme="majorBidi"/>
          <w:b w:val="0"/>
          <w:bCs w:val="0"/>
          <w:color w:val="000000" w:themeColor="text1"/>
        </w:rPr>
        <w:t>Snoeck</w:t>
      </w:r>
      <w:proofErr w:type="spellEnd"/>
      <w:r w:rsidRPr="00FC76AF">
        <w:rPr>
          <w:rStyle w:val="a6"/>
          <w:rFonts w:asciiTheme="majorBidi" w:hAnsiTheme="majorBidi" w:cstheme="majorBidi"/>
          <w:b w:val="0"/>
          <w:bCs w:val="0"/>
          <w:color w:val="000000" w:themeColor="text1"/>
        </w:rPr>
        <w:t xml:space="preserve">, D., </w:t>
      </w:r>
      <w:proofErr w:type="spellStart"/>
      <w:r w:rsidRPr="00FC76AF">
        <w:rPr>
          <w:rStyle w:val="a6"/>
          <w:rFonts w:asciiTheme="majorBidi" w:hAnsiTheme="majorBidi" w:cstheme="majorBidi"/>
          <w:b w:val="0"/>
          <w:bCs w:val="0"/>
          <w:color w:val="000000" w:themeColor="text1"/>
        </w:rPr>
        <w:t>Pel</w:t>
      </w:r>
      <w:proofErr w:type="spellEnd"/>
      <w:r w:rsidRPr="00FC76AF">
        <w:rPr>
          <w:rStyle w:val="a6"/>
          <w:rFonts w:asciiTheme="majorBidi" w:hAnsiTheme="majorBidi" w:cstheme="majorBidi"/>
          <w:b w:val="0"/>
          <w:bCs w:val="0"/>
          <w:color w:val="000000" w:themeColor="text1"/>
        </w:rPr>
        <w:t>, L., &amp; De Belie, N.</w:t>
      </w:r>
      <w:r w:rsidRPr="00FC76AF">
        <w:rPr>
          <w:rFonts w:asciiTheme="majorBidi" w:hAnsiTheme="majorBidi" w:cstheme="majorBidi"/>
          <w:color w:val="000000" w:themeColor="text1"/>
        </w:rPr>
        <w:t> (2017). The influence of surfactants on cement hydration and microstructure. </w:t>
      </w:r>
      <w:r w:rsidRPr="00FC76AF">
        <w:rPr>
          <w:rStyle w:val="a7"/>
          <w:rFonts w:asciiTheme="majorBidi" w:hAnsiTheme="majorBidi" w:cstheme="majorBidi"/>
          <w:color w:val="000000" w:themeColor="text1"/>
        </w:rPr>
        <w:t>Cement and Concrete Research, 98</w:t>
      </w:r>
      <w:r w:rsidRPr="00FC76AF">
        <w:rPr>
          <w:rFonts w:asciiTheme="majorBidi" w:hAnsiTheme="majorBidi" w:cstheme="majorBidi"/>
          <w:color w:val="000000" w:themeColor="text1"/>
        </w:rPr>
        <w:t>, 34–44. </w:t>
      </w:r>
      <w:hyperlink r:id="rId32" w:tgtFrame="_blank" w:history="1">
        <w:r w:rsidRPr="00FC76AF">
          <w:rPr>
            <w:rStyle w:val="Hyperlink"/>
            <w:rFonts w:asciiTheme="majorBidi" w:hAnsiTheme="majorBidi" w:cstheme="majorBidi"/>
            <w:color w:val="000000" w:themeColor="text1"/>
          </w:rPr>
          <w:t>https://doi.org/10.1016/j.cemconres.2017.03.012</w:t>
        </w:r>
      </w:hyperlink>
    </w:p>
    <w:p w:rsidR="00614B52" w:rsidRPr="00FC76AF" w:rsidRDefault="00614B52" w:rsidP="005036BA">
      <w:pPr>
        <w:pStyle w:val="a5"/>
        <w:numPr>
          <w:ilvl w:val="0"/>
          <w:numId w:val="9"/>
        </w:numPr>
        <w:spacing w:before="0" w:beforeAutospacing="0"/>
        <w:rPr>
          <w:rFonts w:asciiTheme="majorBidi" w:hAnsiTheme="majorBidi" w:cstheme="majorBidi"/>
          <w:color w:val="000000" w:themeColor="text1"/>
        </w:rPr>
      </w:pPr>
      <w:proofErr w:type="spellStart"/>
      <w:r w:rsidRPr="00FC76AF">
        <w:rPr>
          <w:rStyle w:val="a6"/>
          <w:rFonts w:asciiTheme="majorBidi" w:hAnsiTheme="majorBidi" w:cstheme="majorBidi"/>
          <w:b w:val="0"/>
          <w:bCs w:val="0"/>
          <w:color w:val="000000" w:themeColor="text1"/>
        </w:rPr>
        <w:t>Snoeck</w:t>
      </w:r>
      <w:proofErr w:type="spellEnd"/>
      <w:r w:rsidRPr="00FC76AF">
        <w:rPr>
          <w:rStyle w:val="a6"/>
          <w:rFonts w:asciiTheme="majorBidi" w:hAnsiTheme="majorBidi" w:cstheme="majorBidi"/>
          <w:b w:val="0"/>
          <w:bCs w:val="0"/>
          <w:color w:val="000000" w:themeColor="text1"/>
        </w:rPr>
        <w:t xml:space="preserve">, D., </w:t>
      </w:r>
      <w:proofErr w:type="spellStart"/>
      <w:r w:rsidRPr="00FC76AF">
        <w:rPr>
          <w:rStyle w:val="a6"/>
          <w:rFonts w:asciiTheme="majorBidi" w:hAnsiTheme="majorBidi" w:cstheme="majorBidi"/>
          <w:b w:val="0"/>
          <w:bCs w:val="0"/>
          <w:color w:val="000000" w:themeColor="text1"/>
        </w:rPr>
        <w:t>Pel</w:t>
      </w:r>
      <w:proofErr w:type="spellEnd"/>
      <w:r w:rsidRPr="00FC76AF">
        <w:rPr>
          <w:rStyle w:val="a6"/>
          <w:rFonts w:asciiTheme="majorBidi" w:hAnsiTheme="majorBidi" w:cstheme="majorBidi"/>
          <w:b w:val="0"/>
          <w:bCs w:val="0"/>
          <w:color w:val="000000" w:themeColor="text1"/>
        </w:rPr>
        <w:t>, L., &amp; De Belie, N.</w:t>
      </w:r>
      <w:r w:rsidRPr="00FC76AF">
        <w:rPr>
          <w:rFonts w:asciiTheme="majorBidi" w:hAnsiTheme="majorBidi" w:cstheme="majorBidi"/>
          <w:color w:val="000000" w:themeColor="text1"/>
        </w:rPr>
        <w:t> (2017). The water kinetics of cementitious materials: A review of transport properties and the role of microstructure. </w:t>
      </w:r>
      <w:r w:rsidRPr="00FC76AF">
        <w:rPr>
          <w:rStyle w:val="a7"/>
          <w:rFonts w:asciiTheme="majorBidi" w:hAnsiTheme="majorBidi" w:cstheme="majorBidi"/>
          <w:color w:val="000000" w:themeColor="text1"/>
        </w:rPr>
        <w:t>Cement and Concrete Research, 97</w:t>
      </w:r>
      <w:r w:rsidRPr="00FC76AF">
        <w:rPr>
          <w:rFonts w:asciiTheme="majorBidi" w:hAnsiTheme="majorBidi" w:cstheme="majorBidi"/>
          <w:color w:val="000000" w:themeColor="text1"/>
        </w:rPr>
        <w:t>, 136–148. </w:t>
      </w:r>
      <w:hyperlink r:id="rId33" w:tgtFrame="_blank" w:history="1">
        <w:r w:rsidRPr="00FC76AF">
          <w:rPr>
            <w:rStyle w:val="Hyperlink"/>
            <w:rFonts w:asciiTheme="majorBidi" w:hAnsiTheme="majorBidi" w:cstheme="majorBidi"/>
            <w:color w:val="000000" w:themeColor="text1"/>
          </w:rPr>
          <w:t>https://doi.org/10.1016/j.cemconres.2017.03.010</w:t>
        </w:r>
      </w:hyperlink>
    </w:p>
    <w:p w:rsidR="00614B52" w:rsidRPr="00FC76AF" w:rsidRDefault="00614B52" w:rsidP="005036BA">
      <w:pPr>
        <w:pStyle w:val="a5"/>
        <w:numPr>
          <w:ilvl w:val="0"/>
          <w:numId w:val="9"/>
        </w:numPr>
        <w:spacing w:before="0" w:beforeAutospacing="0"/>
        <w:rPr>
          <w:rFonts w:asciiTheme="majorBidi" w:hAnsiTheme="majorBidi" w:cstheme="majorBidi"/>
          <w:color w:val="000000" w:themeColor="text1"/>
        </w:rPr>
      </w:pPr>
      <w:proofErr w:type="spellStart"/>
      <w:r w:rsidRPr="00FC76AF">
        <w:rPr>
          <w:rStyle w:val="a6"/>
          <w:rFonts w:asciiTheme="majorBidi" w:hAnsiTheme="majorBidi" w:cstheme="majorBidi"/>
          <w:b w:val="0"/>
          <w:bCs w:val="0"/>
          <w:color w:val="000000" w:themeColor="text1"/>
        </w:rPr>
        <w:t>Uysal</w:t>
      </w:r>
      <w:proofErr w:type="spellEnd"/>
      <w:r w:rsidRPr="00FC76AF">
        <w:rPr>
          <w:rStyle w:val="a6"/>
          <w:rFonts w:asciiTheme="majorBidi" w:hAnsiTheme="majorBidi" w:cstheme="majorBidi"/>
          <w:b w:val="0"/>
          <w:bCs w:val="0"/>
          <w:color w:val="000000" w:themeColor="text1"/>
        </w:rPr>
        <w:t>, H.</w:t>
      </w:r>
      <w:r w:rsidRPr="00FC76AF">
        <w:rPr>
          <w:rFonts w:asciiTheme="majorBidi" w:hAnsiTheme="majorBidi" w:cstheme="majorBidi"/>
          <w:color w:val="000000" w:themeColor="text1"/>
        </w:rPr>
        <w:t> (2004). Effect of w/c ratio on the properties of cementitious materials. </w:t>
      </w:r>
      <w:r w:rsidRPr="00FC76AF">
        <w:rPr>
          <w:rStyle w:val="a7"/>
          <w:rFonts w:asciiTheme="majorBidi" w:hAnsiTheme="majorBidi" w:cstheme="majorBidi"/>
          <w:color w:val="000000" w:themeColor="text1"/>
        </w:rPr>
        <w:t>Cement and Concrete Composites, 26</w:t>
      </w:r>
      <w:r w:rsidRPr="00FC76AF">
        <w:rPr>
          <w:rFonts w:asciiTheme="majorBidi" w:hAnsiTheme="majorBidi" w:cstheme="majorBidi"/>
          <w:color w:val="000000" w:themeColor="text1"/>
        </w:rPr>
        <w:t>(6), 773–778. </w:t>
      </w:r>
      <w:hyperlink r:id="rId34" w:tgtFrame="_blank" w:history="1">
        <w:r w:rsidRPr="00FC76AF">
          <w:rPr>
            <w:rStyle w:val="Hyperlink"/>
            <w:rFonts w:asciiTheme="majorBidi" w:hAnsiTheme="majorBidi" w:cstheme="majorBidi"/>
            <w:color w:val="000000" w:themeColor="text1"/>
          </w:rPr>
          <w:t>https://doi.org/10.1016/j.cemconcomp.2004.01.003</w:t>
        </w:r>
      </w:hyperlink>
    </w:p>
    <w:p w:rsidR="00614B52" w:rsidRPr="00FC76AF" w:rsidRDefault="00614B52" w:rsidP="005036BA">
      <w:pPr>
        <w:pStyle w:val="a5"/>
        <w:numPr>
          <w:ilvl w:val="0"/>
          <w:numId w:val="9"/>
        </w:numPr>
        <w:spacing w:before="0" w:beforeAutospacing="0"/>
        <w:rPr>
          <w:rFonts w:asciiTheme="majorBidi" w:hAnsiTheme="majorBidi" w:cstheme="majorBidi"/>
          <w:color w:val="000000" w:themeColor="text1"/>
        </w:rPr>
      </w:pPr>
      <w:r w:rsidRPr="00FC76AF">
        <w:rPr>
          <w:rStyle w:val="a6"/>
          <w:rFonts w:asciiTheme="majorBidi" w:hAnsiTheme="majorBidi" w:cstheme="majorBidi"/>
          <w:b w:val="0"/>
          <w:bCs w:val="0"/>
          <w:color w:val="000000" w:themeColor="text1"/>
        </w:rPr>
        <w:t>Zhang, J., Wang, Q., &amp; Wang, Z.</w:t>
      </w:r>
      <w:r w:rsidRPr="00FC76AF">
        <w:rPr>
          <w:rFonts w:asciiTheme="majorBidi" w:hAnsiTheme="majorBidi" w:cstheme="majorBidi"/>
          <w:color w:val="000000" w:themeColor="text1"/>
        </w:rPr>
        <w:t> (2019). Pore structure and permeability of cementitious materials modified by surfactants. </w:t>
      </w:r>
      <w:r w:rsidRPr="00FC76AF">
        <w:rPr>
          <w:rStyle w:val="a7"/>
          <w:rFonts w:asciiTheme="majorBidi" w:hAnsiTheme="majorBidi" w:cstheme="majorBidi"/>
          <w:color w:val="000000" w:themeColor="text1"/>
        </w:rPr>
        <w:t>Materials Science and Engineering: A, 759</w:t>
      </w:r>
      <w:r w:rsidRPr="00FC76AF">
        <w:rPr>
          <w:rFonts w:asciiTheme="majorBidi" w:hAnsiTheme="majorBidi" w:cstheme="majorBidi"/>
          <w:color w:val="000000" w:themeColor="text1"/>
        </w:rPr>
        <w:t>, 152–160. </w:t>
      </w:r>
      <w:hyperlink r:id="rId35" w:tgtFrame="_blank" w:history="1">
        <w:r w:rsidRPr="00FC76AF">
          <w:rPr>
            <w:rStyle w:val="Hyperlink"/>
            <w:rFonts w:asciiTheme="majorBidi" w:hAnsiTheme="majorBidi" w:cstheme="majorBidi"/>
            <w:color w:val="000000" w:themeColor="text1"/>
          </w:rPr>
          <w:t>https://doi.org/10.1016/j.msea.2019.05.022</w:t>
        </w:r>
      </w:hyperlink>
    </w:p>
    <w:p w:rsidR="00614B52" w:rsidRPr="00FC76AF" w:rsidRDefault="00614B52" w:rsidP="005036BA">
      <w:pPr>
        <w:pStyle w:val="a5"/>
        <w:numPr>
          <w:ilvl w:val="0"/>
          <w:numId w:val="9"/>
        </w:numPr>
        <w:spacing w:before="0" w:beforeAutospacing="0"/>
        <w:rPr>
          <w:rFonts w:asciiTheme="majorBidi" w:hAnsiTheme="majorBidi" w:cstheme="majorBidi"/>
          <w:color w:val="000000" w:themeColor="text1"/>
        </w:rPr>
      </w:pPr>
      <w:r w:rsidRPr="00FC76AF">
        <w:rPr>
          <w:rStyle w:val="a6"/>
          <w:rFonts w:asciiTheme="majorBidi" w:hAnsiTheme="majorBidi" w:cstheme="majorBidi"/>
          <w:b w:val="0"/>
          <w:bCs w:val="0"/>
          <w:color w:val="000000" w:themeColor="text1"/>
        </w:rPr>
        <w:t>Zhang, X., Li, Q., &amp; Ma, H.</w:t>
      </w:r>
      <w:r w:rsidRPr="00FC76AF">
        <w:rPr>
          <w:rFonts w:asciiTheme="majorBidi" w:hAnsiTheme="majorBidi" w:cstheme="majorBidi"/>
          <w:color w:val="000000" w:themeColor="text1"/>
        </w:rPr>
        <w:t> (2019). Effect of cationic surfactants on the hydration and durability of cement-based materials. </w:t>
      </w:r>
      <w:r w:rsidRPr="00FC76AF">
        <w:rPr>
          <w:rStyle w:val="a7"/>
          <w:rFonts w:asciiTheme="majorBidi" w:hAnsiTheme="majorBidi" w:cstheme="majorBidi"/>
          <w:color w:val="000000" w:themeColor="text1"/>
        </w:rPr>
        <w:t>Construction and Building Materials, 215</w:t>
      </w:r>
      <w:r w:rsidRPr="00FC76AF">
        <w:rPr>
          <w:rFonts w:asciiTheme="majorBidi" w:hAnsiTheme="majorBidi" w:cstheme="majorBidi"/>
          <w:color w:val="000000" w:themeColor="text1"/>
        </w:rPr>
        <w:t>, 440–450. </w:t>
      </w:r>
      <w:hyperlink r:id="rId36" w:tgtFrame="_blank" w:history="1">
        <w:r w:rsidRPr="00FC76AF">
          <w:rPr>
            <w:rStyle w:val="Hyperlink"/>
            <w:rFonts w:asciiTheme="majorBidi" w:hAnsiTheme="majorBidi" w:cstheme="majorBidi"/>
            <w:color w:val="000000" w:themeColor="text1"/>
          </w:rPr>
          <w:t>https://doi.org/10.1016/j.conbuildmat.2019.04.158</w:t>
        </w:r>
      </w:hyperlink>
    </w:p>
    <w:p w:rsidR="00614B52" w:rsidRPr="00FC76AF" w:rsidRDefault="00614B52" w:rsidP="005036BA">
      <w:pPr>
        <w:pStyle w:val="a5"/>
        <w:numPr>
          <w:ilvl w:val="0"/>
          <w:numId w:val="9"/>
        </w:numPr>
        <w:spacing w:before="0" w:beforeAutospacing="0"/>
        <w:rPr>
          <w:rStyle w:val="Hyperlink"/>
          <w:rFonts w:asciiTheme="majorBidi" w:hAnsiTheme="majorBidi" w:cstheme="majorBidi"/>
          <w:color w:val="000000" w:themeColor="text1"/>
          <w:u w:val="none"/>
        </w:rPr>
      </w:pPr>
      <w:r w:rsidRPr="00FC76AF">
        <w:rPr>
          <w:rStyle w:val="a6"/>
          <w:rFonts w:asciiTheme="majorBidi" w:hAnsiTheme="majorBidi" w:cstheme="majorBidi"/>
          <w:b w:val="0"/>
          <w:bCs w:val="0"/>
          <w:color w:val="000000" w:themeColor="text1"/>
        </w:rPr>
        <w:t>Zhou, Y., Zhang, L., &amp; Zhang, B.</w:t>
      </w:r>
      <w:r w:rsidRPr="00FC76AF">
        <w:rPr>
          <w:rFonts w:asciiTheme="majorBidi" w:hAnsiTheme="majorBidi" w:cstheme="majorBidi"/>
          <w:color w:val="000000" w:themeColor="text1"/>
        </w:rPr>
        <w:t> (2012). Influence of lightweight aggregate on the thermal properties of building materials. </w:t>
      </w:r>
      <w:r w:rsidRPr="00FC76AF">
        <w:rPr>
          <w:rStyle w:val="a7"/>
          <w:rFonts w:asciiTheme="majorBidi" w:hAnsiTheme="majorBidi" w:cstheme="majorBidi"/>
          <w:color w:val="000000" w:themeColor="text1"/>
        </w:rPr>
        <w:t>Construction and Building Materials, 30</w:t>
      </w:r>
      <w:r w:rsidRPr="00FC76AF">
        <w:rPr>
          <w:rFonts w:asciiTheme="majorBidi" w:hAnsiTheme="majorBidi" w:cstheme="majorBidi"/>
          <w:color w:val="000000" w:themeColor="text1"/>
        </w:rPr>
        <w:t>, 763–768. </w:t>
      </w:r>
      <w:hyperlink r:id="rId37" w:tgtFrame="_blank" w:history="1">
        <w:r w:rsidRPr="00FC76AF">
          <w:rPr>
            <w:rStyle w:val="Hyperlink"/>
            <w:rFonts w:asciiTheme="majorBidi" w:hAnsiTheme="majorBidi" w:cstheme="majorBidi"/>
            <w:color w:val="000000" w:themeColor="text1"/>
          </w:rPr>
          <w:t>https://doi.org/10.1016/j.conbuildmat.2011.12.050</w:t>
        </w:r>
      </w:hyperlink>
      <w:r w:rsidRPr="00FC76AF">
        <w:rPr>
          <w:rStyle w:val="Hyperlink"/>
          <w:rFonts w:asciiTheme="majorBidi" w:hAnsiTheme="majorBidi" w:cstheme="majorBidi"/>
          <w:color w:val="000000" w:themeColor="text1"/>
        </w:rPr>
        <w:t>.</w:t>
      </w:r>
    </w:p>
    <w:p w:rsidR="00614B52" w:rsidRPr="00FC76AF" w:rsidRDefault="00614B52" w:rsidP="00614B52">
      <w:pPr>
        <w:pStyle w:val="a5"/>
        <w:spacing w:before="0" w:beforeAutospacing="0"/>
        <w:ind w:left="786"/>
        <w:rPr>
          <w:rFonts w:asciiTheme="minorHAnsi" w:eastAsiaTheme="minorHAnsi" w:hAnsiTheme="minorHAnsi" w:cstheme="minorBidi"/>
          <w:color w:val="000000" w:themeColor="text1"/>
          <w:sz w:val="28"/>
          <w:szCs w:val="28"/>
        </w:rPr>
      </w:pPr>
    </w:p>
    <w:p w:rsidR="00AF708C" w:rsidRPr="00FC76AF" w:rsidRDefault="00AF708C" w:rsidP="00F93C49">
      <w:pPr>
        <w:bidi w:val="0"/>
        <w:spacing w:before="100" w:beforeAutospacing="1" w:after="100" w:afterAutospacing="1" w:line="240" w:lineRule="auto"/>
        <w:outlineLvl w:val="2"/>
        <w:rPr>
          <w:rFonts w:asciiTheme="majorBidi" w:eastAsia="Times New Roman" w:hAnsiTheme="majorBidi" w:cstheme="majorBidi"/>
          <w:color w:val="000000" w:themeColor="text1"/>
          <w:sz w:val="24"/>
          <w:szCs w:val="24"/>
          <w:rtl/>
        </w:rPr>
      </w:pPr>
    </w:p>
    <w:p w:rsidR="00AF708C" w:rsidRPr="00FC76AF" w:rsidRDefault="00AF708C" w:rsidP="00AF708C">
      <w:pPr>
        <w:bidi w:val="0"/>
        <w:spacing w:before="100" w:beforeAutospacing="1" w:after="100" w:afterAutospacing="1" w:line="240" w:lineRule="auto"/>
        <w:outlineLvl w:val="2"/>
        <w:rPr>
          <w:rFonts w:asciiTheme="majorBidi" w:eastAsia="Times New Roman" w:hAnsiTheme="majorBidi" w:cstheme="majorBidi"/>
          <w:color w:val="000000" w:themeColor="text1"/>
          <w:sz w:val="24"/>
          <w:szCs w:val="24"/>
          <w:rtl/>
        </w:rPr>
      </w:pPr>
    </w:p>
    <w:p w:rsidR="0005471E" w:rsidRPr="00FC76AF" w:rsidRDefault="0005471E" w:rsidP="0005471E">
      <w:pPr>
        <w:jc w:val="both"/>
        <w:rPr>
          <w:rFonts w:asciiTheme="majorBidi" w:hAnsiTheme="majorBidi" w:cstheme="majorBidi"/>
          <w:color w:val="000000" w:themeColor="text1"/>
          <w:sz w:val="24"/>
          <w:szCs w:val="24"/>
        </w:rPr>
      </w:pPr>
    </w:p>
    <w:sectPr w:rsidR="0005471E" w:rsidRPr="00FC76AF" w:rsidSect="001551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F95"/>
    <w:multiLevelType w:val="multilevel"/>
    <w:tmpl w:val="60924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8C798C"/>
    <w:multiLevelType w:val="multilevel"/>
    <w:tmpl w:val="7D1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001C8"/>
    <w:multiLevelType w:val="multilevel"/>
    <w:tmpl w:val="A516BC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A0F59"/>
    <w:multiLevelType w:val="multilevel"/>
    <w:tmpl w:val="142A0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B30B5A"/>
    <w:multiLevelType w:val="multilevel"/>
    <w:tmpl w:val="7D28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BF5FEA"/>
    <w:multiLevelType w:val="multilevel"/>
    <w:tmpl w:val="B480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901453"/>
    <w:multiLevelType w:val="hybridMultilevel"/>
    <w:tmpl w:val="2340B9BA"/>
    <w:lvl w:ilvl="0" w:tplc="A30C8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6F08A0"/>
    <w:multiLevelType w:val="multilevel"/>
    <w:tmpl w:val="0D747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3D50F1"/>
    <w:multiLevelType w:val="multilevel"/>
    <w:tmpl w:val="C47674B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64371A"/>
    <w:multiLevelType w:val="hybridMultilevel"/>
    <w:tmpl w:val="D5D61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A25BB2"/>
    <w:multiLevelType w:val="multilevel"/>
    <w:tmpl w:val="09A2F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57220E"/>
    <w:multiLevelType w:val="multilevel"/>
    <w:tmpl w:val="530C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411A17"/>
    <w:multiLevelType w:val="multilevel"/>
    <w:tmpl w:val="1F929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9"/>
  </w:num>
  <w:num w:numId="4">
    <w:abstractNumId w:val="3"/>
  </w:num>
  <w:num w:numId="5">
    <w:abstractNumId w:val="12"/>
  </w:num>
  <w:num w:numId="6">
    <w:abstractNumId w:val="5"/>
  </w:num>
  <w:num w:numId="7">
    <w:abstractNumId w:val="7"/>
  </w:num>
  <w:num w:numId="8">
    <w:abstractNumId w:val="0"/>
  </w:num>
  <w:num w:numId="9">
    <w:abstractNumId w:val="8"/>
  </w:num>
  <w:num w:numId="10">
    <w:abstractNumId w:val="6"/>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EB"/>
    <w:rsid w:val="000025ED"/>
    <w:rsid w:val="000057FF"/>
    <w:rsid w:val="00014170"/>
    <w:rsid w:val="00016F74"/>
    <w:rsid w:val="0002235E"/>
    <w:rsid w:val="00033EA4"/>
    <w:rsid w:val="00040E69"/>
    <w:rsid w:val="00042725"/>
    <w:rsid w:val="00050E43"/>
    <w:rsid w:val="000512F5"/>
    <w:rsid w:val="00051CD5"/>
    <w:rsid w:val="00053547"/>
    <w:rsid w:val="0005471E"/>
    <w:rsid w:val="00066990"/>
    <w:rsid w:val="00074622"/>
    <w:rsid w:val="00076344"/>
    <w:rsid w:val="00081111"/>
    <w:rsid w:val="00084F95"/>
    <w:rsid w:val="000902FD"/>
    <w:rsid w:val="00095F9B"/>
    <w:rsid w:val="000A1379"/>
    <w:rsid w:val="000A42F8"/>
    <w:rsid w:val="000A5CE9"/>
    <w:rsid w:val="000A7298"/>
    <w:rsid w:val="000B1493"/>
    <w:rsid w:val="000B2073"/>
    <w:rsid w:val="000B4FB8"/>
    <w:rsid w:val="000C6583"/>
    <w:rsid w:val="000C7FC4"/>
    <w:rsid w:val="000D0197"/>
    <w:rsid w:val="000E4801"/>
    <w:rsid w:val="000E718C"/>
    <w:rsid w:val="000F110B"/>
    <w:rsid w:val="000F3DB0"/>
    <w:rsid w:val="000F455B"/>
    <w:rsid w:val="000F6B38"/>
    <w:rsid w:val="00120263"/>
    <w:rsid w:val="001226CE"/>
    <w:rsid w:val="0012328F"/>
    <w:rsid w:val="00130D86"/>
    <w:rsid w:val="0014074B"/>
    <w:rsid w:val="001476DF"/>
    <w:rsid w:val="00150A57"/>
    <w:rsid w:val="0015511C"/>
    <w:rsid w:val="00162307"/>
    <w:rsid w:val="001646D7"/>
    <w:rsid w:val="001745C0"/>
    <w:rsid w:val="00181F4D"/>
    <w:rsid w:val="00184F5E"/>
    <w:rsid w:val="001855CC"/>
    <w:rsid w:val="00186500"/>
    <w:rsid w:val="00187E6D"/>
    <w:rsid w:val="001960A2"/>
    <w:rsid w:val="001A13C6"/>
    <w:rsid w:val="001A5E9B"/>
    <w:rsid w:val="001B5F58"/>
    <w:rsid w:val="001C5CD8"/>
    <w:rsid w:val="001D46A3"/>
    <w:rsid w:val="001E2F09"/>
    <w:rsid w:val="001E3E14"/>
    <w:rsid w:val="001E55B2"/>
    <w:rsid w:val="001E6437"/>
    <w:rsid w:val="001F5BE6"/>
    <w:rsid w:val="00205FC8"/>
    <w:rsid w:val="00230FE2"/>
    <w:rsid w:val="00252909"/>
    <w:rsid w:val="0026590F"/>
    <w:rsid w:val="00265E85"/>
    <w:rsid w:val="00267C0D"/>
    <w:rsid w:val="00267D37"/>
    <w:rsid w:val="00271399"/>
    <w:rsid w:val="00277FA3"/>
    <w:rsid w:val="0028298B"/>
    <w:rsid w:val="002846CE"/>
    <w:rsid w:val="00290BAF"/>
    <w:rsid w:val="00291F2C"/>
    <w:rsid w:val="0029279B"/>
    <w:rsid w:val="0029379A"/>
    <w:rsid w:val="0029738A"/>
    <w:rsid w:val="002A0F96"/>
    <w:rsid w:val="002A1E43"/>
    <w:rsid w:val="002A30BB"/>
    <w:rsid w:val="002A50F3"/>
    <w:rsid w:val="002A5E7F"/>
    <w:rsid w:val="002B12AF"/>
    <w:rsid w:val="002C030A"/>
    <w:rsid w:val="002C0F43"/>
    <w:rsid w:val="002C505B"/>
    <w:rsid w:val="002C76B4"/>
    <w:rsid w:val="002D0D98"/>
    <w:rsid w:val="002D190C"/>
    <w:rsid w:val="002D262D"/>
    <w:rsid w:val="002D4A45"/>
    <w:rsid w:val="002E1ED5"/>
    <w:rsid w:val="002E2FFB"/>
    <w:rsid w:val="002E3515"/>
    <w:rsid w:val="002E56F7"/>
    <w:rsid w:val="002E5A67"/>
    <w:rsid w:val="0030276B"/>
    <w:rsid w:val="00302C84"/>
    <w:rsid w:val="003052CB"/>
    <w:rsid w:val="003073D6"/>
    <w:rsid w:val="00311494"/>
    <w:rsid w:val="003127AB"/>
    <w:rsid w:val="00321F8B"/>
    <w:rsid w:val="003410B8"/>
    <w:rsid w:val="003460C4"/>
    <w:rsid w:val="0034672F"/>
    <w:rsid w:val="00352BE0"/>
    <w:rsid w:val="00364202"/>
    <w:rsid w:val="00364267"/>
    <w:rsid w:val="003735BC"/>
    <w:rsid w:val="00383654"/>
    <w:rsid w:val="00384172"/>
    <w:rsid w:val="003937D8"/>
    <w:rsid w:val="00393828"/>
    <w:rsid w:val="003A7EE7"/>
    <w:rsid w:val="003B26FB"/>
    <w:rsid w:val="003B5FB2"/>
    <w:rsid w:val="003C2CEC"/>
    <w:rsid w:val="003D1202"/>
    <w:rsid w:val="003E3697"/>
    <w:rsid w:val="003E4E12"/>
    <w:rsid w:val="003F316F"/>
    <w:rsid w:val="00400E05"/>
    <w:rsid w:val="00403056"/>
    <w:rsid w:val="00403B77"/>
    <w:rsid w:val="00407A8A"/>
    <w:rsid w:val="0042060D"/>
    <w:rsid w:val="0042144E"/>
    <w:rsid w:val="00423062"/>
    <w:rsid w:val="00423FB8"/>
    <w:rsid w:val="00430399"/>
    <w:rsid w:val="00435762"/>
    <w:rsid w:val="00450122"/>
    <w:rsid w:val="004545D3"/>
    <w:rsid w:val="004570A9"/>
    <w:rsid w:val="00461FBF"/>
    <w:rsid w:val="00463002"/>
    <w:rsid w:val="00483E37"/>
    <w:rsid w:val="00487DBD"/>
    <w:rsid w:val="00496318"/>
    <w:rsid w:val="00497306"/>
    <w:rsid w:val="004A29CF"/>
    <w:rsid w:val="004A5DE0"/>
    <w:rsid w:val="004B4D8A"/>
    <w:rsid w:val="004C3CE6"/>
    <w:rsid w:val="004C517E"/>
    <w:rsid w:val="004C788F"/>
    <w:rsid w:val="004D6282"/>
    <w:rsid w:val="004D7D6F"/>
    <w:rsid w:val="004E0747"/>
    <w:rsid w:val="004F461A"/>
    <w:rsid w:val="004F64CA"/>
    <w:rsid w:val="005032DA"/>
    <w:rsid w:val="005036BA"/>
    <w:rsid w:val="00511BB4"/>
    <w:rsid w:val="00515695"/>
    <w:rsid w:val="00515AEC"/>
    <w:rsid w:val="00521757"/>
    <w:rsid w:val="005222C1"/>
    <w:rsid w:val="00524FE1"/>
    <w:rsid w:val="00531EE1"/>
    <w:rsid w:val="005371EE"/>
    <w:rsid w:val="00540B90"/>
    <w:rsid w:val="00550813"/>
    <w:rsid w:val="005534F4"/>
    <w:rsid w:val="00555B74"/>
    <w:rsid w:val="0055742A"/>
    <w:rsid w:val="0055763D"/>
    <w:rsid w:val="00560154"/>
    <w:rsid w:val="00563E14"/>
    <w:rsid w:val="00572EA4"/>
    <w:rsid w:val="00574281"/>
    <w:rsid w:val="00577697"/>
    <w:rsid w:val="00577EDC"/>
    <w:rsid w:val="005826F1"/>
    <w:rsid w:val="00583E2C"/>
    <w:rsid w:val="0058450D"/>
    <w:rsid w:val="00585B53"/>
    <w:rsid w:val="00590D7D"/>
    <w:rsid w:val="005A6603"/>
    <w:rsid w:val="005B199A"/>
    <w:rsid w:val="005B4FCB"/>
    <w:rsid w:val="005B7A58"/>
    <w:rsid w:val="005C0457"/>
    <w:rsid w:val="005C0F22"/>
    <w:rsid w:val="005C3343"/>
    <w:rsid w:val="005D2539"/>
    <w:rsid w:val="005D7DA5"/>
    <w:rsid w:val="005F5356"/>
    <w:rsid w:val="00603598"/>
    <w:rsid w:val="00604160"/>
    <w:rsid w:val="00611A0F"/>
    <w:rsid w:val="006127C2"/>
    <w:rsid w:val="006133C5"/>
    <w:rsid w:val="0061477D"/>
    <w:rsid w:val="00614B52"/>
    <w:rsid w:val="00615474"/>
    <w:rsid w:val="0061562A"/>
    <w:rsid w:val="00615FAA"/>
    <w:rsid w:val="00616EC2"/>
    <w:rsid w:val="006170D7"/>
    <w:rsid w:val="006233A4"/>
    <w:rsid w:val="00652B41"/>
    <w:rsid w:val="00653566"/>
    <w:rsid w:val="00654719"/>
    <w:rsid w:val="006549A6"/>
    <w:rsid w:val="00657E76"/>
    <w:rsid w:val="00665D83"/>
    <w:rsid w:val="006718EB"/>
    <w:rsid w:val="0067372B"/>
    <w:rsid w:val="00674B61"/>
    <w:rsid w:val="00682B65"/>
    <w:rsid w:val="00693D90"/>
    <w:rsid w:val="00695731"/>
    <w:rsid w:val="006962FA"/>
    <w:rsid w:val="006A52BA"/>
    <w:rsid w:val="006A57CE"/>
    <w:rsid w:val="006A6C0E"/>
    <w:rsid w:val="006C00B6"/>
    <w:rsid w:val="006C0E1D"/>
    <w:rsid w:val="006C1210"/>
    <w:rsid w:val="006C33D8"/>
    <w:rsid w:val="006C3621"/>
    <w:rsid w:val="006C64D0"/>
    <w:rsid w:val="006D22BE"/>
    <w:rsid w:val="006D284A"/>
    <w:rsid w:val="006D2BD7"/>
    <w:rsid w:val="006E2353"/>
    <w:rsid w:val="006F0C6A"/>
    <w:rsid w:val="00703087"/>
    <w:rsid w:val="00703DCA"/>
    <w:rsid w:val="0070682C"/>
    <w:rsid w:val="0070755B"/>
    <w:rsid w:val="007106B8"/>
    <w:rsid w:val="007123CE"/>
    <w:rsid w:val="00721A6A"/>
    <w:rsid w:val="0072392B"/>
    <w:rsid w:val="00751F6A"/>
    <w:rsid w:val="00752D3C"/>
    <w:rsid w:val="00761CD0"/>
    <w:rsid w:val="00770B13"/>
    <w:rsid w:val="00772E75"/>
    <w:rsid w:val="00775626"/>
    <w:rsid w:val="00781B9D"/>
    <w:rsid w:val="00782716"/>
    <w:rsid w:val="0078685F"/>
    <w:rsid w:val="00786A3D"/>
    <w:rsid w:val="00786B24"/>
    <w:rsid w:val="007A0D15"/>
    <w:rsid w:val="007A12FA"/>
    <w:rsid w:val="007A6092"/>
    <w:rsid w:val="007B2E1F"/>
    <w:rsid w:val="007B65B7"/>
    <w:rsid w:val="007C320C"/>
    <w:rsid w:val="007C59C6"/>
    <w:rsid w:val="007D1594"/>
    <w:rsid w:val="007D2236"/>
    <w:rsid w:val="007E1735"/>
    <w:rsid w:val="007E1F5A"/>
    <w:rsid w:val="007E50C0"/>
    <w:rsid w:val="007F467B"/>
    <w:rsid w:val="00805C54"/>
    <w:rsid w:val="008101D9"/>
    <w:rsid w:val="00817506"/>
    <w:rsid w:val="008202F0"/>
    <w:rsid w:val="00822460"/>
    <w:rsid w:val="00845279"/>
    <w:rsid w:val="0085756E"/>
    <w:rsid w:val="008643BE"/>
    <w:rsid w:val="008729BE"/>
    <w:rsid w:val="00875C97"/>
    <w:rsid w:val="008773B4"/>
    <w:rsid w:val="00883E14"/>
    <w:rsid w:val="008917AE"/>
    <w:rsid w:val="00891C2F"/>
    <w:rsid w:val="00892BC0"/>
    <w:rsid w:val="00896C91"/>
    <w:rsid w:val="008A1D32"/>
    <w:rsid w:val="008A5E82"/>
    <w:rsid w:val="008B04F9"/>
    <w:rsid w:val="008B5606"/>
    <w:rsid w:val="008C2FD8"/>
    <w:rsid w:val="008C4F7C"/>
    <w:rsid w:val="008C573E"/>
    <w:rsid w:val="008D7227"/>
    <w:rsid w:val="008D7DD8"/>
    <w:rsid w:val="00903F27"/>
    <w:rsid w:val="0090721B"/>
    <w:rsid w:val="00911E5A"/>
    <w:rsid w:val="00917C47"/>
    <w:rsid w:val="00917D12"/>
    <w:rsid w:val="009205EE"/>
    <w:rsid w:val="00921D48"/>
    <w:rsid w:val="00924725"/>
    <w:rsid w:val="00932539"/>
    <w:rsid w:val="00945C52"/>
    <w:rsid w:val="009473F4"/>
    <w:rsid w:val="0095217B"/>
    <w:rsid w:val="00963302"/>
    <w:rsid w:val="00965EED"/>
    <w:rsid w:val="009928DB"/>
    <w:rsid w:val="009A0C09"/>
    <w:rsid w:val="009A473C"/>
    <w:rsid w:val="009A476D"/>
    <w:rsid w:val="009B0CB7"/>
    <w:rsid w:val="009B1163"/>
    <w:rsid w:val="009B23A2"/>
    <w:rsid w:val="009C0CAB"/>
    <w:rsid w:val="009C7A4A"/>
    <w:rsid w:val="009D0C23"/>
    <w:rsid w:val="009E2E21"/>
    <w:rsid w:val="009F5B1B"/>
    <w:rsid w:val="00A03629"/>
    <w:rsid w:val="00A07316"/>
    <w:rsid w:val="00A11109"/>
    <w:rsid w:val="00A13E18"/>
    <w:rsid w:val="00A2364A"/>
    <w:rsid w:val="00A23DC9"/>
    <w:rsid w:val="00A27AB3"/>
    <w:rsid w:val="00A33489"/>
    <w:rsid w:val="00A50CA5"/>
    <w:rsid w:val="00A576EF"/>
    <w:rsid w:val="00A63849"/>
    <w:rsid w:val="00A74720"/>
    <w:rsid w:val="00A92820"/>
    <w:rsid w:val="00AB5D0C"/>
    <w:rsid w:val="00AB7218"/>
    <w:rsid w:val="00AC3D66"/>
    <w:rsid w:val="00AD064D"/>
    <w:rsid w:val="00AD1BC4"/>
    <w:rsid w:val="00AF708C"/>
    <w:rsid w:val="00AF7695"/>
    <w:rsid w:val="00B020C8"/>
    <w:rsid w:val="00B02EF0"/>
    <w:rsid w:val="00B0680C"/>
    <w:rsid w:val="00B14E2D"/>
    <w:rsid w:val="00B2183F"/>
    <w:rsid w:val="00B24EE0"/>
    <w:rsid w:val="00B40B49"/>
    <w:rsid w:val="00B40CDB"/>
    <w:rsid w:val="00B47F01"/>
    <w:rsid w:val="00B55794"/>
    <w:rsid w:val="00B61FC1"/>
    <w:rsid w:val="00B63129"/>
    <w:rsid w:val="00B669E8"/>
    <w:rsid w:val="00B66BDB"/>
    <w:rsid w:val="00B72ED3"/>
    <w:rsid w:val="00B737F0"/>
    <w:rsid w:val="00B7620C"/>
    <w:rsid w:val="00B8377D"/>
    <w:rsid w:val="00B86388"/>
    <w:rsid w:val="00B922DD"/>
    <w:rsid w:val="00BA7308"/>
    <w:rsid w:val="00BB36D9"/>
    <w:rsid w:val="00BB67CC"/>
    <w:rsid w:val="00BC6658"/>
    <w:rsid w:val="00BC6D83"/>
    <w:rsid w:val="00BD1AAB"/>
    <w:rsid w:val="00BD4A93"/>
    <w:rsid w:val="00BD4DE5"/>
    <w:rsid w:val="00BD7B3A"/>
    <w:rsid w:val="00BE080D"/>
    <w:rsid w:val="00BE0D28"/>
    <w:rsid w:val="00BF15EE"/>
    <w:rsid w:val="00BF30D3"/>
    <w:rsid w:val="00C02C4D"/>
    <w:rsid w:val="00C04804"/>
    <w:rsid w:val="00C05EB3"/>
    <w:rsid w:val="00C1128E"/>
    <w:rsid w:val="00C2344F"/>
    <w:rsid w:val="00C24940"/>
    <w:rsid w:val="00C35E1B"/>
    <w:rsid w:val="00C43ACD"/>
    <w:rsid w:val="00C4721C"/>
    <w:rsid w:val="00C5353E"/>
    <w:rsid w:val="00C54685"/>
    <w:rsid w:val="00C54C11"/>
    <w:rsid w:val="00C555AC"/>
    <w:rsid w:val="00C573F3"/>
    <w:rsid w:val="00C577D3"/>
    <w:rsid w:val="00C579AA"/>
    <w:rsid w:val="00C613F4"/>
    <w:rsid w:val="00C61A8E"/>
    <w:rsid w:val="00C66AC4"/>
    <w:rsid w:val="00C67CC1"/>
    <w:rsid w:val="00C701EC"/>
    <w:rsid w:val="00C74F57"/>
    <w:rsid w:val="00C75019"/>
    <w:rsid w:val="00C77914"/>
    <w:rsid w:val="00C92042"/>
    <w:rsid w:val="00CA3A24"/>
    <w:rsid w:val="00CC5954"/>
    <w:rsid w:val="00CC7B9D"/>
    <w:rsid w:val="00CD03C3"/>
    <w:rsid w:val="00CD0D62"/>
    <w:rsid w:val="00CD26BF"/>
    <w:rsid w:val="00CD787A"/>
    <w:rsid w:val="00CF6BBD"/>
    <w:rsid w:val="00D03B64"/>
    <w:rsid w:val="00D1180C"/>
    <w:rsid w:val="00D1273E"/>
    <w:rsid w:val="00D16B61"/>
    <w:rsid w:val="00D24EC2"/>
    <w:rsid w:val="00D274CE"/>
    <w:rsid w:val="00D27671"/>
    <w:rsid w:val="00D30B33"/>
    <w:rsid w:val="00D3604A"/>
    <w:rsid w:val="00D455BC"/>
    <w:rsid w:val="00D550CF"/>
    <w:rsid w:val="00D604A7"/>
    <w:rsid w:val="00D667EC"/>
    <w:rsid w:val="00D7387A"/>
    <w:rsid w:val="00D80ACE"/>
    <w:rsid w:val="00D86143"/>
    <w:rsid w:val="00D87115"/>
    <w:rsid w:val="00D91814"/>
    <w:rsid w:val="00D95502"/>
    <w:rsid w:val="00D9628F"/>
    <w:rsid w:val="00D971EA"/>
    <w:rsid w:val="00D97298"/>
    <w:rsid w:val="00DA21ED"/>
    <w:rsid w:val="00DC4AE1"/>
    <w:rsid w:val="00DD4DAC"/>
    <w:rsid w:val="00DD58CB"/>
    <w:rsid w:val="00DE432C"/>
    <w:rsid w:val="00DE5FF6"/>
    <w:rsid w:val="00DF1D14"/>
    <w:rsid w:val="00DF3F1B"/>
    <w:rsid w:val="00DF6C43"/>
    <w:rsid w:val="00E00009"/>
    <w:rsid w:val="00E10D08"/>
    <w:rsid w:val="00E12833"/>
    <w:rsid w:val="00E13203"/>
    <w:rsid w:val="00E141DA"/>
    <w:rsid w:val="00E22654"/>
    <w:rsid w:val="00E27C07"/>
    <w:rsid w:val="00E338B3"/>
    <w:rsid w:val="00E33BCC"/>
    <w:rsid w:val="00E36DD3"/>
    <w:rsid w:val="00E414F0"/>
    <w:rsid w:val="00E44E04"/>
    <w:rsid w:val="00E454FA"/>
    <w:rsid w:val="00E47295"/>
    <w:rsid w:val="00E525AB"/>
    <w:rsid w:val="00E53FBB"/>
    <w:rsid w:val="00E639C3"/>
    <w:rsid w:val="00E65941"/>
    <w:rsid w:val="00E73DA1"/>
    <w:rsid w:val="00E75792"/>
    <w:rsid w:val="00E76025"/>
    <w:rsid w:val="00E76DFA"/>
    <w:rsid w:val="00E8459C"/>
    <w:rsid w:val="00E95A2E"/>
    <w:rsid w:val="00E9645D"/>
    <w:rsid w:val="00EA0008"/>
    <w:rsid w:val="00EA2874"/>
    <w:rsid w:val="00EA4ED9"/>
    <w:rsid w:val="00EA513A"/>
    <w:rsid w:val="00EB2387"/>
    <w:rsid w:val="00EB3A49"/>
    <w:rsid w:val="00EB524F"/>
    <w:rsid w:val="00EC48ED"/>
    <w:rsid w:val="00ED0219"/>
    <w:rsid w:val="00ED0411"/>
    <w:rsid w:val="00ED1C8C"/>
    <w:rsid w:val="00ED2613"/>
    <w:rsid w:val="00EE19ED"/>
    <w:rsid w:val="00EE227E"/>
    <w:rsid w:val="00EE6321"/>
    <w:rsid w:val="00EF10CC"/>
    <w:rsid w:val="00EF474B"/>
    <w:rsid w:val="00EF7B32"/>
    <w:rsid w:val="00F009A3"/>
    <w:rsid w:val="00F44F75"/>
    <w:rsid w:val="00F55806"/>
    <w:rsid w:val="00F57AC4"/>
    <w:rsid w:val="00F62DD2"/>
    <w:rsid w:val="00F630E1"/>
    <w:rsid w:val="00F722F2"/>
    <w:rsid w:val="00F727D3"/>
    <w:rsid w:val="00F849A1"/>
    <w:rsid w:val="00F91631"/>
    <w:rsid w:val="00F93C49"/>
    <w:rsid w:val="00FB47C4"/>
    <w:rsid w:val="00FB6E4E"/>
    <w:rsid w:val="00FB7CD1"/>
    <w:rsid w:val="00FC1818"/>
    <w:rsid w:val="00FC76AF"/>
    <w:rsid w:val="00FC77E5"/>
    <w:rsid w:val="00FD1A03"/>
    <w:rsid w:val="00FD30E6"/>
    <w:rsid w:val="00FD7D89"/>
    <w:rsid w:val="00FE0A02"/>
    <w:rsid w:val="00FE0C18"/>
    <w:rsid w:val="00FE113B"/>
    <w:rsid w:val="00FE5131"/>
    <w:rsid w:val="00FE7BDD"/>
    <w:rsid w:val="00FE7FB5"/>
    <w:rsid w:val="00FF2C5E"/>
    <w:rsid w:val="00FF7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460"/>
    <w:pPr>
      <w:bidi/>
    </w:pPr>
  </w:style>
  <w:style w:type="paragraph" w:styleId="3">
    <w:name w:val="heading 3"/>
    <w:basedOn w:val="a"/>
    <w:link w:val="3Char"/>
    <w:uiPriority w:val="9"/>
    <w:qFormat/>
    <w:rsid w:val="0051569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unhideWhenUsed/>
    <w:qFormat/>
    <w:rsid w:val="00CD78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217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346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6A57C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A57CE"/>
    <w:rPr>
      <w:rFonts w:ascii="Tahoma" w:hAnsi="Tahoma" w:cs="Tahoma"/>
      <w:sz w:val="16"/>
      <w:szCs w:val="16"/>
    </w:rPr>
  </w:style>
  <w:style w:type="paragraph" w:styleId="a5">
    <w:name w:val="Normal (Web)"/>
    <w:basedOn w:val="a"/>
    <w:uiPriority w:val="99"/>
    <w:semiHidden/>
    <w:unhideWhenUsed/>
    <w:rsid w:val="00E639C3"/>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شبكة جدول1"/>
    <w:basedOn w:val="a1"/>
    <w:next w:val="a3"/>
    <w:uiPriority w:val="59"/>
    <w:rsid w:val="003E4E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0"/>
    <w:link w:val="3"/>
    <w:uiPriority w:val="9"/>
    <w:rsid w:val="00515695"/>
    <w:rPr>
      <w:rFonts w:ascii="Times New Roman" w:eastAsia="Times New Roman" w:hAnsi="Times New Roman" w:cs="Times New Roman"/>
      <w:b/>
      <w:bCs/>
      <w:sz w:val="27"/>
      <w:szCs w:val="27"/>
    </w:rPr>
  </w:style>
  <w:style w:type="character" w:styleId="a6">
    <w:name w:val="Strong"/>
    <w:basedOn w:val="a0"/>
    <w:uiPriority w:val="22"/>
    <w:qFormat/>
    <w:rsid w:val="00515695"/>
    <w:rPr>
      <w:b/>
      <w:bCs/>
    </w:rPr>
  </w:style>
  <w:style w:type="character" w:styleId="a7">
    <w:name w:val="Emphasis"/>
    <w:basedOn w:val="a0"/>
    <w:uiPriority w:val="20"/>
    <w:qFormat/>
    <w:rsid w:val="00515695"/>
    <w:rPr>
      <w:i/>
      <w:iCs/>
    </w:rPr>
  </w:style>
  <w:style w:type="character" w:customStyle="1" w:styleId="4Char">
    <w:name w:val="عنوان 4 Char"/>
    <w:basedOn w:val="a0"/>
    <w:link w:val="4"/>
    <w:uiPriority w:val="9"/>
    <w:rsid w:val="00CD787A"/>
    <w:rPr>
      <w:rFonts w:asciiTheme="majorHAnsi" w:eastAsiaTheme="majorEastAsia" w:hAnsiTheme="majorHAnsi" w:cstheme="majorBidi"/>
      <w:b/>
      <w:bCs/>
      <w:i/>
      <w:iCs/>
      <w:color w:val="4F81BD" w:themeColor="accent1"/>
    </w:rPr>
  </w:style>
  <w:style w:type="character" w:customStyle="1" w:styleId="katex-mathml">
    <w:name w:val="katex-mathml"/>
    <w:basedOn w:val="a0"/>
    <w:rsid w:val="005B4FCB"/>
  </w:style>
  <w:style w:type="character" w:customStyle="1" w:styleId="mord">
    <w:name w:val="mord"/>
    <w:basedOn w:val="a0"/>
    <w:rsid w:val="005B4FCB"/>
  </w:style>
  <w:style w:type="character" w:customStyle="1" w:styleId="mrel">
    <w:name w:val="mrel"/>
    <w:basedOn w:val="a0"/>
    <w:rsid w:val="005B4FCB"/>
  </w:style>
  <w:style w:type="character" w:styleId="Hyperlink">
    <w:name w:val="Hyperlink"/>
    <w:basedOn w:val="a0"/>
    <w:uiPriority w:val="99"/>
    <w:unhideWhenUsed/>
    <w:rsid w:val="005036BA"/>
    <w:rPr>
      <w:color w:val="0000FF"/>
      <w:u w:val="single"/>
    </w:rPr>
  </w:style>
  <w:style w:type="paragraph" w:styleId="a8">
    <w:name w:val="List Paragraph"/>
    <w:basedOn w:val="a"/>
    <w:uiPriority w:val="34"/>
    <w:qFormat/>
    <w:rsid w:val="00016F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460"/>
    <w:pPr>
      <w:bidi/>
    </w:pPr>
  </w:style>
  <w:style w:type="paragraph" w:styleId="3">
    <w:name w:val="heading 3"/>
    <w:basedOn w:val="a"/>
    <w:link w:val="3Char"/>
    <w:uiPriority w:val="9"/>
    <w:qFormat/>
    <w:rsid w:val="0051569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unhideWhenUsed/>
    <w:qFormat/>
    <w:rsid w:val="00CD78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217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346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6A57C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A57CE"/>
    <w:rPr>
      <w:rFonts w:ascii="Tahoma" w:hAnsi="Tahoma" w:cs="Tahoma"/>
      <w:sz w:val="16"/>
      <w:szCs w:val="16"/>
    </w:rPr>
  </w:style>
  <w:style w:type="paragraph" w:styleId="a5">
    <w:name w:val="Normal (Web)"/>
    <w:basedOn w:val="a"/>
    <w:uiPriority w:val="99"/>
    <w:semiHidden/>
    <w:unhideWhenUsed/>
    <w:rsid w:val="00E639C3"/>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شبكة جدول1"/>
    <w:basedOn w:val="a1"/>
    <w:next w:val="a3"/>
    <w:uiPriority w:val="59"/>
    <w:rsid w:val="003E4E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0"/>
    <w:link w:val="3"/>
    <w:uiPriority w:val="9"/>
    <w:rsid w:val="00515695"/>
    <w:rPr>
      <w:rFonts w:ascii="Times New Roman" w:eastAsia="Times New Roman" w:hAnsi="Times New Roman" w:cs="Times New Roman"/>
      <w:b/>
      <w:bCs/>
      <w:sz w:val="27"/>
      <w:szCs w:val="27"/>
    </w:rPr>
  </w:style>
  <w:style w:type="character" w:styleId="a6">
    <w:name w:val="Strong"/>
    <w:basedOn w:val="a0"/>
    <w:uiPriority w:val="22"/>
    <w:qFormat/>
    <w:rsid w:val="00515695"/>
    <w:rPr>
      <w:b/>
      <w:bCs/>
    </w:rPr>
  </w:style>
  <w:style w:type="character" w:styleId="a7">
    <w:name w:val="Emphasis"/>
    <w:basedOn w:val="a0"/>
    <w:uiPriority w:val="20"/>
    <w:qFormat/>
    <w:rsid w:val="00515695"/>
    <w:rPr>
      <w:i/>
      <w:iCs/>
    </w:rPr>
  </w:style>
  <w:style w:type="character" w:customStyle="1" w:styleId="4Char">
    <w:name w:val="عنوان 4 Char"/>
    <w:basedOn w:val="a0"/>
    <w:link w:val="4"/>
    <w:uiPriority w:val="9"/>
    <w:rsid w:val="00CD787A"/>
    <w:rPr>
      <w:rFonts w:asciiTheme="majorHAnsi" w:eastAsiaTheme="majorEastAsia" w:hAnsiTheme="majorHAnsi" w:cstheme="majorBidi"/>
      <w:b/>
      <w:bCs/>
      <w:i/>
      <w:iCs/>
      <w:color w:val="4F81BD" w:themeColor="accent1"/>
    </w:rPr>
  </w:style>
  <w:style w:type="character" w:customStyle="1" w:styleId="katex-mathml">
    <w:name w:val="katex-mathml"/>
    <w:basedOn w:val="a0"/>
    <w:rsid w:val="005B4FCB"/>
  </w:style>
  <w:style w:type="character" w:customStyle="1" w:styleId="mord">
    <w:name w:val="mord"/>
    <w:basedOn w:val="a0"/>
    <w:rsid w:val="005B4FCB"/>
  </w:style>
  <w:style w:type="character" w:customStyle="1" w:styleId="mrel">
    <w:name w:val="mrel"/>
    <w:basedOn w:val="a0"/>
    <w:rsid w:val="005B4FCB"/>
  </w:style>
  <w:style w:type="character" w:styleId="Hyperlink">
    <w:name w:val="Hyperlink"/>
    <w:basedOn w:val="a0"/>
    <w:uiPriority w:val="99"/>
    <w:unhideWhenUsed/>
    <w:rsid w:val="005036BA"/>
    <w:rPr>
      <w:color w:val="0000FF"/>
      <w:u w:val="single"/>
    </w:rPr>
  </w:style>
  <w:style w:type="paragraph" w:styleId="a8">
    <w:name w:val="List Paragraph"/>
    <w:basedOn w:val="a"/>
    <w:uiPriority w:val="34"/>
    <w:qFormat/>
    <w:rsid w:val="00016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9736">
      <w:bodyDiv w:val="1"/>
      <w:marLeft w:val="0"/>
      <w:marRight w:val="0"/>
      <w:marTop w:val="0"/>
      <w:marBottom w:val="0"/>
      <w:divBdr>
        <w:top w:val="none" w:sz="0" w:space="0" w:color="auto"/>
        <w:left w:val="none" w:sz="0" w:space="0" w:color="auto"/>
        <w:bottom w:val="none" w:sz="0" w:space="0" w:color="auto"/>
        <w:right w:val="none" w:sz="0" w:space="0" w:color="auto"/>
      </w:divBdr>
      <w:divsChild>
        <w:div w:id="1291550185">
          <w:marLeft w:val="0"/>
          <w:marRight w:val="0"/>
          <w:marTop w:val="0"/>
          <w:marBottom w:val="0"/>
          <w:divBdr>
            <w:top w:val="none" w:sz="0" w:space="0" w:color="auto"/>
            <w:left w:val="none" w:sz="0" w:space="0" w:color="auto"/>
            <w:bottom w:val="none" w:sz="0" w:space="0" w:color="auto"/>
            <w:right w:val="none" w:sz="0" w:space="0" w:color="auto"/>
          </w:divBdr>
          <w:divsChild>
            <w:div w:id="1103454353">
              <w:marLeft w:val="0"/>
              <w:marRight w:val="0"/>
              <w:marTop w:val="0"/>
              <w:marBottom w:val="0"/>
              <w:divBdr>
                <w:top w:val="none" w:sz="0" w:space="0" w:color="auto"/>
                <w:left w:val="none" w:sz="0" w:space="0" w:color="auto"/>
                <w:bottom w:val="none" w:sz="0" w:space="0" w:color="auto"/>
                <w:right w:val="none" w:sz="0" w:space="0" w:color="auto"/>
              </w:divBdr>
              <w:divsChild>
                <w:div w:id="243342303">
                  <w:marLeft w:val="0"/>
                  <w:marRight w:val="0"/>
                  <w:marTop w:val="0"/>
                  <w:marBottom w:val="0"/>
                  <w:divBdr>
                    <w:top w:val="none" w:sz="0" w:space="0" w:color="auto"/>
                    <w:left w:val="none" w:sz="0" w:space="0" w:color="auto"/>
                    <w:bottom w:val="none" w:sz="0" w:space="0" w:color="auto"/>
                    <w:right w:val="none" w:sz="0" w:space="0" w:color="auto"/>
                  </w:divBdr>
                  <w:divsChild>
                    <w:div w:id="116067002">
                      <w:marLeft w:val="0"/>
                      <w:marRight w:val="0"/>
                      <w:marTop w:val="0"/>
                      <w:marBottom w:val="0"/>
                      <w:divBdr>
                        <w:top w:val="none" w:sz="0" w:space="0" w:color="auto"/>
                        <w:left w:val="none" w:sz="0" w:space="0" w:color="auto"/>
                        <w:bottom w:val="none" w:sz="0" w:space="0" w:color="auto"/>
                        <w:right w:val="none" w:sz="0" w:space="0" w:color="auto"/>
                      </w:divBdr>
                      <w:divsChild>
                        <w:div w:id="2088109541">
                          <w:marLeft w:val="0"/>
                          <w:marRight w:val="0"/>
                          <w:marTop w:val="0"/>
                          <w:marBottom w:val="0"/>
                          <w:divBdr>
                            <w:top w:val="none" w:sz="0" w:space="0" w:color="auto"/>
                            <w:left w:val="none" w:sz="0" w:space="0" w:color="auto"/>
                            <w:bottom w:val="none" w:sz="0" w:space="0" w:color="auto"/>
                            <w:right w:val="none" w:sz="0" w:space="0" w:color="auto"/>
                          </w:divBdr>
                          <w:divsChild>
                            <w:div w:id="1722363840">
                              <w:marLeft w:val="0"/>
                              <w:marRight w:val="0"/>
                              <w:marTop w:val="0"/>
                              <w:marBottom w:val="0"/>
                              <w:divBdr>
                                <w:top w:val="none" w:sz="0" w:space="0" w:color="auto"/>
                                <w:left w:val="none" w:sz="0" w:space="0" w:color="auto"/>
                                <w:bottom w:val="none" w:sz="0" w:space="0" w:color="auto"/>
                                <w:right w:val="none" w:sz="0" w:space="0" w:color="auto"/>
                              </w:divBdr>
                              <w:divsChild>
                                <w:div w:id="1162819230">
                                  <w:marLeft w:val="0"/>
                                  <w:marRight w:val="0"/>
                                  <w:marTop w:val="0"/>
                                  <w:marBottom w:val="0"/>
                                  <w:divBdr>
                                    <w:top w:val="none" w:sz="0" w:space="0" w:color="auto"/>
                                    <w:left w:val="none" w:sz="0" w:space="0" w:color="auto"/>
                                    <w:bottom w:val="none" w:sz="0" w:space="0" w:color="auto"/>
                                    <w:right w:val="none" w:sz="0" w:space="0" w:color="auto"/>
                                  </w:divBdr>
                                  <w:divsChild>
                                    <w:div w:id="13601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76588">
                          <w:marLeft w:val="0"/>
                          <w:marRight w:val="0"/>
                          <w:marTop w:val="0"/>
                          <w:marBottom w:val="0"/>
                          <w:divBdr>
                            <w:top w:val="none" w:sz="0" w:space="0" w:color="auto"/>
                            <w:left w:val="none" w:sz="0" w:space="0" w:color="auto"/>
                            <w:bottom w:val="none" w:sz="0" w:space="0" w:color="auto"/>
                            <w:right w:val="none" w:sz="0" w:space="0" w:color="auto"/>
                          </w:divBdr>
                          <w:divsChild>
                            <w:div w:id="1348826497">
                              <w:marLeft w:val="0"/>
                              <w:marRight w:val="0"/>
                              <w:marTop w:val="0"/>
                              <w:marBottom w:val="0"/>
                              <w:divBdr>
                                <w:top w:val="none" w:sz="0" w:space="0" w:color="auto"/>
                                <w:left w:val="none" w:sz="0" w:space="0" w:color="auto"/>
                                <w:bottom w:val="none" w:sz="0" w:space="0" w:color="auto"/>
                                <w:right w:val="none" w:sz="0" w:space="0" w:color="auto"/>
                              </w:divBdr>
                              <w:divsChild>
                                <w:div w:id="8972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16280">
      <w:bodyDiv w:val="1"/>
      <w:marLeft w:val="0"/>
      <w:marRight w:val="0"/>
      <w:marTop w:val="0"/>
      <w:marBottom w:val="0"/>
      <w:divBdr>
        <w:top w:val="none" w:sz="0" w:space="0" w:color="auto"/>
        <w:left w:val="none" w:sz="0" w:space="0" w:color="auto"/>
        <w:bottom w:val="none" w:sz="0" w:space="0" w:color="auto"/>
        <w:right w:val="none" w:sz="0" w:space="0" w:color="auto"/>
      </w:divBdr>
    </w:div>
    <w:div w:id="189996001">
      <w:bodyDiv w:val="1"/>
      <w:marLeft w:val="0"/>
      <w:marRight w:val="0"/>
      <w:marTop w:val="0"/>
      <w:marBottom w:val="0"/>
      <w:divBdr>
        <w:top w:val="none" w:sz="0" w:space="0" w:color="auto"/>
        <w:left w:val="none" w:sz="0" w:space="0" w:color="auto"/>
        <w:bottom w:val="none" w:sz="0" w:space="0" w:color="auto"/>
        <w:right w:val="none" w:sz="0" w:space="0" w:color="auto"/>
      </w:divBdr>
    </w:div>
    <w:div w:id="314724168">
      <w:bodyDiv w:val="1"/>
      <w:marLeft w:val="0"/>
      <w:marRight w:val="0"/>
      <w:marTop w:val="0"/>
      <w:marBottom w:val="0"/>
      <w:divBdr>
        <w:top w:val="none" w:sz="0" w:space="0" w:color="auto"/>
        <w:left w:val="none" w:sz="0" w:space="0" w:color="auto"/>
        <w:bottom w:val="none" w:sz="0" w:space="0" w:color="auto"/>
        <w:right w:val="none" w:sz="0" w:space="0" w:color="auto"/>
      </w:divBdr>
    </w:div>
    <w:div w:id="319626002">
      <w:bodyDiv w:val="1"/>
      <w:marLeft w:val="0"/>
      <w:marRight w:val="0"/>
      <w:marTop w:val="0"/>
      <w:marBottom w:val="0"/>
      <w:divBdr>
        <w:top w:val="none" w:sz="0" w:space="0" w:color="auto"/>
        <w:left w:val="none" w:sz="0" w:space="0" w:color="auto"/>
        <w:bottom w:val="none" w:sz="0" w:space="0" w:color="auto"/>
        <w:right w:val="none" w:sz="0" w:space="0" w:color="auto"/>
      </w:divBdr>
    </w:div>
    <w:div w:id="410542984">
      <w:bodyDiv w:val="1"/>
      <w:marLeft w:val="0"/>
      <w:marRight w:val="0"/>
      <w:marTop w:val="0"/>
      <w:marBottom w:val="0"/>
      <w:divBdr>
        <w:top w:val="none" w:sz="0" w:space="0" w:color="auto"/>
        <w:left w:val="none" w:sz="0" w:space="0" w:color="auto"/>
        <w:bottom w:val="none" w:sz="0" w:space="0" w:color="auto"/>
        <w:right w:val="none" w:sz="0" w:space="0" w:color="auto"/>
      </w:divBdr>
    </w:div>
    <w:div w:id="426343103">
      <w:bodyDiv w:val="1"/>
      <w:marLeft w:val="0"/>
      <w:marRight w:val="0"/>
      <w:marTop w:val="0"/>
      <w:marBottom w:val="0"/>
      <w:divBdr>
        <w:top w:val="none" w:sz="0" w:space="0" w:color="auto"/>
        <w:left w:val="none" w:sz="0" w:space="0" w:color="auto"/>
        <w:bottom w:val="none" w:sz="0" w:space="0" w:color="auto"/>
        <w:right w:val="none" w:sz="0" w:space="0" w:color="auto"/>
      </w:divBdr>
    </w:div>
    <w:div w:id="429475485">
      <w:bodyDiv w:val="1"/>
      <w:marLeft w:val="0"/>
      <w:marRight w:val="0"/>
      <w:marTop w:val="0"/>
      <w:marBottom w:val="0"/>
      <w:divBdr>
        <w:top w:val="none" w:sz="0" w:space="0" w:color="auto"/>
        <w:left w:val="none" w:sz="0" w:space="0" w:color="auto"/>
        <w:bottom w:val="none" w:sz="0" w:space="0" w:color="auto"/>
        <w:right w:val="none" w:sz="0" w:space="0" w:color="auto"/>
      </w:divBdr>
    </w:div>
    <w:div w:id="463548900">
      <w:bodyDiv w:val="1"/>
      <w:marLeft w:val="0"/>
      <w:marRight w:val="0"/>
      <w:marTop w:val="0"/>
      <w:marBottom w:val="0"/>
      <w:divBdr>
        <w:top w:val="none" w:sz="0" w:space="0" w:color="auto"/>
        <w:left w:val="none" w:sz="0" w:space="0" w:color="auto"/>
        <w:bottom w:val="none" w:sz="0" w:space="0" w:color="auto"/>
        <w:right w:val="none" w:sz="0" w:space="0" w:color="auto"/>
      </w:divBdr>
    </w:div>
    <w:div w:id="466778888">
      <w:bodyDiv w:val="1"/>
      <w:marLeft w:val="0"/>
      <w:marRight w:val="0"/>
      <w:marTop w:val="0"/>
      <w:marBottom w:val="0"/>
      <w:divBdr>
        <w:top w:val="none" w:sz="0" w:space="0" w:color="auto"/>
        <w:left w:val="none" w:sz="0" w:space="0" w:color="auto"/>
        <w:bottom w:val="none" w:sz="0" w:space="0" w:color="auto"/>
        <w:right w:val="none" w:sz="0" w:space="0" w:color="auto"/>
      </w:divBdr>
    </w:div>
    <w:div w:id="543640318">
      <w:bodyDiv w:val="1"/>
      <w:marLeft w:val="0"/>
      <w:marRight w:val="0"/>
      <w:marTop w:val="0"/>
      <w:marBottom w:val="0"/>
      <w:divBdr>
        <w:top w:val="none" w:sz="0" w:space="0" w:color="auto"/>
        <w:left w:val="none" w:sz="0" w:space="0" w:color="auto"/>
        <w:bottom w:val="none" w:sz="0" w:space="0" w:color="auto"/>
        <w:right w:val="none" w:sz="0" w:space="0" w:color="auto"/>
      </w:divBdr>
    </w:div>
    <w:div w:id="551232253">
      <w:bodyDiv w:val="1"/>
      <w:marLeft w:val="0"/>
      <w:marRight w:val="0"/>
      <w:marTop w:val="0"/>
      <w:marBottom w:val="0"/>
      <w:divBdr>
        <w:top w:val="none" w:sz="0" w:space="0" w:color="auto"/>
        <w:left w:val="none" w:sz="0" w:space="0" w:color="auto"/>
        <w:bottom w:val="none" w:sz="0" w:space="0" w:color="auto"/>
        <w:right w:val="none" w:sz="0" w:space="0" w:color="auto"/>
      </w:divBdr>
    </w:div>
    <w:div w:id="659622114">
      <w:bodyDiv w:val="1"/>
      <w:marLeft w:val="0"/>
      <w:marRight w:val="0"/>
      <w:marTop w:val="0"/>
      <w:marBottom w:val="0"/>
      <w:divBdr>
        <w:top w:val="none" w:sz="0" w:space="0" w:color="auto"/>
        <w:left w:val="none" w:sz="0" w:space="0" w:color="auto"/>
        <w:bottom w:val="none" w:sz="0" w:space="0" w:color="auto"/>
        <w:right w:val="none" w:sz="0" w:space="0" w:color="auto"/>
      </w:divBdr>
    </w:div>
    <w:div w:id="716662406">
      <w:bodyDiv w:val="1"/>
      <w:marLeft w:val="0"/>
      <w:marRight w:val="0"/>
      <w:marTop w:val="0"/>
      <w:marBottom w:val="0"/>
      <w:divBdr>
        <w:top w:val="none" w:sz="0" w:space="0" w:color="auto"/>
        <w:left w:val="none" w:sz="0" w:space="0" w:color="auto"/>
        <w:bottom w:val="none" w:sz="0" w:space="0" w:color="auto"/>
        <w:right w:val="none" w:sz="0" w:space="0" w:color="auto"/>
      </w:divBdr>
    </w:div>
    <w:div w:id="783425679">
      <w:bodyDiv w:val="1"/>
      <w:marLeft w:val="0"/>
      <w:marRight w:val="0"/>
      <w:marTop w:val="0"/>
      <w:marBottom w:val="0"/>
      <w:divBdr>
        <w:top w:val="none" w:sz="0" w:space="0" w:color="auto"/>
        <w:left w:val="none" w:sz="0" w:space="0" w:color="auto"/>
        <w:bottom w:val="none" w:sz="0" w:space="0" w:color="auto"/>
        <w:right w:val="none" w:sz="0" w:space="0" w:color="auto"/>
      </w:divBdr>
    </w:div>
    <w:div w:id="783692177">
      <w:bodyDiv w:val="1"/>
      <w:marLeft w:val="0"/>
      <w:marRight w:val="0"/>
      <w:marTop w:val="0"/>
      <w:marBottom w:val="0"/>
      <w:divBdr>
        <w:top w:val="none" w:sz="0" w:space="0" w:color="auto"/>
        <w:left w:val="none" w:sz="0" w:space="0" w:color="auto"/>
        <w:bottom w:val="none" w:sz="0" w:space="0" w:color="auto"/>
        <w:right w:val="none" w:sz="0" w:space="0" w:color="auto"/>
      </w:divBdr>
    </w:div>
    <w:div w:id="810632178">
      <w:bodyDiv w:val="1"/>
      <w:marLeft w:val="0"/>
      <w:marRight w:val="0"/>
      <w:marTop w:val="0"/>
      <w:marBottom w:val="0"/>
      <w:divBdr>
        <w:top w:val="none" w:sz="0" w:space="0" w:color="auto"/>
        <w:left w:val="none" w:sz="0" w:space="0" w:color="auto"/>
        <w:bottom w:val="none" w:sz="0" w:space="0" w:color="auto"/>
        <w:right w:val="none" w:sz="0" w:space="0" w:color="auto"/>
      </w:divBdr>
    </w:div>
    <w:div w:id="816653975">
      <w:bodyDiv w:val="1"/>
      <w:marLeft w:val="0"/>
      <w:marRight w:val="0"/>
      <w:marTop w:val="0"/>
      <w:marBottom w:val="0"/>
      <w:divBdr>
        <w:top w:val="none" w:sz="0" w:space="0" w:color="auto"/>
        <w:left w:val="none" w:sz="0" w:space="0" w:color="auto"/>
        <w:bottom w:val="none" w:sz="0" w:space="0" w:color="auto"/>
        <w:right w:val="none" w:sz="0" w:space="0" w:color="auto"/>
      </w:divBdr>
    </w:div>
    <w:div w:id="894774821">
      <w:bodyDiv w:val="1"/>
      <w:marLeft w:val="0"/>
      <w:marRight w:val="0"/>
      <w:marTop w:val="0"/>
      <w:marBottom w:val="0"/>
      <w:divBdr>
        <w:top w:val="none" w:sz="0" w:space="0" w:color="auto"/>
        <w:left w:val="none" w:sz="0" w:space="0" w:color="auto"/>
        <w:bottom w:val="none" w:sz="0" w:space="0" w:color="auto"/>
        <w:right w:val="none" w:sz="0" w:space="0" w:color="auto"/>
      </w:divBdr>
    </w:div>
    <w:div w:id="977683885">
      <w:bodyDiv w:val="1"/>
      <w:marLeft w:val="0"/>
      <w:marRight w:val="0"/>
      <w:marTop w:val="0"/>
      <w:marBottom w:val="0"/>
      <w:divBdr>
        <w:top w:val="none" w:sz="0" w:space="0" w:color="auto"/>
        <w:left w:val="none" w:sz="0" w:space="0" w:color="auto"/>
        <w:bottom w:val="none" w:sz="0" w:space="0" w:color="auto"/>
        <w:right w:val="none" w:sz="0" w:space="0" w:color="auto"/>
      </w:divBdr>
    </w:div>
    <w:div w:id="1052072446">
      <w:bodyDiv w:val="1"/>
      <w:marLeft w:val="0"/>
      <w:marRight w:val="0"/>
      <w:marTop w:val="0"/>
      <w:marBottom w:val="0"/>
      <w:divBdr>
        <w:top w:val="none" w:sz="0" w:space="0" w:color="auto"/>
        <w:left w:val="none" w:sz="0" w:space="0" w:color="auto"/>
        <w:bottom w:val="none" w:sz="0" w:space="0" w:color="auto"/>
        <w:right w:val="none" w:sz="0" w:space="0" w:color="auto"/>
      </w:divBdr>
    </w:div>
    <w:div w:id="1072852904">
      <w:bodyDiv w:val="1"/>
      <w:marLeft w:val="0"/>
      <w:marRight w:val="0"/>
      <w:marTop w:val="0"/>
      <w:marBottom w:val="0"/>
      <w:divBdr>
        <w:top w:val="none" w:sz="0" w:space="0" w:color="auto"/>
        <w:left w:val="none" w:sz="0" w:space="0" w:color="auto"/>
        <w:bottom w:val="none" w:sz="0" w:space="0" w:color="auto"/>
        <w:right w:val="none" w:sz="0" w:space="0" w:color="auto"/>
      </w:divBdr>
    </w:div>
    <w:div w:id="1090931545">
      <w:bodyDiv w:val="1"/>
      <w:marLeft w:val="0"/>
      <w:marRight w:val="0"/>
      <w:marTop w:val="0"/>
      <w:marBottom w:val="0"/>
      <w:divBdr>
        <w:top w:val="none" w:sz="0" w:space="0" w:color="auto"/>
        <w:left w:val="none" w:sz="0" w:space="0" w:color="auto"/>
        <w:bottom w:val="none" w:sz="0" w:space="0" w:color="auto"/>
        <w:right w:val="none" w:sz="0" w:space="0" w:color="auto"/>
      </w:divBdr>
    </w:div>
    <w:div w:id="1189828600">
      <w:bodyDiv w:val="1"/>
      <w:marLeft w:val="0"/>
      <w:marRight w:val="0"/>
      <w:marTop w:val="0"/>
      <w:marBottom w:val="0"/>
      <w:divBdr>
        <w:top w:val="none" w:sz="0" w:space="0" w:color="auto"/>
        <w:left w:val="none" w:sz="0" w:space="0" w:color="auto"/>
        <w:bottom w:val="none" w:sz="0" w:space="0" w:color="auto"/>
        <w:right w:val="none" w:sz="0" w:space="0" w:color="auto"/>
      </w:divBdr>
    </w:div>
    <w:div w:id="1244683954">
      <w:bodyDiv w:val="1"/>
      <w:marLeft w:val="0"/>
      <w:marRight w:val="0"/>
      <w:marTop w:val="0"/>
      <w:marBottom w:val="0"/>
      <w:divBdr>
        <w:top w:val="none" w:sz="0" w:space="0" w:color="auto"/>
        <w:left w:val="none" w:sz="0" w:space="0" w:color="auto"/>
        <w:bottom w:val="none" w:sz="0" w:space="0" w:color="auto"/>
        <w:right w:val="none" w:sz="0" w:space="0" w:color="auto"/>
      </w:divBdr>
    </w:div>
    <w:div w:id="1330602122">
      <w:bodyDiv w:val="1"/>
      <w:marLeft w:val="0"/>
      <w:marRight w:val="0"/>
      <w:marTop w:val="0"/>
      <w:marBottom w:val="0"/>
      <w:divBdr>
        <w:top w:val="none" w:sz="0" w:space="0" w:color="auto"/>
        <w:left w:val="none" w:sz="0" w:space="0" w:color="auto"/>
        <w:bottom w:val="none" w:sz="0" w:space="0" w:color="auto"/>
        <w:right w:val="none" w:sz="0" w:space="0" w:color="auto"/>
      </w:divBdr>
    </w:div>
    <w:div w:id="1393843530">
      <w:bodyDiv w:val="1"/>
      <w:marLeft w:val="0"/>
      <w:marRight w:val="0"/>
      <w:marTop w:val="0"/>
      <w:marBottom w:val="0"/>
      <w:divBdr>
        <w:top w:val="none" w:sz="0" w:space="0" w:color="auto"/>
        <w:left w:val="none" w:sz="0" w:space="0" w:color="auto"/>
        <w:bottom w:val="none" w:sz="0" w:space="0" w:color="auto"/>
        <w:right w:val="none" w:sz="0" w:space="0" w:color="auto"/>
      </w:divBdr>
    </w:div>
    <w:div w:id="1413350881">
      <w:bodyDiv w:val="1"/>
      <w:marLeft w:val="0"/>
      <w:marRight w:val="0"/>
      <w:marTop w:val="0"/>
      <w:marBottom w:val="0"/>
      <w:divBdr>
        <w:top w:val="none" w:sz="0" w:space="0" w:color="auto"/>
        <w:left w:val="none" w:sz="0" w:space="0" w:color="auto"/>
        <w:bottom w:val="none" w:sz="0" w:space="0" w:color="auto"/>
        <w:right w:val="none" w:sz="0" w:space="0" w:color="auto"/>
      </w:divBdr>
    </w:div>
    <w:div w:id="1418942957">
      <w:bodyDiv w:val="1"/>
      <w:marLeft w:val="0"/>
      <w:marRight w:val="0"/>
      <w:marTop w:val="0"/>
      <w:marBottom w:val="0"/>
      <w:divBdr>
        <w:top w:val="none" w:sz="0" w:space="0" w:color="auto"/>
        <w:left w:val="none" w:sz="0" w:space="0" w:color="auto"/>
        <w:bottom w:val="none" w:sz="0" w:space="0" w:color="auto"/>
        <w:right w:val="none" w:sz="0" w:space="0" w:color="auto"/>
      </w:divBdr>
    </w:div>
    <w:div w:id="1435133107">
      <w:bodyDiv w:val="1"/>
      <w:marLeft w:val="0"/>
      <w:marRight w:val="0"/>
      <w:marTop w:val="0"/>
      <w:marBottom w:val="0"/>
      <w:divBdr>
        <w:top w:val="none" w:sz="0" w:space="0" w:color="auto"/>
        <w:left w:val="none" w:sz="0" w:space="0" w:color="auto"/>
        <w:bottom w:val="none" w:sz="0" w:space="0" w:color="auto"/>
        <w:right w:val="none" w:sz="0" w:space="0" w:color="auto"/>
      </w:divBdr>
      <w:divsChild>
        <w:div w:id="452409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730536">
      <w:bodyDiv w:val="1"/>
      <w:marLeft w:val="0"/>
      <w:marRight w:val="0"/>
      <w:marTop w:val="0"/>
      <w:marBottom w:val="0"/>
      <w:divBdr>
        <w:top w:val="none" w:sz="0" w:space="0" w:color="auto"/>
        <w:left w:val="none" w:sz="0" w:space="0" w:color="auto"/>
        <w:bottom w:val="none" w:sz="0" w:space="0" w:color="auto"/>
        <w:right w:val="none" w:sz="0" w:space="0" w:color="auto"/>
      </w:divBdr>
    </w:div>
    <w:div w:id="1730692208">
      <w:bodyDiv w:val="1"/>
      <w:marLeft w:val="0"/>
      <w:marRight w:val="0"/>
      <w:marTop w:val="0"/>
      <w:marBottom w:val="0"/>
      <w:divBdr>
        <w:top w:val="none" w:sz="0" w:space="0" w:color="auto"/>
        <w:left w:val="none" w:sz="0" w:space="0" w:color="auto"/>
        <w:bottom w:val="none" w:sz="0" w:space="0" w:color="auto"/>
        <w:right w:val="none" w:sz="0" w:space="0" w:color="auto"/>
      </w:divBdr>
    </w:div>
    <w:div w:id="1788430679">
      <w:bodyDiv w:val="1"/>
      <w:marLeft w:val="0"/>
      <w:marRight w:val="0"/>
      <w:marTop w:val="0"/>
      <w:marBottom w:val="0"/>
      <w:divBdr>
        <w:top w:val="none" w:sz="0" w:space="0" w:color="auto"/>
        <w:left w:val="none" w:sz="0" w:space="0" w:color="auto"/>
        <w:bottom w:val="none" w:sz="0" w:space="0" w:color="auto"/>
        <w:right w:val="none" w:sz="0" w:space="0" w:color="auto"/>
      </w:divBdr>
    </w:div>
    <w:div w:id="1844274815">
      <w:bodyDiv w:val="1"/>
      <w:marLeft w:val="0"/>
      <w:marRight w:val="0"/>
      <w:marTop w:val="0"/>
      <w:marBottom w:val="0"/>
      <w:divBdr>
        <w:top w:val="none" w:sz="0" w:space="0" w:color="auto"/>
        <w:left w:val="none" w:sz="0" w:space="0" w:color="auto"/>
        <w:bottom w:val="none" w:sz="0" w:space="0" w:color="auto"/>
        <w:right w:val="none" w:sz="0" w:space="0" w:color="auto"/>
      </w:divBdr>
    </w:div>
    <w:div w:id="1866215440">
      <w:bodyDiv w:val="1"/>
      <w:marLeft w:val="0"/>
      <w:marRight w:val="0"/>
      <w:marTop w:val="0"/>
      <w:marBottom w:val="0"/>
      <w:divBdr>
        <w:top w:val="none" w:sz="0" w:space="0" w:color="auto"/>
        <w:left w:val="none" w:sz="0" w:space="0" w:color="auto"/>
        <w:bottom w:val="none" w:sz="0" w:space="0" w:color="auto"/>
        <w:right w:val="none" w:sz="0" w:space="0" w:color="auto"/>
      </w:divBdr>
    </w:div>
    <w:div w:id="1899898952">
      <w:bodyDiv w:val="1"/>
      <w:marLeft w:val="0"/>
      <w:marRight w:val="0"/>
      <w:marTop w:val="0"/>
      <w:marBottom w:val="0"/>
      <w:divBdr>
        <w:top w:val="none" w:sz="0" w:space="0" w:color="auto"/>
        <w:left w:val="none" w:sz="0" w:space="0" w:color="auto"/>
        <w:bottom w:val="none" w:sz="0" w:space="0" w:color="auto"/>
        <w:right w:val="none" w:sz="0" w:space="0" w:color="auto"/>
      </w:divBdr>
      <w:divsChild>
        <w:div w:id="366875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602795">
      <w:bodyDiv w:val="1"/>
      <w:marLeft w:val="0"/>
      <w:marRight w:val="0"/>
      <w:marTop w:val="0"/>
      <w:marBottom w:val="0"/>
      <w:divBdr>
        <w:top w:val="none" w:sz="0" w:space="0" w:color="auto"/>
        <w:left w:val="none" w:sz="0" w:space="0" w:color="auto"/>
        <w:bottom w:val="none" w:sz="0" w:space="0" w:color="auto"/>
        <w:right w:val="none" w:sz="0" w:space="0" w:color="auto"/>
      </w:divBdr>
    </w:div>
    <w:div w:id="2004356254">
      <w:bodyDiv w:val="1"/>
      <w:marLeft w:val="0"/>
      <w:marRight w:val="0"/>
      <w:marTop w:val="0"/>
      <w:marBottom w:val="0"/>
      <w:divBdr>
        <w:top w:val="none" w:sz="0" w:space="0" w:color="auto"/>
        <w:left w:val="none" w:sz="0" w:space="0" w:color="auto"/>
        <w:bottom w:val="none" w:sz="0" w:space="0" w:color="auto"/>
        <w:right w:val="none" w:sz="0" w:space="0" w:color="auto"/>
      </w:divBdr>
    </w:div>
    <w:div w:id="2067681066">
      <w:bodyDiv w:val="1"/>
      <w:marLeft w:val="0"/>
      <w:marRight w:val="0"/>
      <w:marTop w:val="0"/>
      <w:marBottom w:val="0"/>
      <w:divBdr>
        <w:top w:val="none" w:sz="0" w:space="0" w:color="auto"/>
        <w:left w:val="none" w:sz="0" w:space="0" w:color="auto"/>
        <w:bottom w:val="none" w:sz="0" w:space="0" w:color="auto"/>
        <w:right w:val="none" w:sz="0" w:space="0" w:color="auto"/>
      </w:divBdr>
    </w:div>
    <w:div w:id="2087216564">
      <w:bodyDiv w:val="1"/>
      <w:marLeft w:val="0"/>
      <w:marRight w:val="0"/>
      <w:marTop w:val="0"/>
      <w:marBottom w:val="0"/>
      <w:divBdr>
        <w:top w:val="none" w:sz="0" w:space="0" w:color="auto"/>
        <w:left w:val="none" w:sz="0" w:space="0" w:color="auto"/>
        <w:bottom w:val="none" w:sz="0" w:space="0" w:color="auto"/>
        <w:right w:val="none" w:sz="0" w:space="0" w:color="auto"/>
      </w:divBdr>
    </w:div>
    <w:div w:id="21371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18" Type="http://schemas.openxmlformats.org/officeDocument/2006/relationships/image" Target="media/image9.png"/><Relationship Id="rId26" Type="http://schemas.openxmlformats.org/officeDocument/2006/relationships/hyperlink" Target="https://doi.org/10.3152/030234209X41557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16/j.cemconcomp.2010.03.001" TargetMode="External"/><Relationship Id="rId34" Type="http://schemas.openxmlformats.org/officeDocument/2006/relationships/hyperlink" Target="https://doi.org/10.1016/j.cemconcomp.2004.01.003"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https://doi.org/10.1016/j.conbuildmat.2020.118496" TargetMode="External"/><Relationship Id="rId33" Type="http://schemas.openxmlformats.org/officeDocument/2006/relationships/hyperlink" Target="https://doi.org/10.1016/j.cemconres.2017.03.01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doi.org/10.1016/j.cemconres.2004.11.0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2.wdp"/><Relationship Id="rId24" Type="http://schemas.openxmlformats.org/officeDocument/2006/relationships/hyperlink" Target="https://doi.org/10.3846/13923730.2013.799093" TargetMode="External"/><Relationship Id="rId32" Type="http://schemas.openxmlformats.org/officeDocument/2006/relationships/hyperlink" Target="https://doi.org/10.1016/j.cemconres.2017.03.012" TargetMode="External"/><Relationship Id="rId37" Type="http://schemas.openxmlformats.org/officeDocument/2006/relationships/hyperlink" Target="https://doi.org/10.1016/j.conbuildmat.2011.12.050"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doi.org/10.1016/S0008-8846(00)00225-3" TargetMode="External"/><Relationship Id="rId28" Type="http://schemas.openxmlformats.org/officeDocument/2006/relationships/hyperlink" Target="https://doi.org/10.1007/BF02479293" TargetMode="External"/><Relationship Id="rId36" Type="http://schemas.openxmlformats.org/officeDocument/2006/relationships/hyperlink" Target="https://doi.org/10.1016/j.conbuildmat.2019.04.158" TargetMode="Externa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hyperlink" Target="https://doi.org/10.1016/j.buildenv.2007.04.015" TargetMode="External"/><Relationship Id="rId4" Type="http://schemas.microsoft.com/office/2007/relationships/stylesWithEffects" Target="stylesWithEffect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hyperlink" Target="https://doi.org/10.1007/s10853-011-5574-9" TargetMode="External"/><Relationship Id="rId27" Type="http://schemas.openxmlformats.org/officeDocument/2006/relationships/hyperlink" Target="https://doi.org/10.1016/j.enbuild.2011.05.015" TargetMode="External"/><Relationship Id="rId30" Type="http://schemas.openxmlformats.org/officeDocument/2006/relationships/hyperlink" Target="https://doi.org/10.1016/j.enbuild.2008.02.016" TargetMode="External"/><Relationship Id="rId35" Type="http://schemas.openxmlformats.org/officeDocument/2006/relationships/hyperlink" Target="https://doi.org/10.1016/j.msea.2019.05.02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A2F15-B518-42EE-B805-D14D702B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15</Pages>
  <Words>4175</Words>
  <Characters>23800</Characters>
  <Application>Microsoft Office Word</Application>
  <DocSecurity>0</DocSecurity>
  <Lines>198</Lines>
  <Paragraphs>55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912</cp:revision>
  <dcterms:created xsi:type="dcterms:W3CDTF">2025-04-04T18:15:00Z</dcterms:created>
  <dcterms:modified xsi:type="dcterms:W3CDTF">2025-04-20T05:00:00Z</dcterms:modified>
</cp:coreProperties>
</file>