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10FAA1" w14:textId="77777777" w:rsidR="007044AF" w:rsidRPr="002D2803" w:rsidRDefault="007044AF" w:rsidP="007044AF">
      <w:pPr>
        <w:jc w:val="center"/>
        <w:rPr>
          <w:rFonts w:ascii="Times New Roman" w:hAnsi="Times New Roman" w:cs="Times New Roman"/>
          <w:b/>
          <w:bCs/>
          <w:sz w:val="28"/>
          <w:szCs w:val="28"/>
        </w:rPr>
      </w:pPr>
      <w:bookmarkStart w:id="0" w:name="_Hlk196744344"/>
      <w:r w:rsidRPr="002D2803">
        <w:rPr>
          <w:rFonts w:ascii="Times New Roman" w:hAnsi="Times New Roman" w:cs="Times New Roman"/>
          <w:b/>
          <w:bCs/>
          <w:sz w:val="28"/>
          <w:szCs w:val="28"/>
        </w:rPr>
        <w:t>Comparative Computational Analysis of Alcohols (C1–C4): Implications in Pharmaceutical and Drug Design Applications</w:t>
      </w:r>
    </w:p>
    <w:bookmarkEnd w:id="0"/>
    <w:p w14:paraId="3F2B082A" w14:textId="66D8BB3A" w:rsidR="002E7149" w:rsidRPr="005546CB" w:rsidRDefault="005546CB" w:rsidP="007044AF">
      <w:pPr>
        <w:jc w:val="center"/>
        <w:rPr>
          <w:rFonts w:ascii="Times New Roman" w:hAnsi="Times New Roman" w:cs="Times New Roman"/>
        </w:rPr>
      </w:pPr>
      <w:r w:rsidRPr="005546CB">
        <w:rPr>
          <w:rFonts w:ascii="Times New Roman" w:hAnsi="Times New Roman" w:cs="Times New Roman"/>
        </w:rPr>
        <w:t>*</w:t>
      </w:r>
      <w:r w:rsidR="002E7149" w:rsidRPr="005546CB">
        <w:rPr>
          <w:rFonts w:ascii="Times New Roman" w:hAnsi="Times New Roman" w:cs="Times New Roman"/>
        </w:rPr>
        <w:t xml:space="preserve">Rajendra Joshi, Sapna Seni, </w:t>
      </w:r>
      <w:r w:rsidR="00816FFF">
        <w:rPr>
          <w:rFonts w:ascii="Times New Roman" w:hAnsi="Times New Roman" w:cs="Times New Roman"/>
        </w:rPr>
        <w:t xml:space="preserve">Kailash </w:t>
      </w:r>
      <w:proofErr w:type="spellStart"/>
      <w:r w:rsidR="00816FFF">
        <w:rPr>
          <w:rFonts w:ascii="Times New Roman" w:hAnsi="Times New Roman" w:cs="Times New Roman"/>
        </w:rPr>
        <w:t>Tamta</w:t>
      </w:r>
      <w:proofErr w:type="spellEnd"/>
      <w:r w:rsidR="00816FFF">
        <w:rPr>
          <w:rFonts w:ascii="Times New Roman" w:hAnsi="Times New Roman" w:cs="Times New Roman"/>
        </w:rPr>
        <w:t>, Jagdish Prasad</w:t>
      </w:r>
      <w:r w:rsidR="00816FFF">
        <w:rPr>
          <w:rFonts w:ascii="Times New Roman" w:hAnsi="Times New Roman" w:cs="Times New Roman"/>
        </w:rPr>
        <w:t>,</w:t>
      </w:r>
      <w:r>
        <w:rPr>
          <w:rFonts w:ascii="Times New Roman" w:hAnsi="Times New Roman" w:cs="Times New Roman"/>
        </w:rPr>
        <w:t xml:space="preserve"> </w:t>
      </w:r>
      <w:r w:rsidR="00897776">
        <w:rPr>
          <w:rFonts w:ascii="Times New Roman" w:hAnsi="Times New Roman" w:cs="Times New Roman"/>
        </w:rPr>
        <w:t xml:space="preserve">Bhuwan Chandra, </w:t>
      </w:r>
      <w:r w:rsidR="00816FFF" w:rsidRPr="005546CB">
        <w:rPr>
          <w:rFonts w:ascii="Times New Roman" w:hAnsi="Times New Roman" w:cs="Times New Roman"/>
        </w:rPr>
        <w:t>Narain Datt Kandpal</w:t>
      </w:r>
      <w:r w:rsidR="00816FFF">
        <w:rPr>
          <w:rFonts w:ascii="Times New Roman" w:hAnsi="Times New Roman" w:cs="Times New Roman"/>
        </w:rPr>
        <w:t xml:space="preserve">, </w:t>
      </w:r>
    </w:p>
    <w:p w14:paraId="2FE4DA6B" w14:textId="0288BA07" w:rsidR="005546CB" w:rsidRDefault="004C348F" w:rsidP="007044AF">
      <w:pPr>
        <w:jc w:val="center"/>
        <w:rPr>
          <w:rFonts w:ascii="Times New Roman" w:hAnsi="Times New Roman" w:cs="Times New Roman"/>
          <w:i/>
          <w:iCs/>
        </w:rPr>
      </w:pPr>
      <w:r>
        <w:rPr>
          <w:rFonts w:ascii="Times New Roman" w:hAnsi="Times New Roman" w:cs="Times New Roman"/>
          <w:i/>
          <w:iCs/>
          <w:vertAlign w:val="superscript"/>
        </w:rPr>
        <w:t>1,5,6</w:t>
      </w:r>
      <w:r w:rsidR="005546CB" w:rsidRPr="005546CB">
        <w:rPr>
          <w:rFonts w:ascii="Times New Roman" w:hAnsi="Times New Roman" w:cs="Times New Roman"/>
          <w:i/>
          <w:iCs/>
        </w:rPr>
        <w:t xml:space="preserve">Physical Chemical Laboratory, Soban Singh Jeena University, Campus -Almora, 263601, </w:t>
      </w:r>
      <w:r>
        <w:rPr>
          <w:rFonts w:ascii="Times New Roman" w:hAnsi="Times New Roman" w:cs="Times New Roman"/>
          <w:i/>
          <w:iCs/>
        </w:rPr>
        <w:t>Uttarakhand</w:t>
      </w:r>
      <w:r w:rsidR="005546CB" w:rsidRPr="005546CB">
        <w:rPr>
          <w:rFonts w:ascii="Times New Roman" w:hAnsi="Times New Roman" w:cs="Times New Roman"/>
          <w:i/>
          <w:iCs/>
        </w:rPr>
        <w:t xml:space="preserve">, India  </w:t>
      </w:r>
      <w:r>
        <w:rPr>
          <w:rFonts w:ascii="Times New Roman" w:hAnsi="Times New Roman" w:cs="Times New Roman"/>
          <w:i/>
          <w:iCs/>
        </w:rPr>
        <w:t xml:space="preserve"> </w:t>
      </w:r>
    </w:p>
    <w:p w14:paraId="5553CE49" w14:textId="7CF4A1C7" w:rsidR="001711A4" w:rsidRDefault="001711A4" w:rsidP="001711A4">
      <w:pPr>
        <w:jc w:val="center"/>
        <w:rPr>
          <w:rFonts w:ascii="Times New Roman" w:hAnsi="Times New Roman" w:cs="Times New Roman"/>
          <w:i/>
          <w:iCs/>
        </w:rPr>
      </w:pPr>
      <w:r>
        <w:rPr>
          <w:rFonts w:ascii="Times New Roman" w:hAnsi="Times New Roman" w:cs="Times New Roman"/>
          <w:i/>
          <w:iCs/>
          <w:vertAlign w:val="superscript"/>
        </w:rPr>
        <w:t>2</w:t>
      </w:r>
      <w:r>
        <w:rPr>
          <w:rFonts w:ascii="Times New Roman" w:hAnsi="Times New Roman" w:cs="Times New Roman"/>
          <w:i/>
          <w:iCs/>
        </w:rPr>
        <w:t xml:space="preserve">M.Sc. Student Department of Chemistry, </w:t>
      </w:r>
      <w:r w:rsidRPr="005546CB">
        <w:rPr>
          <w:rFonts w:ascii="Times New Roman" w:hAnsi="Times New Roman" w:cs="Times New Roman"/>
          <w:i/>
          <w:iCs/>
        </w:rPr>
        <w:t xml:space="preserve">Soban Singh Jeena University, Campus -Almora, 263601, </w:t>
      </w:r>
      <w:r>
        <w:rPr>
          <w:rFonts w:ascii="Times New Roman" w:hAnsi="Times New Roman" w:cs="Times New Roman"/>
          <w:i/>
          <w:iCs/>
        </w:rPr>
        <w:t>Uttarakhand</w:t>
      </w:r>
      <w:r w:rsidRPr="005546CB">
        <w:rPr>
          <w:rFonts w:ascii="Times New Roman" w:hAnsi="Times New Roman" w:cs="Times New Roman"/>
          <w:i/>
          <w:iCs/>
        </w:rPr>
        <w:t xml:space="preserve">, India  </w:t>
      </w:r>
      <w:r>
        <w:rPr>
          <w:rFonts w:ascii="Times New Roman" w:hAnsi="Times New Roman" w:cs="Times New Roman"/>
          <w:i/>
          <w:iCs/>
        </w:rPr>
        <w:t xml:space="preserve"> </w:t>
      </w:r>
    </w:p>
    <w:p w14:paraId="791E658B" w14:textId="77777777" w:rsidR="001711A4" w:rsidRDefault="004C348F" w:rsidP="007044AF">
      <w:pPr>
        <w:jc w:val="center"/>
        <w:rPr>
          <w:rFonts w:ascii="Times New Roman" w:hAnsi="Times New Roman" w:cs="Times New Roman"/>
          <w:i/>
          <w:iCs/>
        </w:rPr>
      </w:pPr>
      <w:r>
        <w:rPr>
          <w:rFonts w:ascii="Times New Roman" w:hAnsi="Times New Roman" w:cs="Times New Roman"/>
          <w:i/>
          <w:iCs/>
          <w:vertAlign w:val="superscript"/>
        </w:rPr>
        <w:t>3</w:t>
      </w:r>
      <w:r>
        <w:rPr>
          <w:rFonts w:ascii="Times New Roman" w:hAnsi="Times New Roman" w:cs="Times New Roman"/>
          <w:i/>
          <w:iCs/>
        </w:rPr>
        <w:t xml:space="preserve">Department of Chemistry, Government Degree College Kanda, </w:t>
      </w:r>
      <w:proofErr w:type="spellStart"/>
      <w:r>
        <w:rPr>
          <w:rFonts w:ascii="Times New Roman" w:hAnsi="Times New Roman" w:cs="Times New Roman"/>
          <w:i/>
          <w:iCs/>
        </w:rPr>
        <w:t>Bageshwar</w:t>
      </w:r>
      <w:proofErr w:type="spellEnd"/>
      <w:r>
        <w:rPr>
          <w:rFonts w:ascii="Times New Roman" w:hAnsi="Times New Roman" w:cs="Times New Roman"/>
          <w:i/>
          <w:iCs/>
        </w:rPr>
        <w:t xml:space="preserve">, </w:t>
      </w:r>
      <w:r w:rsidR="001711A4">
        <w:rPr>
          <w:rFonts w:ascii="Times New Roman" w:hAnsi="Times New Roman" w:cs="Times New Roman"/>
          <w:i/>
          <w:iCs/>
        </w:rPr>
        <w:t xml:space="preserve">263631 </w:t>
      </w:r>
    </w:p>
    <w:p w14:paraId="107131EE" w14:textId="0C42C8CF" w:rsidR="004C348F" w:rsidRDefault="004C348F" w:rsidP="007044AF">
      <w:pPr>
        <w:jc w:val="center"/>
        <w:rPr>
          <w:rFonts w:ascii="Times New Roman" w:hAnsi="Times New Roman" w:cs="Times New Roman"/>
          <w:i/>
          <w:iCs/>
        </w:rPr>
      </w:pPr>
      <w:r>
        <w:rPr>
          <w:rFonts w:ascii="Times New Roman" w:hAnsi="Times New Roman" w:cs="Times New Roman"/>
          <w:i/>
          <w:iCs/>
        </w:rPr>
        <w:t>Uttarakhand</w:t>
      </w:r>
      <w:r w:rsidRPr="005546CB">
        <w:rPr>
          <w:rFonts w:ascii="Times New Roman" w:hAnsi="Times New Roman" w:cs="Times New Roman"/>
          <w:i/>
          <w:iCs/>
        </w:rPr>
        <w:t xml:space="preserve">, India  </w:t>
      </w:r>
      <w:r>
        <w:rPr>
          <w:rFonts w:ascii="Times New Roman" w:hAnsi="Times New Roman" w:cs="Times New Roman"/>
          <w:i/>
          <w:iCs/>
        </w:rPr>
        <w:t xml:space="preserve"> </w:t>
      </w:r>
    </w:p>
    <w:p w14:paraId="5E046E0B" w14:textId="1E2A761E" w:rsidR="004C348F" w:rsidRPr="005546CB" w:rsidRDefault="001711A4" w:rsidP="007044AF">
      <w:pPr>
        <w:jc w:val="center"/>
        <w:rPr>
          <w:rFonts w:ascii="Times New Roman" w:hAnsi="Times New Roman" w:cs="Times New Roman"/>
          <w:i/>
          <w:iCs/>
        </w:rPr>
      </w:pPr>
      <w:r>
        <w:rPr>
          <w:rFonts w:ascii="Times New Roman" w:hAnsi="Times New Roman" w:cs="Times New Roman"/>
          <w:i/>
          <w:iCs/>
          <w:vertAlign w:val="superscript"/>
        </w:rPr>
        <w:t>4</w:t>
      </w:r>
      <w:r w:rsidR="004C348F">
        <w:rPr>
          <w:rFonts w:ascii="Times New Roman" w:hAnsi="Times New Roman" w:cs="Times New Roman"/>
          <w:i/>
          <w:iCs/>
        </w:rPr>
        <w:t>Hunkum Singh Bora</w:t>
      </w:r>
      <w:r>
        <w:rPr>
          <w:rFonts w:ascii="Times New Roman" w:hAnsi="Times New Roman" w:cs="Times New Roman"/>
          <w:i/>
          <w:iCs/>
        </w:rPr>
        <w:t>,</w:t>
      </w:r>
      <w:r w:rsidR="004C348F">
        <w:rPr>
          <w:rFonts w:ascii="Times New Roman" w:hAnsi="Times New Roman" w:cs="Times New Roman"/>
          <w:i/>
          <w:iCs/>
        </w:rPr>
        <w:t xml:space="preserve"> </w:t>
      </w:r>
      <w:r w:rsidR="004C348F">
        <w:rPr>
          <w:rFonts w:ascii="Times New Roman" w:hAnsi="Times New Roman" w:cs="Times New Roman"/>
          <w:i/>
          <w:iCs/>
        </w:rPr>
        <w:t xml:space="preserve">Government Degree College </w:t>
      </w:r>
      <w:proofErr w:type="spellStart"/>
      <w:r>
        <w:rPr>
          <w:rFonts w:ascii="Times New Roman" w:hAnsi="Times New Roman" w:cs="Times New Roman"/>
          <w:i/>
          <w:iCs/>
        </w:rPr>
        <w:t>Someshwer</w:t>
      </w:r>
      <w:proofErr w:type="spellEnd"/>
      <w:r>
        <w:rPr>
          <w:rFonts w:ascii="Times New Roman" w:hAnsi="Times New Roman" w:cs="Times New Roman"/>
          <w:i/>
          <w:iCs/>
        </w:rPr>
        <w:t xml:space="preserve">, </w:t>
      </w:r>
      <w:r>
        <w:rPr>
          <w:rFonts w:ascii="Times New Roman" w:hAnsi="Times New Roman" w:cs="Times New Roman"/>
          <w:i/>
          <w:iCs/>
        </w:rPr>
        <w:t>Uttarakhand</w:t>
      </w:r>
      <w:r w:rsidRPr="005546CB">
        <w:rPr>
          <w:rFonts w:ascii="Times New Roman" w:hAnsi="Times New Roman" w:cs="Times New Roman"/>
          <w:i/>
          <w:iCs/>
        </w:rPr>
        <w:t xml:space="preserve">, India  </w:t>
      </w:r>
      <w:r>
        <w:rPr>
          <w:rFonts w:ascii="Times New Roman" w:hAnsi="Times New Roman" w:cs="Times New Roman"/>
          <w:i/>
          <w:iCs/>
        </w:rPr>
        <w:t xml:space="preserve"> </w:t>
      </w:r>
    </w:p>
    <w:p w14:paraId="6DCF9265" w14:textId="062D85EE" w:rsidR="005546CB" w:rsidRDefault="005546CB" w:rsidP="005546CB">
      <w:pPr>
        <w:rPr>
          <w:rFonts w:ascii="Times New Roman" w:hAnsi="Times New Roman" w:cs="Times New Roman"/>
          <w:b/>
          <w:bCs/>
        </w:rPr>
      </w:pPr>
      <w:r>
        <w:rPr>
          <w:rFonts w:ascii="Times New Roman" w:hAnsi="Times New Roman" w:cs="Times New Roman"/>
          <w:b/>
          <w:bCs/>
        </w:rPr>
        <w:t xml:space="preserve">E-mail: </w:t>
      </w:r>
      <w:hyperlink r:id="rId5" w:history="1">
        <w:r w:rsidRPr="00FF4038">
          <w:rPr>
            <w:rStyle w:val="Hyperlink"/>
            <w:rFonts w:ascii="Times New Roman" w:hAnsi="Times New Roman" w:cs="Times New Roman"/>
            <w:b/>
            <w:bCs/>
          </w:rPr>
          <w:t>rachem.joshi@gmail.com</w:t>
        </w:r>
      </w:hyperlink>
    </w:p>
    <w:p w14:paraId="5CBB4945" w14:textId="77777777" w:rsidR="002D2803" w:rsidRDefault="002D2803" w:rsidP="002D2803">
      <w:pPr>
        <w:jc w:val="center"/>
        <w:rPr>
          <w:rFonts w:ascii="Times New Roman" w:hAnsi="Times New Roman" w:cs="Times New Roman"/>
          <w:b/>
          <w:bCs/>
          <w:sz w:val="24"/>
          <w:szCs w:val="24"/>
        </w:rPr>
      </w:pPr>
      <w:r w:rsidRPr="002D2803">
        <w:rPr>
          <w:rFonts w:ascii="Times New Roman" w:hAnsi="Times New Roman" w:cs="Times New Roman"/>
          <w:b/>
          <w:bCs/>
          <w:sz w:val="24"/>
          <w:szCs w:val="24"/>
        </w:rPr>
        <w:t>ABSTRACT</w:t>
      </w:r>
    </w:p>
    <w:p w14:paraId="226BADD5" w14:textId="5A752FE5" w:rsidR="007044AF" w:rsidRPr="009758FC" w:rsidRDefault="007044AF" w:rsidP="002D2803">
      <w:pPr>
        <w:jc w:val="both"/>
        <w:rPr>
          <w:rFonts w:ascii="Times New Roman" w:hAnsi="Times New Roman" w:cs="Times New Roman"/>
          <w:sz w:val="20"/>
          <w:szCs w:val="20"/>
        </w:rPr>
      </w:pPr>
      <w:r w:rsidRPr="007044AF">
        <w:rPr>
          <w:rFonts w:ascii="Times New Roman" w:hAnsi="Times New Roman" w:cs="Times New Roman"/>
        </w:rPr>
        <w:br/>
      </w:r>
      <w:r w:rsidRPr="009758FC">
        <w:rPr>
          <w:rFonts w:ascii="Times New Roman" w:hAnsi="Times New Roman" w:cs="Times New Roman"/>
          <w:sz w:val="20"/>
          <w:szCs w:val="20"/>
        </w:rPr>
        <w:t xml:space="preserve">In this study, we perform a comparative quantum chemical analysis of methyl, ethyl, propyl, and butyl alcohols using ORCA 4.2.1 software. The primary focus includes zero-point energy (ZPE), infrared spectra, dipole moments, and rotational constants. Geometry optimization was </w:t>
      </w:r>
      <w:r w:rsidR="00392715" w:rsidRPr="009758FC">
        <w:rPr>
          <w:rFonts w:ascii="Times New Roman" w:hAnsi="Times New Roman" w:cs="Times New Roman"/>
          <w:sz w:val="20"/>
          <w:szCs w:val="20"/>
        </w:rPr>
        <w:t>done</w:t>
      </w:r>
      <w:r w:rsidRPr="009758FC">
        <w:rPr>
          <w:rFonts w:ascii="Times New Roman" w:hAnsi="Times New Roman" w:cs="Times New Roman"/>
          <w:sz w:val="20"/>
          <w:szCs w:val="20"/>
        </w:rPr>
        <w:t xml:space="preserve"> using the MMFF94 force field with steepest descent in Avogadro. The optimized structures were used to compute vibrational and spectroscopic data through RHF/def2-SVP methods. The data reveals a correlation between molecular weight and properties such as ZPE, IR peak intensities, and dipole moment magnitude. These physicochemical parameters provide insight into potential pharmacokinetic and pharmacodynamic </w:t>
      </w:r>
      <w:proofErr w:type="spellStart"/>
      <w:r w:rsidRPr="009758FC">
        <w:rPr>
          <w:rFonts w:ascii="Times New Roman" w:hAnsi="Times New Roman" w:cs="Times New Roman"/>
          <w:sz w:val="20"/>
          <w:szCs w:val="20"/>
        </w:rPr>
        <w:t>behavior</w:t>
      </w:r>
      <w:proofErr w:type="spellEnd"/>
      <w:r w:rsidRPr="009758FC">
        <w:rPr>
          <w:rFonts w:ascii="Times New Roman" w:hAnsi="Times New Roman" w:cs="Times New Roman"/>
          <w:sz w:val="20"/>
          <w:szCs w:val="20"/>
        </w:rPr>
        <w:t xml:space="preserve">, highlighting the importance of small-molecule alcohol </w:t>
      </w:r>
      <w:proofErr w:type="spellStart"/>
      <w:r w:rsidRPr="009758FC">
        <w:rPr>
          <w:rFonts w:ascii="Times New Roman" w:hAnsi="Times New Roman" w:cs="Times New Roman"/>
          <w:sz w:val="20"/>
          <w:szCs w:val="20"/>
        </w:rPr>
        <w:t>analogs</w:t>
      </w:r>
      <w:proofErr w:type="spellEnd"/>
      <w:r w:rsidRPr="009758FC">
        <w:rPr>
          <w:rFonts w:ascii="Times New Roman" w:hAnsi="Times New Roman" w:cs="Times New Roman"/>
          <w:sz w:val="20"/>
          <w:szCs w:val="20"/>
        </w:rPr>
        <w:t xml:space="preserve"> in drug formulation, delivery, and interaction profiles.</w:t>
      </w:r>
    </w:p>
    <w:p w14:paraId="17F898D3" w14:textId="77777777" w:rsidR="007044AF" w:rsidRPr="007044AF" w:rsidRDefault="007044AF" w:rsidP="007044AF">
      <w:pPr>
        <w:jc w:val="both"/>
        <w:rPr>
          <w:rFonts w:ascii="Times New Roman" w:hAnsi="Times New Roman" w:cs="Times New Roman"/>
        </w:rPr>
      </w:pPr>
      <w:r w:rsidRPr="009758FC">
        <w:rPr>
          <w:rFonts w:ascii="Times New Roman" w:hAnsi="Times New Roman" w:cs="Times New Roman"/>
          <w:b/>
          <w:bCs/>
          <w:sz w:val="20"/>
          <w:szCs w:val="20"/>
        </w:rPr>
        <w:t>Keywords</w:t>
      </w:r>
      <w:r w:rsidRPr="009758FC">
        <w:rPr>
          <w:rFonts w:ascii="Times New Roman" w:hAnsi="Times New Roman" w:cs="Times New Roman"/>
          <w:sz w:val="20"/>
          <w:szCs w:val="20"/>
        </w:rPr>
        <w:t xml:space="preserve">: Zero-point energy, IR spectroscopy, Dipole moment, Alcohols, ORCA, Molecular </w:t>
      </w:r>
      <w:proofErr w:type="spellStart"/>
      <w:r w:rsidRPr="009758FC">
        <w:rPr>
          <w:rFonts w:ascii="Times New Roman" w:hAnsi="Times New Roman" w:cs="Times New Roman"/>
          <w:sz w:val="20"/>
          <w:szCs w:val="20"/>
        </w:rPr>
        <w:t>modeling</w:t>
      </w:r>
      <w:proofErr w:type="spellEnd"/>
      <w:r w:rsidRPr="009758FC">
        <w:rPr>
          <w:rFonts w:ascii="Times New Roman" w:hAnsi="Times New Roman" w:cs="Times New Roman"/>
          <w:sz w:val="20"/>
          <w:szCs w:val="20"/>
        </w:rPr>
        <w:t>, Drug design, Quantum chemistry</w:t>
      </w:r>
    </w:p>
    <w:p w14:paraId="370BA554" w14:textId="77777777" w:rsidR="007044AF" w:rsidRPr="007044AF" w:rsidRDefault="00000000" w:rsidP="007044AF">
      <w:pPr>
        <w:rPr>
          <w:rFonts w:ascii="Times New Roman" w:hAnsi="Times New Roman" w:cs="Times New Roman"/>
        </w:rPr>
      </w:pPr>
      <w:r>
        <w:rPr>
          <w:rFonts w:ascii="Times New Roman" w:hAnsi="Times New Roman" w:cs="Times New Roman"/>
        </w:rPr>
        <w:pict w14:anchorId="53285917">
          <v:rect id="_x0000_i1025" style="width:0;height:1.5pt" o:hralign="center" o:hrstd="t" o:hr="t" fillcolor="#a0a0a0" stroked="f"/>
        </w:pict>
      </w:r>
    </w:p>
    <w:p w14:paraId="7EF4F6F8" w14:textId="2354E21E" w:rsidR="002E7149" w:rsidRPr="009758FC" w:rsidRDefault="009758FC" w:rsidP="002E7149">
      <w:pPr>
        <w:jc w:val="both"/>
        <w:rPr>
          <w:rFonts w:ascii="Times New Roman" w:hAnsi="Times New Roman" w:cs="Times New Roman"/>
          <w:sz w:val="24"/>
          <w:szCs w:val="24"/>
        </w:rPr>
      </w:pPr>
      <w:r w:rsidRPr="009758FC">
        <w:rPr>
          <w:rFonts w:ascii="Times New Roman" w:hAnsi="Times New Roman" w:cs="Times New Roman"/>
          <w:b/>
          <w:bCs/>
          <w:sz w:val="24"/>
          <w:szCs w:val="24"/>
        </w:rPr>
        <w:t>1.INTRODUCTION</w:t>
      </w:r>
      <w:r w:rsidRPr="009758FC">
        <w:rPr>
          <w:rFonts w:ascii="Times New Roman" w:hAnsi="Times New Roman" w:cs="Times New Roman"/>
          <w:sz w:val="24"/>
          <w:szCs w:val="24"/>
        </w:rPr>
        <w:t xml:space="preserve">: </w:t>
      </w:r>
      <w:r w:rsidR="002E7149" w:rsidRPr="009758FC">
        <w:rPr>
          <w:rFonts w:ascii="Times New Roman" w:hAnsi="Times New Roman" w:cs="Times New Roman"/>
          <w:sz w:val="24"/>
          <w:szCs w:val="24"/>
        </w:rPr>
        <w:tab/>
      </w:r>
    </w:p>
    <w:p w14:paraId="54D256B7" w14:textId="2325DF51" w:rsidR="007044AF" w:rsidRPr="009758FC" w:rsidRDefault="007044AF" w:rsidP="002E7149">
      <w:pPr>
        <w:ind w:firstLine="720"/>
        <w:jc w:val="both"/>
        <w:rPr>
          <w:rFonts w:ascii="Times New Roman" w:hAnsi="Times New Roman" w:cs="Times New Roman"/>
          <w:sz w:val="20"/>
          <w:szCs w:val="20"/>
        </w:rPr>
      </w:pPr>
      <w:r w:rsidRPr="009758FC">
        <w:rPr>
          <w:rFonts w:ascii="Times New Roman" w:hAnsi="Times New Roman" w:cs="Times New Roman"/>
          <w:sz w:val="20"/>
          <w:szCs w:val="20"/>
        </w:rPr>
        <w:t>Small alcohols like methanol, ethanol, propanol, and butanol are among the most common organic compounds used in pharmaceutical formulations, both as excipients and as active intermediates. Their physicochemical properties, such as dipole moment, hydrogen bonding capabilities, and solubility parameters, make them critical in drug solubilization and bioavailability enhancement. Furthermore, alcohol-based scaffolds are often used in medicinal chemistry to modify drug molecules to improve membrane permeability or alter binding interactions with biological targets [1,2].</w:t>
      </w:r>
    </w:p>
    <w:p w14:paraId="24558419" w14:textId="77777777" w:rsidR="007044AF" w:rsidRPr="009758FC" w:rsidRDefault="007044AF" w:rsidP="002E7149">
      <w:pPr>
        <w:ind w:firstLine="720"/>
        <w:jc w:val="both"/>
        <w:rPr>
          <w:rFonts w:ascii="Times New Roman" w:hAnsi="Times New Roman" w:cs="Times New Roman"/>
          <w:sz w:val="20"/>
          <w:szCs w:val="20"/>
        </w:rPr>
      </w:pPr>
      <w:r w:rsidRPr="009758FC">
        <w:rPr>
          <w:rFonts w:ascii="Times New Roman" w:hAnsi="Times New Roman" w:cs="Times New Roman"/>
          <w:sz w:val="20"/>
          <w:szCs w:val="20"/>
        </w:rPr>
        <w:t xml:space="preserve">Quantum chemical </w:t>
      </w:r>
      <w:proofErr w:type="spellStart"/>
      <w:r w:rsidRPr="009758FC">
        <w:rPr>
          <w:rFonts w:ascii="Times New Roman" w:hAnsi="Times New Roman" w:cs="Times New Roman"/>
          <w:sz w:val="20"/>
          <w:szCs w:val="20"/>
        </w:rPr>
        <w:t>modeling</w:t>
      </w:r>
      <w:proofErr w:type="spellEnd"/>
      <w:r w:rsidRPr="009758FC">
        <w:rPr>
          <w:rFonts w:ascii="Times New Roman" w:hAnsi="Times New Roman" w:cs="Times New Roman"/>
          <w:sz w:val="20"/>
          <w:szCs w:val="20"/>
        </w:rPr>
        <w:t xml:space="preserve"> has emerged as an essential tool in understanding molecular properties, reactivity, and interaction potential [3,4]. Computational chemistry approaches such as Hartree-Fock (HF) and density functional theory (DFT) provide accurate insights into molecular structure, energy profiles, and vibrational characteristics [5]. These properties play pivotal roles in predicting drug-likeness and pharmacological </w:t>
      </w:r>
      <w:proofErr w:type="spellStart"/>
      <w:r w:rsidRPr="009758FC">
        <w:rPr>
          <w:rFonts w:ascii="Times New Roman" w:hAnsi="Times New Roman" w:cs="Times New Roman"/>
          <w:sz w:val="20"/>
          <w:szCs w:val="20"/>
        </w:rPr>
        <w:t>behavior</w:t>
      </w:r>
      <w:proofErr w:type="spellEnd"/>
      <w:r w:rsidRPr="009758FC">
        <w:rPr>
          <w:rFonts w:ascii="Times New Roman" w:hAnsi="Times New Roman" w:cs="Times New Roman"/>
          <w:sz w:val="20"/>
          <w:szCs w:val="20"/>
        </w:rPr>
        <w:t>.</w:t>
      </w:r>
    </w:p>
    <w:p w14:paraId="7FB96FD8" w14:textId="77777777" w:rsidR="007044AF" w:rsidRPr="009758FC" w:rsidRDefault="007044AF" w:rsidP="002E7149">
      <w:pPr>
        <w:ind w:firstLine="720"/>
        <w:jc w:val="both"/>
        <w:rPr>
          <w:rFonts w:ascii="Times New Roman" w:hAnsi="Times New Roman" w:cs="Times New Roman"/>
          <w:sz w:val="20"/>
          <w:szCs w:val="20"/>
        </w:rPr>
      </w:pPr>
      <w:r w:rsidRPr="009758FC">
        <w:rPr>
          <w:rFonts w:ascii="Times New Roman" w:hAnsi="Times New Roman" w:cs="Times New Roman"/>
          <w:sz w:val="20"/>
          <w:szCs w:val="20"/>
        </w:rPr>
        <w:t>Recent studies have explored the quantum properties of alcohols using computational techniques for understanding intermolecular interactions, solvent effects, and protein-ligand binding mechanisms [6]. Spectroscopic fingerprints such as IR and vibrational frequencies are critical for identifying functional groups and elucidating molecular environments, often correlating with biological activity [7].</w:t>
      </w:r>
    </w:p>
    <w:p w14:paraId="0804BD97" w14:textId="77777777" w:rsidR="007044AF" w:rsidRPr="009758FC" w:rsidRDefault="007044AF" w:rsidP="002E7149">
      <w:pPr>
        <w:ind w:firstLine="720"/>
        <w:jc w:val="both"/>
        <w:rPr>
          <w:rFonts w:ascii="Times New Roman" w:hAnsi="Times New Roman" w:cs="Times New Roman"/>
          <w:sz w:val="20"/>
          <w:szCs w:val="20"/>
        </w:rPr>
      </w:pPr>
      <w:r w:rsidRPr="009758FC">
        <w:rPr>
          <w:rFonts w:ascii="Times New Roman" w:hAnsi="Times New Roman" w:cs="Times New Roman"/>
          <w:sz w:val="20"/>
          <w:szCs w:val="20"/>
        </w:rPr>
        <w:t>In this study, we extend the quantum chemical analysis of alcohols from methyl to butyl alcohol, comparing their zero-point energies, IR vibrational frequencies, dipole moments, and rotational constants. This comparative study aims to provide a deeper understanding of how molecular weight and structure influence these properties and their relevance to the pharmaceutical and drug design fields.</w:t>
      </w:r>
    </w:p>
    <w:p w14:paraId="38E9F0BE" w14:textId="77777777" w:rsidR="007044AF" w:rsidRDefault="00000000" w:rsidP="007044AF">
      <w:pPr>
        <w:rPr>
          <w:rFonts w:ascii="Times New Roman" w:hAnsi="Times New Roman" w:cs="Times New Roman"/>
        </w:rPr>
      </w:pPr>
      <w:r w:rsidRPr="009758FC">
        <w:rPr>
          <w:rFonts w:ascii="Times New Roman" w:hAnsi="Times New Roman" w:cs="Times New Roman"/>
          <w:sz w:val="20"/>
          <w:szCs w:val="20"/>
        </w:rPr>
        <w:lastRenderedPageBreak/>
        <w:pict w14:anchorId="4DEEA577">
          <v:rect id="_x0000_i1026" style="width:0;height:1.5pt" o:hralign="center" o:hrstd="t" o:hr="t" fillcolor="#a0a0a0" stroked="f"/>
        </w:pict>
      </w:r>
    </w:p>
    <w:p w14:paraId="7B39506B" w14:textId="77777777" w:rsidR="005546CB" w:rsidRPr="007044AF" w:rsidRDefault="005546CB" w:rsidP="007044AF">
      <w:pPr>
        <w:rPr>
          <w:rFonts w:ascii="Times New Roman" w:hAnsi="Times New Roman" w:cs="Times New Roman"/>
        </w:rPr>
      </w:pPr>
    </w:p>
    <w:p w14:paraId="0A99643F" w14:textId="04CA0A9A" w:rsidR="002E7149" w:rsidRDefault="009758FC" w:rsidP="002E7149">
      <w:pPr>
        <w:rPr>
          <w:rFonts w:ascii="Times New Roman" w:hAnsi="Times New Roman" w:cs="Times New Roman"/>
        </w:rPr>
      </w:pPr>
      <w:r w:rsidRPr="009758FC">
        <w:rPr>
          <w:rFonts w:ascii="Times New Roman" w:hAnsi="Times New Roman" w:cs="Times New Roman"/>
          <w:b/>
          <w:bCs/>
          <w:sz w:val="24"/>
          <w:szCs w:val="24"/>
        </w:rPr>
        <w:t>2. METHODOLOGY</w:t>
      </w:r>
      <w:r w:rsidR="002E7149">
        <w:rPr>
          <w:rFonts w:ascii="Times New Roman" w:hAnsi="Times New Roman" w:cs="Times New Roman"/>
        </w:rPr>
        <w:tab/>
      </w:r>
    </w:p>
    <w:p w14:paraId="0687891B" w14:textId="5DAACD8B" w:rsidR="002E7149" w:rsidRPr="009758FC" w:rsidRDefault="007044AF" w:rsidP="004868B3">
      <w:pPr>
        <w:ind w:firstLine="720"/>
        <w:jc w:val="both"/>
        <w:rPr>
          <w:rFonts w:ascii="Times New Roman" w:hAnsi="Times New Roman" w:cs="Times New Roman"/>
          <w:sz w:val="20"/>
          <w:szCs w:val="20"/>
        </w:rPr>
      </w:pPr>
      <w:r w:rsidRPr="009758FC">
        <w:rPr>
          <w:rFonts w:ascii="Times New Roman" w:hAnsi="Times New Roman" w:cs="Times New Roman"/>
          <w:sz w:val="20"/>
          <w:szCs w:val="20"/>
        </w:rPr>
        <w:t>All geometry optimizations were performed using the MMFF94 force field with a steepest descent algorithm in Avogadro software. The optimized structures were then used to generate input files for ORCA 4.2.1. The following parameters were applied</w:t>
      </w:r>
      <w:proofErr w:type="gramStart"/>
      <w:r w:rsidRPr="009758FC">
        <w:rPr>
          <w:rFonts w:ascii="Times New Roman" w:hAnsi="Times New Roman" w:cs="Times New Roman"/>
          <w:sz w:val="20"/>
          <w:szCs w:val="20"/>
        </w:rPr>
        <w:t>:</w:t>
      </w:r>
      <w:r w:rsidR="002E7149" w:rsidRPr="009758FC">
        <w:rPr>
          <w:rFonts w:ascii="Times New Roman" w:hAnsi="Times New Roman" w:cs="Times New Roman"/>
          <w:sz w:val="20"/>
          <w:szCs w:val="20"/>
        </w:rPr>
        <w:t xml:space="preserve"> </w:t>
      </w:r>
      <w:r w:rsidRPr="009758FC">
        <w:rPr>
          <w:rFonts w:ascii="Times New Roman" w:hAnsi="Times New Roman" w:cs="Times New Roman"/>
          <w:sz w:val="20"/>
          <w:szCs w:val="20"/>
        </w:rPr>
        <w:t>!</w:t>
      </w:r>
      <w:proofErr w:type="gramEnd"/>
      <w:r w:rsidRPr="009758FC">
        <w:rPr>
          <w:rFonts w:ascii="Times New Roman" w:hAnsi="Times New Roman" w:cs="Times New Roman"/>
          <w:sz w:val="20"/>
          <w:szCs w:val="20"/>
        </w:rPr>
        <w:t xml:space="preserve"> RHF OPT FREQ def2-SVP</w:t>
      </w:r>
      <w:r w:rsidR="002E7149" w:rsidRPr="009758FC">
        <w:rPr>
          <w:rFonts w:ascii="Times New Roman" w:hAnsi="Times New Roman" w:cs="Times New Roman"/>
          <w:sz w:val="20"/>
          <w:szCs w:val="20"/>
        </w:rPr>
        <w:t xml:space="preserve">. </w:t>
      </w:r>
      <w:r w:rsidRPr="009758FC">
        <w:rPr>
          <w:rFonts w:ascii="Times New Roman" w:hAnsi="Times New Roman" w:cs="Times New Roman"/>
          <w:sz w:val="20"/>
          <w:szCs w:val="20"/>
        </w:rPr>
        <w:t>This method includes:</w:t>
      </w:r>
    </w:p>
    <w:p w14:paraId="292278B6" w14:textId="77777777" w:rsidR="007044AF" w:rsidRPr="009758FC" w:rsidRDefault="007044AF" w:rsidP="007044AF">
      <w:pPr>
        <w:numPr>
          <w:ilvl w:val="0"/>
          <w:numId w:val="2"/>
        </w:numPr>
        <w:jc w:val="both"/>
        <w:rPr>
          <w:rFonts w:ascii="Times New Roman" w:hAnsi="Times New Roman" w:cs="Times New Roman"/>
          <w:sz w:val="20"/>
          <w:szCs w:val="20"/>
        </w:rPr>
      </w:pPr>
      <w:r w:rsidRPr="009758FC">
        <w:rPr>
          <w:rFonts w:ascii="Times New Roman" w:hAnsi="Times New Roman" w:cs="Times New Roman"/>
          <w:sz w:val="20"/>
          <w:szCs w:val="20"/>
        </w:rPr>
        <w:t>Hartree–Fock theory (RHF)</w:t>
      </w:r>
    </w:p>
    <w:p w14:paraId="2A7DB808" w14:textId="77777777" w:rsidR="007044AF" w:rsidRPr="009758FC" w:rsidRDefault="007044AF" w:rsidP="007044AF">
      <w:pPr>
        <w:numPr>
          <w:ilvl w:val="0"/>
          <w:numId w:val="2"/>
        </w:numPr>
        <w:jc w:val="both"/>
        <w:rPr>
          <w:rFonts w:ascii="Times New Roman" w:hAnsi="Times New Roman" w:cs="Times New Roman"/>
          <w:sz w:val="20"/>
          <w:szCs w:val="20"/>
        </w:rPr>
      </w:pPr>
      <w:r w:rsidRPr="009758FC">
        <w:rPr>
          <w:rFonts w:ascii="Times New Roman" w:hAnsi="Times New Roman" w:cs="Times New Roman"/>
          <w:sz w:val="20"/>
          <w:szCs w:val="20"/>
        </w:rPr>
        <w:t>Geometry optimization (OPT)</w:t>
      </w:r>
    </w:p>
    <w:p w14:paraId="3409E38C" w14:textId="77777777" w:rsidR="007044AF" w:rsidRPr="009758FC" w:rsidRDefault="007044AF" w:rsidP="007044AF">
      <w:pPr>
        <w:numPr>
          <w:ilvl w:val="0"/>
          <w:numId w:val="2"/>
        </w:numPr>
        <w:jc w:val="both"/>
        <w:rPr>
          <w:rFonts w:ascii="Times New Roman" w:hAnsi="Times New Roman" w:cs="Times New Roman"/>
          <w:sz w:val="20"/>
          <w:szCs w:val="20"/>
        </w:rPr>
      </w:pPr>
      <w:r w:rsidRPr="009758FC">
        <w:rPr>
          <w:rFonts w:ascii="Times New Roman" w:hAnsi="Times New Roman" w:cs="Times New Roman"/>
          <w:sz w:val="20"/>
          <w:szCs w:val="20"/>
        </w:rPr>
        <w:t>Frequency analysis (FREQ)</w:t>
      </w:r>
    </w:p>
    <w:p w14:paraId="7A6B4720" w14:textId="77777777" w:rsidR="007044AF" w:rsidRPr="009758FC" w:rsidRDefault="007044AF" w:rsidP="007044AF">
      <w:pPr>
        <w:numPr>
          <w:ilvl w:val="0"/>
          <w:numId w:val="2"/>
        </w:numPr>
        <w:jc w:val="both"/>
        <w:rPr>
          <w:rFonts w:ascii="Times New Roman" w:hAnsi="Times New Roman" w:cs="Times New Roman"/>
          <w:sz w:val="20"/>
          <w:szCs w:val="20"/>
        </w:rPr>
      </w:pPr>
      <w:r w:rsidRPr="009758FC">
        <w:rPr>
          <w:rFonts w:ascii="Times New Roman" w:hAnsi="Times New Roman" w:cs="Times New Roman"/>
          <w:sz w:val="20"/>
          <w:szCs w:val="20"/>
        </w:rPr>
        <w:t>Basis set: def2-SVP</w:t>
      </w:r>
    </w:p>
    <w:p w14:paraId="00948B98" w14:textId="77777777" w:rsidR="007044AF" w:rsidRPr="009758FC" w:rsidRDefault="007044AF" w:rsidP="007044AF">
      <w:pPr>
        <w:jc w:val="both"/>
        <w:rPr>
          <w:rFonts w:ascii="Times New Roman" w:hAnsi="Times New Roman" w:cs="Times New Roman"/>
          <w:sz w:val="20"/>
          <w:szCs w:val="20"/>
        </w:rPr>
      </w:pPr>
      <w:r w:rsidRPr="009758FC">
        <w:rPr>
          <w:rFonts w:ascii="Times New Roman" w:hAnsi="Times New Roman" w:cs="Times New Roman"/>
          <w:sz w:val="20"/>
          <w:szCs w:val="20"/>
        </w:rPr>
        <w:t xml:space="preserve">The IR spectra, zero-point energies (ZPEs), and dipole moments were computed from frequency calculations. Each alcohol (C1–C4) was </w:t>
      </w:r>
      <w:proofErr w:type="spellStart"/>
      <w:r w:rsidRPr="009758FC">
        <w:rPr>
          <w:rFonts w:ascii="Times New Roman" w:hAnsi="Times New Roman" w:cs="Times New Roman"/>
          <w:sz w:val="20"/>
          <w:szCs w:val="20"/>
        </w:rPr>
        <w:t>modeled</w:t>
      </w:r>
      <w:proofErr w:type="spellEnd"/>
      <w:r w:rsidRPr="009758FC">
        <w:rPr>
          <w:rFonts w:ascii="Times New Roman" w:hAnsi="Times New Roman" w:cs="Times New Roman"/>
          <w:sz w:val="20"/>
          <w:szCs w:val="20"/>
        </w:rPr>
        <w:t xml:space="preserve"> separately with consistent convergence criteria.</w:t>
      </w:r>
    </w:p>
    <w:p w14:paraId="5DBBE829" w14:textId="77777777" w:rsidR="007044AF" w:rsidRPr="007044AF" w:rsidRDefault="00000000" w:rsidP="007044AF">
      <w:pPr>
        <w:rPr>
          <w:rFonts w:ascii="Times New Roman" w:hAnsi="Times New Roman" w:cs="Times New Roman"/>
        </w:rPr>
      </w:pPr>
      <w:r>
        <w:rPr>
          <w:rFonts w:ascii="Times New Roman" w:hAnsi="Times New Roman" w:cs="Times New Roman"/>
        </w:rPr>
        <w:pict w14:anchorId="574EA577">
          <v:rect id="_x0000_i1027" style="width:0;height:1.5pt" o:hralign="center" o:hrstd="t" o:hr="t" fillcolor="#a0a0a0" stroked="f"/>
        </w:pict>
      </w:r>
    </w:p>
    <w:p w14:paraId="52D1CDFE" w14:textId="3CE6F210" w:rsidR="002E7149" w:rsidRPr="009758FC" w:rsidRDefault="009758FC" w:rsidP="002E7149">
      <w:pPr>
        <w:rPr>
          <w:rFonts w:ascii="Times New Roman" w:hAnsi="Times New Roman" w:cs="Times New Roman"/>
          <w:sz w:val="24"/>
          <w:szCs w:val="24"/>
        </w:rPr>
      </w:pPr>
      <w:r w:rsidRPr="009758FC">
        <w:rPr>
          <w:rFonts w:ascii="Times New Roman" w:hAnsi="Times New Roman" w:cs="Times New Roman"/>
          <w:b/>
          <w:bCs/>
          <w:sz w:val="24"/>
          <w:szCs w:val="24"/>
        </w:rPr>
        <w:t>3. RESULTS AND DISCUSSION</w:t>
      </w:r>
      <w:r w:rsidRPr="009758FC">
        <w:rPr>
          <w:rFonts w:ascii="Times New Roman" w:hAnsi="Times New Roman" w:cs="Times New Roman"/>
          <w:sz w:val="24"/>
          <w:szCs w:val="24"/>
        </w:rPr>
        <w:t xml:space="preserve">: </w:t>
      </w:r>
      <w:r w:rsidRPr="009758FC">
        <w:rPr>
          <w:rFonts w:ascii="Times New Roman" w:hAnsi="Times New Roman" w:cs="Times New Roman"/>
          <w:sz w:val="24"/>
          <w:szCs w:val="24"/>
        </w:rPr>
        <w:tab/>
      </w:r>
    </w:p>
    <w:p w14:paraId="2F3544AF" w14:textId="17AFEADD" w:rsidR="007044AF" w:rsidRPr="009758FC" w:rsidRDefault="007044AF" w:rsidP="009758FC">
      <w:pPr>
        <w:jc w:val="both"/>
        <w:rPr>
          <w:rFonts w:ascii="Times New Roman" w:hAnsi="Times New Roman" w:cs="Times New Roman"/>
          <w:sz w:val="20"/>
          <w:szCs w:val="20"/>
        </w:rPr>
      </w:pPr>
      <w:r w:rsidRPr="009758FC">
        <w:rPr>
          <w:rFonts w:ascii="Times New Roman" w:hAnsi="Times New Roman" w:cs="Times New Roman"/>
          <w:b/>
          <w:bCs/>
          <w:sz w:val="20"/>
          <w:szCs w:val="20"/>
        </w:rPr>
        <w:t>Table 1</w:t>
      </w:r>
      <w:r w:rsidRPr="009758FC">
        <w:rPr>
          <w:rFonts w:ascii="Times New Roman" w:hAnsi="Times New Roman" w:cs="Times New Roman"/>
          <w:sz w:val="20"/>
          <w:szCs w:val="20"/>
        </w:rPr>
        <w:t xml:space="preserve"> summarizes the computational results for each alcohol, showing trends with increasing molecular weight.</w:t>
      </w:r>
    </w:p>
    <w:p w14:paraId="309C9E43" w14:textId="4B60CC24" w:rsidR="00E934BC" w:rsidRPr="00E934BC" w:rsidRDefault="00E934BC" w:rsidP="009758FC">
      <w:pPr>
        <w:pStyle w:val="Caption"/>
        <w:keepNext/>
        <w:jc w:val="center"/>
        <w:rPr>
          <w:color w:val="000000" w:themeColor="text1"/>
        </w:rPr>
      </w:pPr>
      <w:r w:rsidRPr="00E934BC">
        <w:rPr>
          <w:rFonts w:ascii="Times New Roman" w:hAnsi="Times New Roman" w:cs="Times New Roman"/>
          <w:b/>
          <w:bCs/>
          <w:color w:val="000000" w:themeColor="text1"/>
        </w:rPr>
        <w:t>Table 1: Computationally derived quantum chemical properties of C1–C4 alcohols (methanol to butanol), illustrating their molecular weight, zero-point energy (ZPE), infrared (IR) peak frequencies, dipole moments, and rotational constants.</w:t>
      </w:r>
    </w:p>
    <w:tbl>
      <w:tblPr>
        <w:tblStyle w:val="TableGrid"/>
        <w:tblW w:w="0" w:type="auto"/>
        <w:tblLook w:val="04A0" w:firstRow="1" w:lastRow="0" w:firstColumn="1" w:lastColumn="0" w:noHBand="0" w:noVBand="1"/>
      </w:tblPr>
      <w:tblGrid>
        <w:gridCol w:w="2263"/>
        <w:gridCol w:w="1343"/>
        <w:gridCol w:w="1803"/>
        <w:gridCol w:w="1803"/>
        <w:gridCol w:w="1804"/>
      </w:tblGrid>
      <w:tr w:rsidR="00883346" w14:paraId="563E9F58" w14:textId="77777777" w:rsidTr="00980B19">
        <w:tc>
          <w:tcPr>
            <w:tcW w:w="2263" w:type="dxa"/>
          </w:tcPr>
          <w:p w14:paraId="3D6D748E" w14:textId="6EC43369" w:rsidR="00883346" w:rsidRDefault="00883346" w:rsidP="00883346">
            <w:pPr>
              <w:jc w:val="center"/>
              <w:rPr>
                <w:rFonts w:ascii="Times New Roman" w:hAnsi="Times New Roman" w:cs="Times New Roman"/>
              </w:rPr>
            </w:pPr>
            <w:r w:rsidRPr="007044AF">
              <w:rPr>
                <w:rFonts w:ascii="Times New Roman" w:hAnsi="Times New Roman" w:cs="Times New Roman"/>
                <w:b/>
                <w:bCs/>
              </w:rPr>
              <w:t>Property</w:t>
            </w:r>
          </w:p>
        </w:tc>
        <w:tc>
          <w:tcPr>
            <w:tcW w:w="1343" w:type="dxa"/>
          </w:tcPr>
          <w:p w14:paraId="2B1D4FEB" w14:textId="342E66CA" w:rsidR="00883346" w:rsidRDefault="00883346" w:rsidP="00883346">
            <w:pPr>
              <w:jc w:val="center"/>
              <w:rPr>
                <w:rFonts w:ascii="Times New Roman" w:hAnsi="Times New Roman" w:cs="Times New Roman"/>
              </w:rPr>
            </w:pPr>
            <w:r w:rsidRPr="007044AF">
              <w:rPr>
                <w:rFonts w:ascii="Times New Roman" w:hAnsi="Times New Roman" w:cs="Times New Roman"/>
                <w:b/>
                <w:bCs/>
              </w:rPr>
              <w:t>Methanol</w:t>
            </w:r>
          </w:p>
        </w:tc>
        <w:tc>
          <w:tcPr>
            <w:tcW w:w="1803" w:type="dxa"/>
          </w:tcPr>
          <w:p w14:paraId="1E8FA62B" w14:textId="4DC65AA7" w:rsidR="00883346" w:rsidRDefault="00883346" w:rsidP="00883346">
            <w:pPr>
              <w:jc w:val="center"/>
              <w:rPr>
                <w:rFonts w:ascii="Times New Roman" w:hAnsi="Times New Roman" w:cs="Times New Roman"/>
              </w:rPr>
            </w:pPr>
            <w:r w:rsidRPr="007044AF">
              <w:rPr>
                <w:rFonts w:ascii="Times New Roman" w:hAnsi="Times New Roman" w:cs="Times New Roman"/>
                <w:b/>
                <w:bCs/>
              </w:rPr>
              <w:t>Ethano</w:t>
            </w:r>
            <w:r>
              <w:rPr>
                <w:rFonts w:ascii="Times New Roman" w:hAnsi="Times New Roman" w:cs="Times New Roman"/>
                <w:b/>
                <w:bCs/>
              </w:rPr>
              <w:t>l</w:t>
            </w:r>
          </w:p>
        </w:tc>
        <w:tc>
          <w:tcPr>
            <w:tcW w:w="1803" w:type="dxa"/>
            <w:vAlign w:val="center"/>
          </w:tcPr>
          <w:p w14:paraId="07E67127" w14:textId="64DBDD3F" w:rsidR="00883346" w:rsidRDefault="00883346" w:rsidP="00883346">
            <w:pPr>
              <w:jc w:val="center"/>
              <w:rPr>
                <w:rFonts w:ascii="Times New Roman" w:hAnsi="Times New Roman" w:cs="Times New Roman"/>
              </w:rPr>
            </w:pPr>
            <w:r w:rsidRPr="007044AF">
              <w:rPr>
                <w:rFonts w:ascii="Times New Roman" w:hAnsi="Times New Roman" w:cs="Times New Roman"/>
                <w:b/>
                <w:bCs/>
              </w:rPr>
              <w:t>Propanol</w:t>
            </w:r>
          </w:p>
        </w:tc>
        <w:tc>
          <w:tcPr>
            <w:tcW w:w="1804" w:type="dxa"/>
          </w:tcPr>
          <w:p w14:paraId="2E8F9B1E" w14:textId="7639D9BD" w:rsidR="00883346" w:rsidRDefault="00883346" w:rsidP="00883346">
            <w:pPr>
              <w:jc w:val="center"/>
              <w:rPr>
                <w:rFonts w:ascii="Times New Roman" w:hAnsi="Times New Roman" w:cs="Times New Roman"/>
              </w:rPr>
            </w:pPr>
            <w:r w:rsidRPr="007044AF">
              <w:rPr>
                <w:rFonts w:ascii="Times New Roman" w:hAnsi="Times New Roman" w:cs="Times New Roman"/>
                <w:b/>
                <w:bCs/>
              </w:rPr>
              <w:t>Butanol</w:t>
            </w:r>
          </w:p>
        </w:tc>
      </w:tr>
      <w:tr w:rsidR="00883346" w14:paraId="6857E867" w14:textId="77777777" w:rsidTr="00BF686A">
        <w:tc>
          <w:tcPr>
            <w:tcW w:w="2263" w:type="dxa"/>
            <w:vAlign w:val="center"/>
          </w:tcPr>
          <w:p w14:paraId="3B73DDD1" w14:textId="7EBBF983" w:rsidR="00883346" w:rsidRDefault="00883346" w:rsidP="00883346">
            <w:pPr>
              <w:jc w:val="center"/>
              <w:rPr>
                <w:rFonts w:ascii="Times New Roman" w:hAnsi="Times New Roman" w:cs="Times New Roman"/>
              </w:rPr>
            </w:pPr>
            <w:r w:rsidRPr="007044AF">
              <w:rPr>
                <w:rFonts w:ascii="Times New Roman" w:hAnsi="Times New Roman" w:cs="Times New Roman"/>
              </w:rPr>
              <w:t>Molecular Weight (g/mol)</w:t>
            </w:r>
          </w:p>
        </w:tc>
        <w:tc>
          <w:tcPr>
            <w:tcW w:w="1343" w:type="dxa"/>
            <w:vAlign w:val="center"/>
          </w:tcPr>
          <w:p w14:paraId="67117583" w14:textId="0C600364" w:rsidR="00883346" w:rsidRDefault="00883346" w:rsidP="00883346">
            <w:pPr>
              <w:jc w:val="center"/>
              <w:rPr>
                <w:rFonts w:ascii="Times New Roman" w:hAnsi="Times New Roman" w:cs="Times New Roman"/>
              </w:rPr>
            </w:pPr>
            <w:r w:rsidRPr="007044AF">
              <w:rPr>
                <w:rFonts w:ascii="Times New Roman" w:hAnsi="Times New Roman" w:cs="Times New Roman"/>
              </w:rPr>
              <w:t>32.04</w:t>
            </w:r>
          </w:p>
        </w:tc>
        <w:tc>
          <w:tcPr>
            <w:tcW w:w="1803" w:type="dxa"/>
            <w:vAlign w:val="center"/>
          </w:tcPr>
          <w:p w14:paraId="23D61395" w14:textId="5A6EBCE9" w:rsidR="00883346" w:rsidRDefault="00883346" w:rsidP="00883346">
            <w:pPr>
              <w:jc w:val="center"/>
              <w:rPr>
                <w:rFonts w:ascii="Times New Roman" w:hAnsi="Times New Roman" w:cs="Times New Roman"/>
              </w:rPr>
            </w:pPr>
            <w:r w:rsidRPr="007044AF">
              <w:rPr>
                <w:rFonts w:ascii="Times New Roman" w:hAnsi="Times New Roman" w:cs="Times New Roman"/>
              </w:rPr>
              <w:t>46.07</w:t>
            </w:r>
          </w:p>
        </w:tc>
        <w:tc>
          <w:tcPr>
            <w:tcW w:w="1803" w:type="dxa"/>
            <w:vAlign w:val="center"/>
          </w:tcPr>
          <w:p w14:paraId="66BA11AB" w14:textId="65522F94" w:rsidR="00883346" w:rsidRDefault="00883346" w:rsidP="00883346">
            <w:pPr>
              <w:jc w:val="center"/>
              <w:rPr>
                <w:rFonts w:ascii="Times New Roman" w:hAnsi="Times New Roman" w:cs="Times New Roman"/>
              </w:rPr>
            </w:pPr>
            <w:r w:rsidRPr="007044AF">
              <w:rPr>
                <w:rFonts w:ascii="Times New Roman" w:hAnsi="Times New Roman" w:cs="Times New Roman"/>
              </w:rPr>
              <w:t>60.10</w:t>
            </w:r>
          </w:p>
        </w:tc>
        <w:tc>
          <w:tcPr>
            <w:tcW w:w="1804" w:type="dxa"/>
            <w:vAlign w:val="center"/>
          </w:tcPr>
          <w:p w14:paraId="0B44C576" w14:textId="1CF8210D" w:rsidR="00883346" w:rsidRDefault="00883346" w:rsidP="00883346">
            <w:pPr>
              <w:jc w:val="center"/>
              <w:rPr>
                <w:rFonts w:ascii="Times New Roman" w:hAnsi="Times New Roman" w:cs="Times New Roman"/>
              </w:rPr>
            </w:pPr>
            <w:r w:rsidRPr="007044AF">
              <w:rPr>
                <w:rFonts w:ascii="Times New Roman" w:hAnsi="Times New Roman" w:cs="Times New Roman"/>
              </w:rPr>
              <w:t>74.12</w:t>
            </w:r>
          </w:p>
        </w:tc>
      </w:tr>
      <w:tr w:rsidR="00883346" w14:paraId="2D03B54A" w14:textId="77777777" w:rsidTr="00BF686A">
        <w:tc>
          <w:tcPr>
            <w:tcW w:w="2263" w:type="dxa"/>
            <w:vAlign w:val="center"/>
          </w:tcPr>
          <w:p w14:paraId="0F7B9B87" w14:textId="7618B2DB" w:rsidR="00883346" w:rsidRDefault="00883346" w:rsidP="00883346">
            <w:pPr>
              <w:jc w:val="center"/>
              <w:rPr>
                <w:rFonts w:ascii="Times New Roman" w:hAnsi="Times New Roman" w:cs="Times New Roman"/>
              </w:rPr>
            </w:pPr>
            <w:r w:rsidRPr="007044AF">
              <w:rPr>
                <w:rFonts w:ascii="Times New Roman" w:hAnsi="Times New Roman" w:cs="Times New Roman"/>
              </w:rPr>
              <w:t>Zero-point Energy (ZPE, Eh)</w:t>
            </w:r>
          </w:p>
        </w:tc>
        <w:tc>
          <w:tcPr>
            <w:tcW w:w="1343" w:type="dxa"/>
            <w:vAlign w:val="center"/>
          </w:tcPr>
          <w:p w14:paraId="140A30EF" w14:textId="2C92722C" w:rsidR="00883346" w:rsidRDefault="00883346" w:rsidP="00883346">
            <w:pPr>
              <w:jc w:val="center"/>
              <w:rPr>
                <w:rFonts w:ascii="Times New Roman" w:hAnsi="Times New Roman" w:cs="Times New Roman"/>
              </w:rPr>
            </w:pPr>
            <w:r w:rsidRPr="007044AF">
              <w:rPr>
                <w:rFonts w:ascii="Times New Roman" w:hAnsi="Times New Roman" w:cs="Times New Roman"/>
              </w:rPr>
              <w:t>0.09811</w:t>
            </w:r>
          </w:p>
        </w:tc>
        <w:tc>
          <w:tcPr>
            <w:tcW w:w="1803" w:type="dxa"/>
            <w:vAlign w:val="center"/>
          </w:tcPr>
          <w:p w14:paraId="6603FEB7" w14:textId="0932CA25" w:rsidR="00883346" w:rsidRDefault="00883346" w:rsidP="00883346">
            <w:pPr>
              <w:jc w:val="center"/>
              <w:rPr>
                <w:rFonts w:ascii="Times New Roman" w:hAnsi="Times New Roman" w:cs="Times New Roman"/>
              </w:rPr>
            </w:pPr>
            <w:r w:rsidRPr="007044AF">
              <w:rPr>
                <w:rFonts w:ascii="Times New Roman" w:hAnsi="Times New Roman" w:cs="Times New Roman"/>
              </w:rPr>
              <w:t>0.13123</w:t>
            </w:r>
          </w:p>
        </w:tc>
        <w:tc>
          <w:tcPr>
            <w:tcW w:w="1803" w:type="dxa"/>
            <w:vAlign w:val="center"/>
          </w:tcPr>
          <w:p w14:paraId="424F8DAB" w14:textId="7C819DD7" w:rsidR="00883346" w:rsidRDefault="00883346" w:rsidP="00883346">
            <w:pPr>
              <w:jc w:val="center"/>
              <w:rPr>
                <w:rFonts w:ascii="Times New Roman" w:hAnsi="Times New Roman" w:cs="Times New Roman"/>
              </w:rPr>
            </w:pPr>
            <w:r w:rsidRPr="007044AF">
              <w:rPr>
                <w:rFonts w:ascii="Times New Roman" w:hAnsi="Times New Roman" w:cs="Times New Roman"/>
              </w:rPr>
              <w:t>0.15353</w:t>
            </w:r>
          </w:p>
        </w:tc>
        <w:tc>
          <w:tcPr>
            <w:tcW w:w="1804" w:type="dxa"/>
            <w:vAlign w:val="center"/>
          </w:tcPr>
          <w:p w14:paraId="00FAB523" w14:textId="13914E59" w:rsidR="00883346" w:rsidRDefault="00883346" w:rsidP="00883346">
            <w:pPr>
              <w:jc w:val="center"/>
              <w:rPr>
                <w:rFonts w:ascii="Times New Roman" w:hAnsi="Times New Roman" w:cs="Times New Roman"/>
              </w:rPr>
            </w:pPr>
            <w:r w:rsidRPr="007044AF">
              <w:rPr>
                <w:rFonts w:ascii="Times New Roman" w:hAnsi="Times New Roman" w:cs="Times New Roman"/>
              </w:rPr>
              <w:t>0.17656</w:t>
            </w:r>
          </w:p>
        </w:tc>
      </w:tr>
      <w:tr w:rsidR="00883346" w14:paraId="6564EBDD" w14:textId="77777777" w:rsidTr="00BF686A">
        <w:tc>
          <w:tcPr>
            <w:tcW w:w="2263" w:type="dxa"/>
            <w:vAlign w:val="center"/>
          </w:tcPr>
          <w:p w14:paraId="024EACDB" w14:textId="48776EF1" w:rsidR="00883346" w:rsidRDefault="00883346" w:rsidP="00883346">
            <w:pPr>
              <w:jc w:val="center"/>
              <w:rPr>
                <w:rFonts w:ascii="Times New Roman" w:hAnsi="Times New Roman" w:cs="Times New Roman"/>
              </w:rPr>
            </w:pPr>
            <w:r w:rsidRPr="007044AF">
              <w:rPr>
                <w:rFonts w:ascii="Times New Roman" w:hAnsi="Times New Roman" w:cs="Times New Roman"/>
              </w:rPr>
              <w:t>ZPE (kcal/mol)</w:t>
            </w:r>
          </w:p>
        </w:tc>
        <w:tc>
          <w:tcPr>
            <w:tcW w:w="1343" w:type="dxa"/>
            <w:vAlign w:val="center"/>
          </w:tcPr>
          <w:p w14:paraId="1F4A0BCA" w14:textId="28E7FFC0" w:rsidR="00883346" w:rsidRDefault="00883346" w:rsidP="00883346">
            <w:pPr>
              <w:jc w:val="center"/>
              <w:rPr>
                <w:rFonts w:ascii="Times New Roman" w:hAnsi="Times New Roman" w:cs="Times New Roman"/>
              </w:rPr>
            </w:pPr>
            <w:r w:rsidRPr="007044AF">
              <w:rPr>
                <w:rFonts w:ascii="Times New Roman" w:hAnsi="Times New Roman" w:cs="Times New Roman"/>
              </w:rPr>
              <w:t>61.56</w:t>
            </w:r>
          </w:p>
        </w:tc>
        <w:tc>
          <w:tcPr>
            <w:tcW w:w="1803" w:type="dxa"/>
            <w:vAlign w:val="center"/>
          </w:tcPr>
          <w:p w14:paraId="76B30562" w14:textId="674B2750" w:rsidR="00883346" w:rsidRDefault="00883346" w:rsidP="00883346">
            <w:pPr>
              <w:jc w:val="center"/>
              <w:rPr>
                <w:rFonts w:ascii="Times New Roman" w:hAnsi="Times New Roman" w:cs="Times New Roman"/>
              </w:rPr>
            </w:pPr>
            <w:r w:rsidRPr="007044AF">
              <w:rPr>
                <w:rFonts w:ascii="Times New Roman" w:hAnsi="Times New Roman" w:cs="Times New Roman"/>
              </w:rPr>
              <w:t>82.36</w:t>
            </w:r>
          </w:p>
        </w:tc>
        <w:tc>
          <w:tcPr>
            <w:tcW w:w="1803" w:type="dxa"/>
            <w:vAlign w:val="center"/>
          </w:tcPr>
          <w:p w14:paraId="4CE27441" w14:textId="49301B9A" w:rsidR="00883346" w:rsidRDefault="00883346" w:rsidP="00883346">
            <w:pPr>
              <w:jc w:val="center"/>
              <w:rPr>
                <w:rFonts w:ascii="Times New Roman" w:hAnsi="Times New Roman" w:cs="Times New Roman"/>
              </w:rPr>
            </w:pPr>
            <w:r w:rsidRPr="007044AF">
              <w:rPr>
                <w:rFonts w:ascii="Times New Roman" w:hAnsi="Times New Roman" w:cs="Times New Roman"/>
              </w:rPr>
              <w:t>96.38</w:t>
            </w:r>
          </w:p>
        </w:tc>
        <w:tc>
          <w:tcPr>
            <w:tcW w:w="1804" w:type="dxa"/>
            <w:vAlign w:val="center"/>
          </w:tcPr>
          <w:p w14:paraId="2692B636" w14:textId="559FC03B" w:rsidR="00883346" w:rsidRDefault="00883346" w:rsidP="00883346">
            <w:pPr>
              <w:jc w:val="center"/>
              <w:rPr>
                <w:rFonts w:ascii="Times New Roman" w:hAnsi="Times New Roman" w:cs="Times New Roman"/>
              </w:rPr>
            </w:pPr>
            <w:r w:rsidRPr="007044AF">
              <w:rPr>
                <w:rFonts w:ascii="Times New Roman" w:hAnsi="Times New Roman" w:cs="Times New Roman"/>
              </w:rPr>
              <w:t>110.79</w:t>
            </w:r>
          </w:p>
        </w:tc>
      </w:tr>
      <w:tr w:rsidR="00883346" w14:paraId="1A21B1B6" w14:textId="77777777" w:rsidTr="00BF686A">
        <w:tc>
          <w:tcPr>
            <w:tcW w:w="2263" w:type="dxa"/>
            <w:vAlign w:val="center"/>
          </w:tcPr>
          <w:p w14:paraId="6BB96A9A" w14:textId="6C9E76BD" w:rsidR="00883346" w:rsidRDefault="00883346" w:rsidP="00883346">
            <w:pPr>
              <w:jc w:val="center"/>
              <w:rPr>
                <w:rFonts w:ascii="Times New Roman" w:hAnsi="Times New Roman" w:cs="Times New Roman"/>
              </w:rPr>
            </w:pPr>
            <w:r w:rsidRPr="007044AF">
              <w:rPr>
                <w:rFonts w:ascii="Times New Roman" w:hAnsi="Times New Roman" w:cs="Times New Roman"/>
              </w:rPr>
              <w:t>Highest IR Frequency (cm⁻¹)</w:t>
            </w:r>
          </w:p>
        </w:tc>
        <w:tc>
          <w:tcPr>
            <w:tcW w:w="1343" w:type="dxa"/>
            <w:vAlign w:val="center"/>
          </w:tcPr>
          <w:p w14:paraId="433B96AC" w14:textId="163E32AA" w:rsidR="00883346" w:rsidRDefault="00883346" w:rsidP="00883346">
            <w:pPr>
              <w:jc w:val="center"/>
              <w:rPr>
                <w:rFonts w:ascii="Times New Roman" w:hAnsi="Times New Roman" w:cs="Times New Roman"/>
              </w:rPr>
            </w:pPr>
            <w:r w:rsidRPr="007044AF">
              <w:rPr>
                <w:rFonts w:ascii="Times New Roman" w:hAnsi="Times New Roman" w:cs="Times New Roman"/>
              </w:rPr>
              <w:t>3987.15</w:t>
            </w:r>
          </w:p>
        </w:tc>
        <w:tc>
          <w:tcPr>
            <w:tcW w:w="1803" w:type="dxa"/>
            <w:vAlign w:val="center"/>
          </w:tcPr>
          <w:p w14:paraId="601020B8" w14:textId="6B2A5CED" w:rsidR="00883346" w:rsidRDefault="00883346" w:rsidP="00883346">
            <w:pPr>
              <w:jc w:val="center"/>
              <w:rPr>
                <w:rFonts w:ascii="Times New Roman" w:hAnsi="Times New Roman" w:cs="Times New Roman"/>
              </w:rPr>
            </w:pPr>
            <w:r w:rsidRPr="007044AF">
              <w:rPr>
                <w:rFonts w:ascii="Times New Roman" w:hAnsi="Times New Roman" w:cs="Times New Roman"/>
              </w:rPr>
              <w:t>4190.12</w:t>
            </w:r>
          </w:p>
        </w:tc>
        <w:tc>
          <w:tcPr>
            <w:tcW w:w="1803" w:type="dxa"/>
            <w:vAlign w:val="center"/>
          </w:tcPr>
          <w:p w14:paraId="65C423AF" w14:textId="533BE0A4" w:rsidR="00883346" w:rsidRDefault="00883346" w:rsidP="00883346">
            <w:pPr>
              <w:jc w:val="center"/>
              <w:rPr>
                <w:rFonts w:ascii="Times New Roman" w:hAnsi="Times New Roman" w:cs="Times New Roman"/>
              </w:rPr>
            </w:pPr>
            <w:r w:rsidRPr="007044AF">
              <w:rPr>
                <w:rFonts w:ascii="Times New Roman" w:hAnsi="Times New Roman" w:cs="Times New Roman"/>
              </w:rPr>
              <w:t>4186.61</w:t>
            </w:r>
          </w:p>
        </w:tc>
        <w:tc>
          <w:tcPr>
            <w:tcW w:w="1804" w:type="dxa"/>
            <w:vAlign w:val="center"/>
          </w:tcPr>
          <w:p w14:paraId="3099DF8B" w14:textId="3B25C6D3" w:rsidR="00883346" w:rsidRDefault="00883346" w:rsidP="00883346">
            <w:pPr>
              <w:jc w:val="center"/>
              <w:rPr>
                <w:rFonts w:ascii="Times New Roman" w:hAnsi="Times New Roman" w:cs="Times New Roman"/>
              </w:rPr>
            </w:pPr>
            <w:r w:rsidRPr="007044AF">
              <w:rPr>
                <w:rFonts w:ascii="Times New Roman" w:hAnsi="Times New Roman" w:cs="Times New Roman"/>
              </w:rPr>
              <w:t>4194.75</w:t>
            </w:r>
          </w:p>
        </w:tc>
      </w:tr>
      <w:tr w:rsidR="00883346" w14:paraId="2A48FA6B" w14:textId="77777777" w:rsidTr="00BF686A">
        <w:tc>
          <w:tcPr>
            <w:tcW w:w="2263" w:type="dxa"/>
            <w:vAlign w:val="center"/>
          </w:tcPr>
          <w:p w14:paraId="19AB6145" w14:textId="33495EED" w:rsidR="00883346" w:rsidRDefault="00883346" w:rsidP="00883346">
            <w:pPr>
              <w:jc w:val="center"/>
              <w:rPr>
                <w:rFonts w:ascii="Times New Roman" w:hAnsi="Times New Roman" w:cs="Times New Roman"/>
              </w:rPr>
            </w:pPr>
            <w:r w:rsidRPr="007044AF">
              <w:rPr>
                <w:rFonts w:ascii="Times New Roman" w:hAnsi="Times New Roman" w:cs="Times New Roman"/>
              </w:rPr>
              <w:t>Dipole Moment (Debye)</w:t>
            </w:r>
          </w:p>
        </w:tc>
        <w:tc>
          <w:tcPr>
            <w:tcW w:w="1343" w:type="dxa"/>
            <w:vAlign w:val="center"/>
          </w:tcPr>
          <w:p w14:paraId="5EBF58D9" w14:textId="20CB6E82" w:rsidR="00883346" w:rsidRDefault="00883346" w:rsidP="00883346">
            <w:pPr>
              <w:jc w:val="center"/>
              <w:rPr>
                <w:rFonts w:ascii="Times New Roman" w:hAnsi="Times New Roman" w:cs="Times New Roman"/>
              </w:rPr>
            </w:pPr>
            <w:r w:rsidRPr="007044AF">
              <w:rPr>
                <w:rFonts w:ascii="Times New Roman" w:hAnsi="Times New Roman" w:cs="Times New Roman"/>
              </w:rPr>
              <w:t>1.79</w:t>
            </w:r>
          </w:p>
        </w:tc>
        <w:tc>
          <w:tcPr>
            <w:tcW w:w="1803" w:type="dxa"/>
            <w:vAlign w:val="center"/>
          </w:tcPr>
          <w:p w14:paraId="6DC0734B" w14:textId="375B44D9" w:rsidR="00883346" w:rsidRDefault="00883346" w:rsidP="00883346">
            <w:pPr>
              <w:jc w:val="center"/>
              <w:rPr>
                <w:rFonts w:ascii="Times New Roman" w:hAnsi="Times New Roman" w:cs="Times New Roman"/>
              </w:rPr>
            </w:pPr>
            <w:r w:rsidRPr="007044AF">
              <w:rPr>
                <w:rFonts w:ascii="Times New Roman" w:hAnsi="Times New Roman" w:cs="Times New Roman"/>
              </w:rPr>
              <w:t>1.95</w:t>
            </w:r>
          </w:p>
        </w:tc>
        <w:tc>
          <w:tcPr>
            <w:tcW w:w="1803" w:type="dxa"/>
            <w:vAlign w:val="center"/>
          </w:tcPr>
          <w:p w14:paraId="0B13E4C2" w14:textId="436D0795" w:rsidR="00883346" w:rsidRDefault="00883346" w:rsidP="00883346">
            <w:pPr>
              <w:jc w:val="center"/>
              <w:rPr>
                <w:rFonts w:ascii="Times New Roman" w:hAnsi="Times New Roman" w:cs="Times New Roman"/>
              </w:rPr>
            </w:pPr>
            <w:r w:rsidRPr="007044AF">
              <w:rPr>
                <w:rFonts w:ascii="Times New Roman" w:hAnsi="Times New Roman" w:cs="Times New Roman"/>
              </w:rPr>
              <w:t>1.68</w:t>
            </w:r>
          </w:p>
        </w:tc>
        <w:tc>
          <w:tcPr>
            <w:tcW w:w="1804" w:type="dxa"/>
            <w:vAlign w:val="center"/>
          </w:tcPr>
          <w:p w14:paraId="153B9828" w14:textId="48C8B54C" w:rsidR="00883346" w:rsidRDefault="00883346" w:rsidP="00883346">
            <w:pPr>
              <w:jc w:val="center"/>
              <w:rPr>
                <w:rFonts w:ascii="Times New Roman" w:hAnsi="Times New Roman" w:cs="Times New Roman"/>
              </w:rPr>
            </w:pPr>
            <w:r w:rsidRPr="007044AF">
              <w:rPr>
                <w:rFonts w:ascii="Times New Roman" w:hAnsi="Times New Roman" w:cs="Times New Roman"/>
              </w:rPr>
              <w:t>1.63</w:t>
            </w:r>
          </w:p>
        </w:tc>
      </w:tr>
      <w:tr w:rsidR="00883346" w14:paraId="4D8EE591" w14:textId="77777777" w:rsidTr="00BF686A">
        <w:tc>
          <w:tcPr>
            <w:tcW w:w="2263" w:type="dxa"/>
            <w:vAlign w:val="center"/>
          </w:tcPr>
          <w:p w14:paraId="2CA7E1B3" w14:textId="56DFFA1A" w:rsidR="00883346" w:rsidRDefault="00883346" w:rsidP="00883346">
            <w:pPr>
              <w:jc w:val="center"/>
              <w:rPr>
                <w:rFonts w:ascii="Times New Roman" w:hAnsi="Times New Roman" w:cs="Times New Roman"/>
              </w:rPr>
            </w:pPr>
            <w:r w:rsidRPr="007044AF">
              <w:rPr>
                <w:rFonts w:ascii="Times New Roman" w:hAnsi="Times New Roman" w:cs="Times New Roman"/>
              </w:rPr>
              <w:t>Rotational Constant A (MHz)</w:t>
            </w:r>
          </w:p>
        </w:tc>
        <w:tc>
          <w:tcPr>
            <w:tcW w:w="1343" w:type="dxa"/>
            <w:vAlign w:val="center"/>
          </w:tcPr>
          <w:p w14:paraId="3F8A5BC8" w14:textId="698A9AF3" w:rsidR="00883346" w:rsidRDefault="00883346" w:rsidP="00883346">
            <w:pPr>
              <w:jc w:val="center"/>
              <w:rPr>
                <w:rFonts w:ascii="Times New Roman" w:hAnsi="Times New Roman" w:cs="Times New Roman"/>
              </w:rPr>
            </w:pPr>
            <w:r w:rsidRPr="007044AF">
              <w:rPr>
                <w:rFonts w:ascii="Times New Roman" w:hAnsi="Times New Roman" w:cs="Times New Roman"/>
              </w:rPr>
              <w:t>13782.7</w:t>
            </w:r>
          </w:p>
        </w:tc>
        <w:tc>
          <w:tcPr>
            <w:tcW w:w="1803" w:type="dxa"/>
            <w:vAlign w:val="center"/>
          </w:tcPr>
          <w:p w14:paraId="39EFD3A2" w14:textId="05673E83" w:rsidR="00883346" w:rsidRDefault="00883346" w:rsidP="00883346">
            <w:pPr>
              <w:jc w:val="center"/>
              <w:rPr>
                <w:rFonts w:ascii="Times New Roman" w:hAnsi="Times New Roman" w:cs="Times New Roman"/>
              </w:rPr>
            </w:pPr>
            <w:r w:rsidRPr="007044AF">
              <w:rPr>
                <w:rFonts w:ascii="Times New Roman" w:hAnsi="Times New Roman" w:cs="Times New Roman"/>
              </w:rPr>
              <w:t>10183.0</w:t>
            </w:r>
          </w:p>
        </w:tc>
        <w:tc>
          <w:tcPr>
            <w:tcW w:w="1803" w:type="dxa"/>
            <w:vAlign w:val="center"/>
          </w:tcPr>
          <w:p w14:paraId="4096CEBC" w14:textId="64D5E015" w:rsidR="00883346" w:rsidRDefault="00883346" w:rsidP="00883346">
            <w:pPr>
              <w:jc w:val="center"/>
              <w:rPr>
                <w:rFonts w:ascii="Times New Roman" w:hAnsi="Times New Roman" w:cs="Times New Roman"/>
              </w:rPr>
            </w:pPr>
            <w:r w:rsidRPr="007044AF">
              <w:rPr>
                <w:rFonts w:ascii="Times New Roman" w:hAnsi="Times New Roman" w:cs="Times New Roman"/>
              </w:rPr>
              <w:t>8574.8</w:t>
            </w:r>
          </w:p>
        </w:tc>
        <w:tc>
          <w:tcPr>
            <w:tcW w:w="1804" w:type="dxa"/>
            <w:vAlign w:val="center"/>
          </w:tcPr>
          <w:p w14:paraId="7485D6D0" w14:textId="7C02842E" w:rsidR="00883346" w:rsidRDefault="00883346" w:rsidP="00883346">
            <w:pPr>
              <w:jc w:val="center"/>
              <w:rPr>
                <w:rFonts w:ascii="Times New Roman" w:hAnsi="Times New Roman" w:cs="Times New Roman"/>
              </w:rPr>
            </w:pPr>
            <w:r w:rsidRPr="007044AF">
              <w:rPr>
                <w:rFonts w:ascii="Times New Roman" w:hAnsi="Times New Roman" w:cs="Times New Roman"/>
              </w:rPr>
              <w:t>7721.3</w:t>
            </w:r>
          </w:p>
        </w:tc>
      </w:tr>
    </w:tbl>
    <w:p w14:paraId="743BDEED" w14:textId="286EC46E" w:rsidR="007044AF" w:rsidRPr="009758FC" w:rsidRDefault="007044AF" w:rsidP="00D44718">
      <w:pPr>
        <w:ind w:firstLine="720"/>
        <w:jc w:val="both"/>
        <w:rPr>
          <w:rFonts w:ascii="Times New Roman" w:hAnsi="Times New Roman" w:cs="Times New Roman"/>
          <w:sz w:val="24"/>
          <w:szCs w:val="24"/>
        </w:rPr>
      </w:pPr>
      <w:r w:rsidRPr="009758FC">
        <w:rPr>
          <w:rFonts w:ascii="Times New Roman" w:hAnsi="Times New Roman" w:cs="Times New Roman"/>
          <w:sz w:val="24"/>
          <w:szCs w:val="24"/>
        </w:rPr>
        <w:t xml:space="preserve">As expected, ZPE increases with molecular weight due to the increase in vibrational modes. However, the highest IR frequency remains consistently in the region associated with O–H stretching (~3900–4200 cm⁻¹), which is essential for H-bonding in biological systems. Dipole moments show minor variations, reflecting subtle structural changes that may influence solvation </w:t>
      </w:r>
      <w:proofErr w:type="spellStart"/>
      <w:r w:rsidRPr="009758FC">
        <w:rPr>
          <w:rFonts w:ascii="Times New Roman" w:hAnsi="Times New Roman" w:cs="Times New Roman"/>
          <w:sz w:val="24"/>
          <w:szCs w:val="24"/>
        </w:rPr>
        <w:t>behavior</w:t>
      </w:r>
      <w:proofErr w:type="spellEnd"/>
      <w:r w:rsidRPr="009758FC">
        <w:rPr>
          <w:rFonts w:ascii="Times New Roman" w:hAnsi="Times New Roman" w:cs="Times New Roman"/>
          <w:sz w:val="24"/>
          <w:szCs w:val="24"/>
        </w:rPr>
        <w:t xml:space="preserve"> and protein binding.</w:t>
      </w:r>
    </w:p>
    <w:p w14:paraId="37E425A8" w14:textId="77777777" w:rsidR="007044AF" w:rsidRPr="009758FC" w:rsidRDefault="007044AF" w:rsidP="002E7149">
      <w:pPr>
        <w:ind w:firstLine="720"/>
        <w:jc w:val="both"/>
        <w:rPr>
          <w:rFonts w:ascii="Times New Roman" w:hAnsi="Times New Roman" w:cs="Times New Roman"/>
          <w:sz w:val="24"/>
          <w:szCs w:val="24"/>
        </w:rPr>
      </w:pPr>
      <w:r w:rsidRPr="009758FC">
        <w:rPr>
          <w:rFonts w:ascii="Times New Roman" w:hAnsi="Times New Roman" w:cs="Times New Roman"/>
          <w:sz w:val="24"/>
          <w:szCs w:val="24"/>
        </w:rPr>
        <w:t>Rotational constants show a decreasing trend with increasing chain length, indicating increased moment of inertia. These constants can affect microwave spectra and molecular recognition.</w:t>
      </w:r>
    </w:p>
    <w:p w14:paraId="1C5EA289" w14:textId="77777777" w:rsidR="002E7149" w:rsidRPr="009758FC" w:rsidRDefault="007044AF" w:rsidP="007044AF">
      <w:pPr>
        <w:jc w:val="both"/>
        <w:rPr>
          <w:rFonts w:ascii="Times New Roman" w:hAnsi="Times New Roman" w:cs="Times New Roman"/>
          <w:sz w:val="20"/>
          <w:szCs w:val="20"/>
        </w:rPr>
      </w:pPr>
      <w:r w:rsidRPr="009758FC">
        <w:rPr>
          <w:rFonts w:ascii="Times New Roman" w:hAnsi="Times New Roman" w:cs="Times New Roman"/>
          <w:b/>
          <w:bCs/>
          <w:sz w:val="20"/>
          <w:szCs w:val="20"/>
        </w:rPr>
        <w:t>Pharmaceutical Relevance</w:t>
      </w:r>
      <w:r w:rsidRPr="009758FC">
        <w:rPr>
          <w:rFonts w:ascii="Times New Roman" w:hAnsi="Times New Roman" w:cs="Times New Roman"/>
          <w:sz w:val="20"/>
          <w:szCs w:val="20"/>
        </w:rPr>
        <w:t xml:space="preserve">: </w:t>
      </w:r>
      <w:r w:rsidR="002E7149" w:rsidRPr="009758FC">
        <w:rPr>
          <w:rFonts w:ascii="Times New Roman" w:hAnsi="Times New Roman" w:cs="Times New Roman"/>
          <w:sz w:val="20"/>
          <w:szCs w:val="20"/>
        </w:rPr>
        <w:tab/>
      </w:r>
    </w:p>
    <w:p w14:paraId="468565BD" w14:textId="5DABA17A" w:rsidR="007044AF" w:rsidRPr="009758FC" w:rsidRDefault="007044AF" w:rsidP="002E7149">
      <w:pPr>
        <w:ind w:firstLine="360"/>
        <w:jc w:val="both"/>
        <w:rPr>
          <w:rFonts w:ascii="Times New Roman" w:hAnsi="Times New Roman" w:cs="Times New Roman"/>
          <w:sz w:val="20"/>
          <w:szCs w:val="20"/>
        </w:rPr>
      </w:pPr>
      <w:r w:rsidRPr="009758FC">
        <w:rPr>
          <w:rFonts w:ascii="Times New Roman" w:hAnsi="Times New Roman" w:cs="Times New Roman"/>
          <w:sz w:val="20"/>
          <w:szCs w:val="20"/>
        </w:rPr>
        <w:t>The physicochemical parameters derived here have direct applications in pharmaceutical sciences:</w:t>
      </w:r>
    </w:p>
    <w:p w14:paraId="069CD6FC" w14:textId="5B530FA9" w:rsidR="007044AF" w:rsidRPr="009758FC" w:rsidRDefault="007044AF" w:rsidP="002E7149">
      <w:pPr>
        <w:numPr>
          <w:ilvl w:val="0"/>
          <w:numId w:val="3"/>
        </w:numPr>
        <w:jc w:val="both"/>
        <w:rPr>
          <w:rFonts w:ascii="Times New Roman" w:hAnsi="Times New Roman" w:cs="Times New Roman"/>
          <w:sz w:val="20"/>
          <w:szCs w:val="20"/>
        </w:rPr>
      </w:pPr>
      <w:r w:rsidRPr="009758FC">
        <w:rPr>
          <w:rFonts w:ascii="Times New Roman" w:hAnsi="Times New Roman" w:cs="Times New Roman"/>
          <w:b/>
          <w:bCs/>
          <w:sz w:val="20"/>
          <w:szCs w:val="20"/>
        </w:rPr>
        <w:t>Solubility &amp; Permeability</w:t>
      </w:r>
      <w:r w:rsidRPr="009758FC">
        <w:rPr>
          <w:rFonts w:ascii="Times New Roman" w:hAnsi="Times New Roman" w:cs="Times New Roman"/>
          <w:sz w:val="20"/>
          <w:szCs w:val="20"/>
        </w:rPr>
        <w:t>:</w:t>
      </w:r>
      <w:r w:rsidR="002E7149" w:rsidRPr="009758FC">
        <w:rPr>
          <w:rFonts w:ascii="Times New Roman" w:hAnsi="Times New Roman" w:cs="Times New Roman"/>
          <w:sz w:val="20"/>
          <w:szCs w:val="20"/>
        </w:rPr>
        <w:t xml:space="preserve"> </w:t>
      </w:r>
      <w:r w:rsidRPr="009758FC">
        <w:rPr>
          <w:rFonts w:ascii="Times New Roman" w:hAnsi="Times New Roman" w:cs="Times New Roman"/>
          <w:sz w:val="20"/>
          <w:szCs w:val="20"/>
        </w:rPr>
        <w:t>Molecules with higher dipole moments and optimal ZPEs are generally more soluble and can cross membranes efficiently [8].</w:t>
      </w:r>
    </w:p>
    <w:p w14:paraId="49F0346C" w14:textId="77777777" w:rsidR="007044AF" w:rsidRPr="009758FC" w:rsidRDefault="007044AF" w:rsidP="007044AF">
      <w:pPr>
        <w:numPr>
          <w:ilvl w:val="0"/>
          <w:numId w:val="3"/>
        </w:numPr>
        <w:jc w:val="both"/>
        <w:rPr>
          <w:rFonts w:ascii="Times New Roman" w:hAnsi="Times New Roman" w:cs="Times New Roman"/>
          <w:sz w:val="20"/>
          <w:szCs w:val="20"/>
        </w:rPr>
      </w:pPr>
      <w:r w:rsidRPr="009758FC">
        <w:rPr>
          <w:rFonts w:ascii="Times New Roman" w:hAnsi="Times New Roman" w:cs="Times New Roman"/>
          <w:b/>
          <w:bCs/>
          <w:sz w:val="20"/>
          <w:szCs w:val="20"/>
        </w:rPr>
        <w:lastRenderedPageBreak/>
        <w:t>Drug Delivery</w:t>
      </w:r>
      <w:r w:rsidRPr="009758FC">
        <w:rPr>
          <w:rFonts w:ascii="Times New Roman" w:hAnsi="Times New Roman" w:cs="Times New Roman"/>
          <w:sz w:val="20"/>
          <w:szCs w:val="20"/>
        </w:rPr>
        <w:t>: Short-chain alcohols are often used as co-solvents in injectable formulations to enhance the solubility of poorly soluble drugs [9].</w:t>
      </w:r>
    </w:p>
    <w:p w14:paraId="1F17F9E3" w14:textId="77777777" w:rsidR="007044AF" w:rsidRPr="009758FC" w:rsidRDefault="007044AF" w:rsidP="007044AF">
      <w:pPr>
        <w:numPr>
          <w:ilvl w:val="0"/>
          <w:numId w:val="3"/>
        </w:numPr>
        <w:jc w:val="both"/>
        <w:rPr>
          <w:rFonts w:ascii="Times New Roman" w:hAnsi="Times New Roman" w:cs="Times New Roman"/>
          <w:sz w:val="20"/>
          <w:szCs w:val="20"/>
        </w:rPr>
      </w:pPr>
      <w:r w:rsidRPr="009758FC">
        <w:rPr>
          <w:rFonts w:ascii="Times New Roman" w:hAnsi="Times New Roman" w:cs="Times New Roman"/>
          <w:b/>
          <w:bCs/>
          <w:sz w:val="20"/>
          <w:szCs w:val="20"/>
        </w:rPr>
        <w:t>Binding Affinity</w:t>
      </w:r>
      <w:r w:rsidRPr="009758FC">
        <w:rPr>
          <w:rFonts w:ascii="Times New Roman" w:hAnsi="Times New Roman" w:cs="Times New Roman"/>
          <w:sz w:val="20"/>
          <w:szCs w:val="20"/>
        </w:rPr>
        <w:t xml:space="preserve">: IR spectra and dipole </w:t>
      </w:r>
      <w:proofErr w:type="spellStart"/>
      <w:r w:rsidRPr="009758FC">
        <w:rPr>
          <w:rFonts w:ascii="Times New Roman" w:hAnsi="Times New Roman" w:cs="Times New Roman"/>
          <w:sz w:val="20"/>
          <w:szCs w:val="20"/>
        </w:rPr>
        <w:t>behavior</w:t>
      </w:r>
      <w:proofErr w:type="spellEnd"/>
      <w:r w:rsidRPr="009758FC">
        <w:rPr>
          <w:rFonts w:ascii="Times New Roman" w:hAnsi="Times New Roman" w:cs="Times New Roman"/>
          <w:sz w:val="20"/>
          <w:szCs w:val="20"/>
        </w:rPr>
        <w:t xml:space="preserve"> are vital in understanding drug-receptor interactions, particularly for H-bond-dependent targets such as enzymes or transporters [10].</w:t>
      </w:r>
    </w:p>
    <w:p w14:paraId="75DA4D75" w14:textId="77777777" w:rsidR="007044AF" w:rsidRPr="009758FC" w:rsidRDefault="007044AF" w:rsidP="002E7149">
      <w:pPr>
        <w:ind w:firstLine="360"/>
        <w:jc w:val="both"/>
        <w:rPr>
          <w:rFonts w:ascii="Times New Roman" w:hAnsi="Times New Roman" w:cs="Times New Roman"/>
          <w:sz w:val="20"/>
          <w:szCs w:val="20"/>
        </w:rPr>
      </w:pPr>
      <w:r w:rsidRPr="009758FC">
        <w:rPr>
          <w:rFonts w:ascii="Times New Roman" w:hAnsi="Times New Roman" w:cs="Times New Roman"/>
          <w:sz w:val="20"/>
          <w:szCs w:val="20"/>
        </w:rPr>
        <w:t xml:space="preserve">Quantum chemistry, especially when applied to small bio-relevant molecules like alcohols, enables rational drug design by allowing prediction of molecular </w:t>
      </w:r>
      <w:proofErr w:type="spellStart"/>
      <w:r w:rsidRPr="009758FC">
        <w:rPr>
          <w:rFonts w:ascii="Times New Roman" w:hAnsi="Times New Roman" w:cs="Times New Roman"/>
          <w:sz w:val="20"/>
          <w:szCs w:val="20"/>
        </w:rPr>
        <w:t>behavior</w:t>
      </w:r>
      <w:proofErr w:type="spellEnd"/>
      <w:r w:rsidRPr="009758FC">
        <w:rPr>
          <w:rFonts w:ascii="Times New Roman" w:hAnsi="Times New Roman" w:cs="Times New Roman"/>
          <w:sz w:val="20"/>
          <w:szCs w:val="20"/>
        </w:rPr>
        <w:t xml:space="preserve"> without extensive empirical testing. Such approaches complement experimental pharmacology and contribute to cost-effective lead identification.</w:t>
      </w:r>
    </w:p>
    <w:p w14:paraId="52DA7318" w14:textId="77777777" w:rsidR="007044AF" w:rsidRPr="007044AF" w:rsidRDefault="00000000" w:rsidP="007044AF">
      <w:pPr>
        <w:rPr>
          <w:rFonts w:ascii="Times New Roman" w:hAnsi="Times New Roman" w:cs="Times New Roman"/>
        </w:rPr>
      </w:pPr>
      <w:r>
        <w:rPr>
          <w:rFonts w:ascii="Times New Roman" w:hAnsi="Times New Roman" w:cs="Times New Roman"/>
        </w:rPr>
        <w:pict w14:anchorId="7F2E9AE5">
          <v:rect id="_x0000_i1028" style="width:0;height:1.5pt" o:hralign="center" o:hrstd="t" o:hr="t" fillcolor="#a0a0a0" stroked="f"/>
        </w:pict>
      </w:r>
    </w:p>
    <w:p w14:paraId="17202FD1" w14:textId="47FDDFEB" w:rsidR="002E7149" w:rsidRPr="009758FC" w:rsidRDefault="009758FC" w:rsidP="007044AF">
      <w:pPr>
        <w:jc w:val="both"/>
        <w:rPr>
          <w:rFonts w:ascii="Times New Roman" w:hAnsi="Times New Roman" w:cs="Times New Roman"/>
          <w:sz w:val="24"/>
          <w:szCs w:val="24"/>
        </w:rPr>
      </w:pPr>
      <w:r w:rsidRPr="009758FC">
        <w:rPr>
          <w:rFonts w:ascii="Times New Roman" w:hAnsi="Times New Roman" w:cs="Times New Roman"/>
          <w:b/>
          <w:bCs/>
          <w:sz w:val="24"/>
          <w:szCs w:val="24"/>
        </w:rPr>
        <w:t>4.CONCLUSION</w:t>
      </w:r>
      <w:r w:rsidRPr="009758FC">
        <w:rPr>
          <w:rFonts w:ascii="Times New Roman" w:hAnsi="Times New Roman" w:cs="Times New Roman"/>
          <w:sz w:val="24"/>
          <w:szCs w:val="24"/>
        </w:rPr>
        <w:t>:</w:t>
      </w:r>
      <w:r w:rsidRPr="009758FC">
        <w:rPr>
          <w:rFonts w:ascii="Times New Roman" w:hAnsi="Times New Roman" w:cs="Times New Roman"/>
          <w:sz w:val="24"/>
          <w:szCs w:val="24"/>
        </w:rPr>
        <w:tab/>
      </w:r>
    </w:p>
    <w:p w14:paraId="217E47A5" w14:textId="7AD6A260" w:rsidR="007044AF" w:rsidRPr="009758FC" w:rsidRDefault="007044AF" w:rsidP="002E7149">
      <w:pPr>
        <w:ind w:firstLine="720"/>
        <w:jc w:val="both"/>
        <w:rPr>
          <w:rFonts w:ascii="Times New Roman" w:hAnsi="Times New Roman" w:cs="Times New Roman"/>
          <w:sz w:val="20"/>
          <w:szCs w:val="20"/>
        </w:rPr>
      </w:pPr>
      <w:r w:rsidRPr="009758FC">
        <w:rPr>
          <w:rFonts w:ascii="Times New Roman" w:hAnsi="Times New Roman" w:cs="Times New Roman"/>
          <w:sz w:val="20"/>
          <w:szCs w:val="20"/>
        </w:rPr>
        <w:t>This research provides a computational insight into the comparative quantum properties of C</w:t>
      </w:r>
      <w:r w:rsidRPr="009758FC">
        <w:rPr>
          <w:rFonts w:ascii="Times New Roman" w:hAnsi="Times New Roman" w:cs="Times New Roman"/>
          <w:sz w:val="20"/>
          <w:szCs w:val="20"/>
          <w:vertAlign w:val="subscript"/>
        </w:rPr>
        <w:t>1</w:t>
      </w:r>
      <w:r w:rsidRPr="009758FC">
        <w:rPr>
          <w:rFonts w:ascii="Times New Roman" w:hAnsi="Times New Roman" w:cs="Times New Roman"/>
          <w:sz w:val="20"/>
          <w:szCs w:val="20"/>
        </w:rPr>
        <w:t>–C</w:t>
      </w:r>
      <w:r w:rsidRPr="009758FC">
        <w:rPr>
          <w:rFonts w:ascii="Times New Roman" w:hAnsi="Times New Roman" w:cs="Times New Roman"/>
          <w:sz w:val="20"/>
          <w:szCs w:val="20"/>
          <w:vertAlign w:val="subscript"/>
        </w:rPr>
        <w:t>4</w:t>
      </w:r>
      <w:r w:rsidRPr="009758FC">
        <w:rPr>
          <w:rFonts w:ascii="Times New Roman" w:hAnsi="Times New Roman" w:cs="Times New Roman"/>
          <w:sz w:val="20"/>
          <w:szCs w:val="20"/>
        </w:rPr>
        <w:t xml:space="preserve"> alcohols, highlighting how molecular weight and structure influence spectroscopic and electronic </w:t>
      </w:r>
      <w:proofErr w:type="spellStart"/>
      <w:r w:rsidRPr="009758FC">
        <w:rPr>
          <w:rFonts w:ascii="Times New Roman" w:hAnsi="Times New Roman" w:cs="Times New Roman"/>
          <w:sz w:val="20"/>
          <w:szCs w:val="20"/>
        </w:rPr>
        <w:t>behavior</w:t>
      </w:r>
      <w:proofErr w:type="spellEnd"/>
      <w:r w:rsidRPr="009758FC">
        <w:rPr>
          <w:rFonts w:ascii="Times New Roman" w:hAnsi="Times New Roman" w:cs="Times New Roman"/>
          <w:sz w:val="20"/>
          <w:szCs w:val="20"/>
        </w:rPr>
        <w:t xml:space="preserve">. The trends observed in ZPE, IR spectra, dipole moments, and rotational constants align well with theoretical expectations and bear pharmaceutical significance. These alcohols not only serve as chemical scaffolds but also play critical roles as excipients and bioactive agents in drug formulation and design. The application of quantum chemical </w:t>
      </w:r>
      <w:proofErr w:type="spellStart"/>
      <w:r w:rsidRPr="009758FC">
        <w:rPr>
          <w:rFonts w:ascii="Times New Roman" w:hAnsi="Times New Roman" w:cs="Times New Roman"/>
          <w:sz w:val="20"/>
          <w:szCs w:val="20"/>
        </w:rPr>
        <w:t>modeling</w:t>
      </w:r>
      <w:proofErr w:type="spellEnd"/>
      <w:r w:rsidRPr="009758FC">
        <w:rPr>
          <w:rFonts w:ascii="Times New Roman" w:hAnsi="Times New Roman" w:cs="Times New Roman"/>
          <w:sz w:val="20"/>
          <w:szCs w:val="20"/>
        </w:rPr>
        <w:t>, as demonstrated here, supports the rational development of small molecules in medicinal chemistry.</w:t>
      </w:r>
    </w:p>
    <w:p w14:paraId="048F5C50" w14:textId="77777777" w:rsidR="007044AF" w:rsidRPr="007044AF" w:rsidRDefault="00000000" w:rsidP="007044AF">
      <w:pPr>
        <w:rPr>
          <w:rFonts w:ascii="Times New Roman" w:hAnsi="Times New Roman" w:cs="Times New Roman"/>
        </w:rPr>
      </w:pPr>
      <w:r>
        <w:rPr>
          <w:rFonts w:ascii="Times New Roman" w:hAnsi="Times New Roman" w:cs="Times New Roman"/>
        </w:rPr>
        <w:pict w14:anchorId="39F94D23">
          <v:rect id="_x0000_i1029" style="width:0;height:1.5pt" o:hralign="center" o:hrstd="t" o:hr="t" fillcolor="#a0a0a0" stroked="f"/>
        </w:pict>
      </w:r>
    </w:p>
    <w:p w14:paraId="027ECEAD" w14:textId="71D15589" w:rsidR="002E7149" w:rsidRDefault="009758FC" w:rsidP="007044AF">
      <w:pPr>
        <w:rPr>
          <w:rFonts w:ascii="Times New Roman" w:hAnsi="Times New Roman" w:cs="Times New Roman"/>
        </w:rPr>
      </w:pPr>
      <w:r w:rsidRPr="009758FC">
        <w:rPr>
          <w:rFonts w:ascii="Times New Roman" w:hAnsi="Times New Roman" w:cs="Times New Roman"/>
          <w:b/>
          <w:bCs/>
          <w:sz w:val="24"/>
          <w:szCs w:val="24"/>
        </w:rPr>
        <w:t xml:space="preserve">ACKNOWLEDGEMENT: </w:t>
      </w:r>
      <w:r w:rsidR="005546CB" w:rsidRPr="009758FC">
        <w:rPr>
          <w:rFonts w:ascii="Times New Roman" w:hAnsi="Times New Roman" w:cs="Times New Roman"/>
          <w:sz w:val="20"/>
          <w:szCs w:val="20"/>
        </w:rPr>
        <w:t>The authors acknowledge the developers of ORCA and Avogadro for their freely available computational tools.</w:t>
      </w:r>
    </w:p>
    <w:p w14:paraId="51842D2A" w14:textId="70D6F584" w:rsidR="005546CB" w:rsidRDefault="00000000" w:rsidP="007044AF">
      <w:pPr>
        <w:rPr>
          <w:rFonts w:ascii="Times New Roman" w:hAnsi="Times New Roman" w:cs="Times New Roman"/>
        </w:rPr>
      </w:pPr>
      <w:r>
        <w:rPr>
          <w:rFonts w:ascii="Times New Roman" w:hAnsi="Times New Roman" w:cs="Times New Roman"/>
          <w:b/>
          <w:bCs/>
        </w:rPr>
        <w:pict w14:anchorId="56C5799A">
          <v:rect id="_x0000_i1030" style="width:0;height:1.5pt" o:hralign="center" o:hrstd="t" o:hr="t" fillcolor="#a0a0a0" stroked="f"/>
        </w:pict>
      </w:r>
    </w:p>
    <w:p w14:paraId="0104FF5D" w14:textId="55192361" w:rsidR="005546CB" w:rsidRPr="005546CB" w:rsidRDefault="009758FC" w:rsidP="005546CB">
      <w:pPr>
        <w:rPr>
          <w:rFonts w:ascii="Times New Roman" w:hAnsi="Times New Roman" w:cs="Times New Roman"/>
          <w:b/>
          <w:bCs/>
        </w:rPr>
      </w:pPr>
      <w:r w:rsidRPr="009758FC">
        <w:rPr>
          <w:rFonts w:ascii="Times New Roman" w:hAnsi="Times New Roman" w:cs="Times New Roman"/>
          <w:b/>
          <w:bCs/>
          <w:sz w:val="24"/>
          <w:szCs w:val="24"/>
        </w:rPr>
        <w:t xml:space="preserve">CONFLICT OF INTEREST: </w:t>
      </w:r>
      <w:r w:rsidR="005546CB" w:rsidRPr="009758FC">
        <w:rPr>
          <w:rFonts w:ascii="Times New Roman" w:hAnsi="Times New Roman" w:cs="Times New Roman"/>
          <w:sz w:val="20"/>
          <w:szCs w:val="20"/>
        </w:rPr>
        <w:t>The authors declare no conflict of interest.</w:t>
      </w:r>
    </w:p>
    <w:p w14:paraId="37C5443D" w14:textId="77777777" w:rsidR="005546CB" w:rsidRPr="005546CB" w:rsidRDefault="00000000" w:rsidP="005546CB">
      <w:pPr>
        <w:rPr>
          <w:rFonts w:ascii="Times New Roman" w:hAnsi="Times New Roman" w:cs="Times New Roman"/>
          <w:b/>
          <w:bCs/>
        </w:rPr>
      </w:pPr>
      <w:r>
        <w:rPr>
          <w:rFonts w:ascii="Times New Roman" w:hAnsi="Times New Roman" w:cs="Times New Roman"/>
          <w:b/>
          <w:bCs/>
        </w:rPr>
        <w:pict w14:anchorId="2B33E5D6">
          <v:rect id="_x0000_i1031" style="width:0;height:1.5pt" o:hralign="center" o:hrstd="t" o:hr="t" fillcolor="#a0a0a0" stroked="f"/>
        </w:pict>
      </w:r>
    </w:p>
    <w:p w14:paraId="25D7AD82" w14:textId="41D22972" w:rsidR="005546CB" w:rsidRDefault="009758FC" w:rsidP="005546CB">
      <w:pPr>
        <w:rPr>
          <w:rFonts w:ascii="Times New Roman" w:hAnsi="Times New Roman" w:cs="Times New Roman"/>
        </w:rPr>
      </w:pPr>
      <w:r w:rsidRPr="009758FC">
        <w:rPr>
          <w:rFonts w:ascii="Times New Roman" w:hAnsi="Times New Roman" w:cs="Times New Roman"/>
          <w:b/>
          <w:bCs/>
          <w:sz w:val="24"/>
          <w:szCs w:val="24"/>
        </w:rPr>
        <w:t xml:space="preserve">FUNDING STATEMENT: </w:t>
      </w:r>
      <w:r w:rsidR="005546CB" w:rsidRPr="009758FC">
        <w:rPr>
          <w:rFonts w:ascii="Times New Roman" w:hAnsi="Times New Roman" w:cs="Times New Roman"/>
          <w:sz w:val="20"/>
          <w:szCs w:val="20"/>
        </w:rPr>
        <w:t>This research received no external funding.</w:t>
      </w:r>
    </w:p>
    <w:p w14:paraId="5B46BBEF" w14:textId="060AA810" w:rsidR="005546CB" w:rsidRPr="005546CB" w:rsidRDefault="00000000" w:rsidP="007044AF">
      <w:pPr>
        <w:rPr>
          <w:rFonts w:ascii="Times New Roman" w:hAnsi="Times New Roman" w:cs="Times New Roman"/>
        </w:rPr>
      </w:pPr>
      <w:r>
        <w:rPr>
          <w:rFonts w:ascii="Times New Roman" w:hAnsi="Times New Roman" w:cs="Times New Roman"/>
          <w:b/>
          <w:bCs/>
        </w:rPr>
        <w:pict w14:anchorId="7BBE0437">
          <v:rect id="_x0000_i1032" style="width:0;height:1.5pt" o:hralign="center" o:hrstd="t" o:hr="t" fillcolor="#a0a0a0" stroked="f"/>
        </w:pict>
      </w:r>
    </w:p>
    <w:p w14:paraId="0AD51499" w14:textId="429B3927" w:rsidR="007044AF" w:rsidRPr="009758FC" w:rsidRDefault="009758FC" w:rsidP="007044AF">
      <w:pPr>
        <w:rPr>
          <w:rFonts w:ascii="Times New Roman" w:hAnsi="Times New Roman" w:cs="Times New Roman"/>
          <w:sz w:val="24"/>
          <w:szCs w:val="24"/>
        </w:rPr>
      </w:pPr>
      <w:r w:rsidRPr="009758FC">
        <w:rPr>
          <w:rFonts w:ascii="Times New Roman" w:hAnsi="Times New Roman" w:cs="Times New Roman"/>
          <w:b/>
          <w:bCs/>
          <w:sz w:val="24"/>
          <w:szCs w:val="24"/>
        </w:rPr>
        <w:t>REFERENCES</w:t>
      </w:r>
      <w:r>
        <w:rPr>
          <w:rFonts w:ascii="Times New Roman" w:hAnsi="Times New Roman" w:cs="Times New Roman"/>
          <w:b/>
          <w:bCs/>
          <w:sz w:val="24"/>
          <w:szCs w:val="24"/>
        </w:rPr>
        <w:t>:</w:t>
      </w:r>
    </w:p>
    <w:p w14:paraId="40045268" w14:textId="3FC4A731" w:rsidR="007666E6" w:rsidRPr="009758FC" w:rsidRDefault="005145CE" w:rsidP="002F2419">
      <w:pPr>
        <w:pStyle w:val="ListParagraph"/>
        <w:numPr>
          <w:ilvl w:val="0"/>
          <w:numId w:val="5"/>
        </w:numPr>
        <w:jc w:val="both"/>
        <w:rPr>
          <w:rFonts w:ascii="Times New Roman" w:hAnsi="Times New Roman" w:cs="Times New Roman"/>
          <w:sz w:val="20"/>
          <w:szCs w:val="20"/>
        </w:rPr>
      </w:pPr>
      <w:r w:rsidRPr="005145CE">
        <w:rPr>
          <w:rFonts w:ascii="Times New Roman" w:hAnsi="Times New Roman" w:cs="Times New Roman"/>
          <w:sz w:val="20"/>
          <w:szCs w:val="20"/>
        </w:rPr>
        <w:t xml:space="preserve">Clement Agoni, Raúl Fernández-Díaz, Patrick Brendan Timmons, Alessandro Adelfio, Hansel Gómez, Denis C. Shields, Molecular Modelling in Bioactive Peptide Discovery and Characterisation, </w:t>
      </w:r>
      <w:r w:rsidRPr="005145CE">
        <w:rPr>
          <w:rFonts w:ascii="Times New Roman" w:hAnsi="Times New Roman" w:cs="Times New Roman"/>
          <w:i/>
          <w:iCs/>
          <w:sz w:val="20"/>
          <w:szCs w:val="20"/>
        </w:rPr>
        <w:t>Biomolecules</w:t>
      </w:r>
      <w:r w:rsidRPr="005145CE">
        <w:rPr>
          <w:rFonts w:ascii="Times New Roman" w:hAnsi="Times New Roman" w:cs="Times New Roman"/>
          <w:sz w:val="20"/>
          <w:szCs w:val="20"/>
        </w:rPr>
        <w:t>,</w:t>
      </w:r>
      <w:r w:rsidR="002F2419">
        <w:rPr>
          <w:rFonts w:ascii="Times New Roman" w:hAnsi="Times New Roman" w:cs="Times New Roman"/>
          <w:sz w:val="20"/>
          <w:szCs w:val="20"/>
        </w:rPr>
        <w:t xml:space="preserve"> Vol</w:t>
      </w:r>
      <w:r w:rsidR="00112666">
        <w:rPr>
          <w:rFonts w:ascii="Times New Roman" w:hAnsi="Times New Roman" w:cs="Times New Roman"/>
          <w:sz w:val="20"/>
          <w:szCs w:val="20"/>
        </w:rPr>
        <w:t>ume</w:t>
      </w:r>
      <w:r w:rsidR="002F2419">
        <w:rPr>
          <w:rFonts w:ascii="Times New Roman" w:hAnsi="Times New Roman" w:cs="Times New Roman"/>
          <w:sz w:val="20"/>
          <w:szCs w:val="20"/>
        </w:rPr>
        <w:t xml:space="preserve"> </w:t>
      </w:r>
      <w:r w:rsidR="002F2419" w:rsidRPr="005145CE">
        <w:rPr>
          <w:rFonts w:ascii="Times New Roman" w:hAnsi="Times New Roman" w:cs="Times New Roman"/>
          <w:sz w:val="20"/>
          <w:szCs w:val="20"/>
        </w:rPr>
        <w:t>15</w:t>
      </w:r>
      <w:r w:rsidR="002F2419">
        <w:rPr>
          <w:rFonts w:ascii="Times New Roman" w:hAnsi="Times New Roman" w:cs="Times New Roman"/>
          <w:sz w:val="20"/>
          <w:szCs w:val="20"/>
        </w:rPr>
        <w:t xml:space="preserve"> </w:t>
      </w:r>
      <w:r w:rsidR="002F2419" w:rsidRPr="005145CE">
        <w:rPr>
          <w:rFonts w:ascii="Times New Roman" w:hAnsi="Times New Roman" w:cs="Times New Roman"/>
          <w:sz w:val="20"/>
          <w:szCs w:val="20"/>
        </w:rPr>
        <w:t>Issue</w:t>
      </w:r>
      <w:r w:rsidR="002F2419">
        <w:rPr>
          <w:rFonts w:ascii="Times New Roman" w:hAnsi="Times New Roman" w:cs="Times New Roman"/>
          <w:sz w:val="20"/>
          <w:szCs w:val="20"/>
        </w:rPr>
        <w:t xml:space="preserve"> </w:t>
      </w:r>
      <w:proofErr w:type="gramStart"/>
      <w:r w:rsidR="002F2419" w:rsidRPr="005145CE">
        <w:rPr>
          <w:rFonts w:ascii="Times New Roman" w:hAnsi="Times New Roman" w:cs="Times New Roman"/>
          <w:sz w:val="20"/>
          <w:szCs w:val="20"/>
        </w:rPr>
        <w:t>4</w:t>
      </w:r>
      <w:r w:rsidR="002F2419">
        <w:rPr>
          <w:rFonts w:ascii="Times New Roman" w:hAnsi="Times New Roman" w:cs="Times New Roman"/>
          <w:sz w:val="20"/>
          <w:szCs w:val="20"/>
        </w:rPr>
        <w:t xml:space="preserve"> </w:t>
      </w:r>
      <w:r w:rsidR="002F2419" w:rsidRPr="005145CE">
        <w:rPr>
          <w:rFonts w:ascii="Times New Roman" w:hAnsi="Times New Roman" w:cs="Times New Roman"/>
          <w:sz w:val="20"/>
          <w:szCs w:val="20"/>
        </w:rPr>
        <w:t>:</w:t>
      </w:r>
      <w:proofErr w:type="gramEnd"/>
      <w:r w:rsidRPr="005145CE">
        <w:rPr>
          <w:rFonts w:ascii="Times New Roman" w:hAnsi="Times New Roman" w:cs="Times New Roman"/>
          <w:sz w:val="20"/>
          <w:szCs w:val="20"/>
        </w:rPr>
        <w:t xml:space="preserve"> 2025</w:t>
      </w:r>
      <w:r w:rsidR="002F2419">
        <w:rPr>
          <w:rFonts w:ascii="Times New Roman" w:hAnsi="Times New Roman" w:cs="Times New Roman"/>
          <w:sz w:val="20"/>
          <w:szCs w:val="20"/>
        </w:rPr>
        <w:t xml:space="preserve">, pp </w:t>
      </w:r>
      <w:r w:rsidRPr="005145CE">
        <w:rPr>
          <w:rFonts w:ascii="Times New Roman" w:hAnsi="Times New Roman" w:cs="Times New Roman"/>
          <w:sz w:val="20"/>
          <w:szCs w:val="20"/>
        </w:rPr>
        <w:t>524,</w:t>
      </w:r>
      <w:r w:rsidR="007044AF" w:rsidRPr="009758FC">
        <w:rPr>
          <w:rFonts w:ascii="Times New Roman" w:hAnsi="Times New Roman" w:cs="Times New Roman"/>
          <w:sz w:val="20"/>
          <w:szCs w:val="20"/>
        </w:rPr>
        <w:t xml:space="preserve"> </w:t>
      </w:r>
    </w:p>
    <w:p w14:paraId="7216C1B1" w14:textId="77777777" w:rsidR="005145CE" w:rsidRDefault="005145CE" w:rsidP="002F2419">
      <w:pPr>
        <w:pStyle w:val="ListParagraph"/>
        <w:numPr>
          <w:ilvl w:val="0"/>
          <w:numId w:val="5"/>
        </w:numPr>
        <w:jc w:val="both"/>
        <w:rPr>
          <w:rFonts w:ascii="Times New Roman" w:hAnsi="Times New Roman" w:cs="Times New Roman"/>
          <w:sz w:val="20"/>
          <w:szCs w:val="20"/>
        </w:rPr>
      </w:pPr>
      <w:r w:rsidRPr="005145CE">
        <w:rPr>
          <w:rFonts w:ascii="Times New Roman" w:hAnsi="Times New Roman" w:cs="Times New Roman"/>
          <w:sz w:val="20"/>
          <w:szCs w:val="20"/>
        </w:rPr>
        <w:t xml:space="preserve">I. </w:t>
      </w:r>
      <w:proofErr w:type="spellStart"/>
      <w:r w:rsidRPr="005145CE">
        <w:rPr>
          <w:rFonts w:ascii="Times New Roman" w:hAnsi="Times New Roman" w:cs="Times New Roman"/>
          <w:sz w:val="20"/>
          <w:szCs w:val="20"/>
        </w:rPr>
        <w:t>Umadevan</w:t>
      </w:r>
      <w:proofErr w:type="spellEnd"/>
      <w:r w:rsidRPr="005145CE">
        <w:rPr>
          <w:rFonts w:ascii="Times New Roman" w:hAnsi="Times New Roman" w:cs="Times New Roman"/>
          <w:sz w:val="20"/>
          <w:szCs w:val="20"/>
        </w:rPr>
        <w:t>, R. Rajasekaran, M. Anto Bennet, V. Rajmohan, V. Vetrivelan, K. Sankar, M. Raja, Synthesis, spectroscopic, chemical reactivity, topology analysis and molecular docking study of ethyl 5-hydroxy-2-thioxo-4-(p-tolyl)-6-(</w:t>
      </w:r>
      <w:proofErr w:type="gramStart"/>
      <w:r w:rsidRPr="005145CE">
        <w:rPr>
          <w:rFonts w:ascii="Times New Roman" w:hAnsi="Times New Roman" w:cs="Times New Roman"/>
          <w:sz w:val="20"/>
          <w:szCs w:val="20"/>
        </w:rPr>
        <w:t>trifluoromethyl)hexahydropyrimidine</w:t>
      </w:r>
      <w:proofErr w:type="gramEnd"/>
      <w:r w:rsidRPr="005145CE">
        <w:rPr>
          <w:rFonts w:ascii="Times New Roman" w:hAnsi="Times New Roman" w:cs="Times New Roman"/>
          <w:sz w:val="20"/>
          <w:szCs w:val="20"/>
        </w:rPr>
        <w:t xml:space="preserve">-5-carboxylate, </w:t>
      </w:r>
      <w:proofErr w:type="spellStart"/>
      <w:r w:rsidRPr="005145CE">
        <w:rPr>
          <w:rFonts w:ascii="Times New Roman" w:hAnsi="Times New Roman" w:cs="Times New Roman"/>
          <w:i/>
          <w:iCs/>
          <w:sz w:val="20"/>
          <w:szCs w:val="20"/>
        </w:rPr>
        <w:t>Heliyon</w:t>
      </w:r>
      <w:proofErr w:type="spellEnd"/>
      <w:r w:rsidRPr="005145CE">
        <w:rPr>
          <w:rFonts w:ascii="Times New Roman" w:hAnsi="Times New Roman" w:cs="Times New Roman"/>
          <w:sz w:val="20"/>
          <w:szCs w:val="20"/>
        </w:rPr>
        <w:t>, Volume 10, Issue 3, 2024,</w:t>
      </w:r>
    </w:p>
    <w:p w14:paraId="1EA07568" w14:textId="70E751FC" w:rsidR="002F2419" w:rsidRDefault="002F2419" w:rsidP="002F2419">
      <w:pPr>
        <w:pStyle w:val="ListParagraph"/>
        <w:numPr>
          <w:ilvl w:val="0"/>
          <w:numId w:val="5"/>
        </w:numPr>
        <w:jc w:val="both"/>
        <w:rPr>
          <w:rFonts w:ascii="Times New Roman" w:hAnsi="Times New Roman" w:cs="Times New Roman"/>
          <w:sz w:val="20"/>
          <w:szCs w:val="20"/>
        </w:rPr>
      </w:pPr>
      <w:r w:rsidRPr="002F2419">
        <w:rPr>
          <w:rFonts w:ascii="Times New Roman" w:hAnsi="Times New Roman" w:cs="Times New Roman"/>
          <w:sz w:val="20"/>
          <w:szCs w:val="20"/>
        </w:rPr>
        <w:t xml:space="preserve">K. </w:t>
      </w:r>
      <w:proofErr w:type="spellStart"/>
      <w:r w:rsidRPr="002F2419">
        <w:rPr>
          <w:rFonts w:ascii="Times New Roman" w:hAnsi="Times New Roman" w:cs="Times New Roman"/>
          <w:sz w:val="20"/>
          <w:szCs w:val="20"/>
        </w:rPr>
        <w:t>Deepakvijay</w:t>
      </w:r>
      <w:proofErr w:type="spellEnd"/>
      <w:r w:rsidRPr="002F2419">
        <w:rPr>
          <w:rFonts w:ascii="Times New Roman" w:hAnsi="Times New Roman" w:cs="Times New Roman"/>
          <w:sz w:val="20"/>
          <w:szCs w:val="20"/>
        </w:rPr>
        <w:t xml:space="preserve">, A. Prakasam, R. Arivazhagan, P.M. Anbarasan, Insights into the structural, electronic, quantum chemical properties and molecular docking studies on novel NAMPT inhibitor molecule, </w:t>
      </w:r>
      <w:r w:rsidRPr="002F2419">
        <w:rPr>
          <w:rFonts w:ascii="Times New Roman" w:hAnsi="Times New Roman" w:cs="Times New Roman"/>
          <w:i/>
          <w:iCs/>
          <w:sz w:val="20"/>
          <w:szCs w:val="20"/>
        </w:rPr>
        <w:t>Chemical Physics Impact</w:t>
      </w:r>
      <w:r w:rsidRPr="002F2419">
        <w:rPr>
          <w:rFonts w:ascii="Times New Roman" w:hAnsi="Times New Roman" w:cs="Times New Roman"/>
          <w:sz w:val="20"/>
          <w:szCs w:val="20"/>
        </w:rPr>
        <w:t>, Volume 7,</w:t>
      </w:r>
      <w:r w:rsidR="00112666">
        <w:rPr>
          <w:rFonts w:ascii="Times New Roman" w:hAnsi="Times New Roman" w:cs="Times New Roman"/>
          <w:sz w:val="20"/>
          <w:szCs w:val="20"/>
        </w:rPr>
        <w:t xml:space="preserve"> </w:t>
      </w:r>
      <w:r w:rsidRPr="002F2419">
        <w:rPr>
          <w:rFonts w:ascii="Times New Roman" w:hAnsi="Times New Roman" w:cs="Times New Roman"/>
          <w:sz w:val="20"/>
          <w:szCs w:val="20"/>
        </w:rPr>
        <w:t>2023, 100395.</w:t>
      </w:r>
    </w:p>
    <w:p w14:paraId="06AA9DBE" w14:textId="460E2CA2" w:rsidR="002F2419" w:rsidRDefault="002F2419" w:rsidP="00483F41">
      <w:pPr>
        <w:pStyle w:val="ListParagraph"/>
        <w:numPr>
          <w:ilvl w:val="0"/>
          <w:numId w:val="5"/>
        </w:numPr>
        <w:jc w:val="both"/>
        <w:rPr>
          <w:rFonts w:ascii="Times New Roman" w:hAnsi="Times New Roman" w:cs="Times New Roman"/>
          <w:sz w:val="20"/>
          <w:szCs w:val="20"/>
        </w:rPr>
      </w:pPr>
      <w:r w:rsidRPr="002F2419">
        <w:rPr>
          <w:rFonts w:ascii="Times New Roman" w:hAnsi="Times New Roman" w:cs="Times New Roman"/>
          <w:sz w:val="20"/>
          <w:szCs w:val="20"/>
        </w:rPr>
        <w:t xml:space="preserve">Gábor Náray-Szabó, Julianna Oláh, Balázs Krámos, Quantum Mechanical </w:t>
      </w:r>
      <w:proofErr w:type="spellStart"/>
      <w:r w:rsidRPr="002F2419">
        <w:rPr>
          <w:rFonts w:ascii="Times New Roman" w:hAnsi="Times New Roman" w:cs="Times New Roman"/>
          <w:sz w:val="20"/>
          <w:szCs w:val="20"/>
        </w:rPr>
        <w:t>Modeling</w:t>
      </w:r>
      <w:proofErr w:type="spellEnd"/>
      <w:r w:rsidRPr="002F2419">
        <w:rPr>
          <w:rFonts w:ascii="Times New Roman" w:hAnsi="Times New Roman" w:cs="Times New Roman"/>
          <w:sz w:val="20"/>
          <w:szCs w:val="20"/>
        </w:rPr>
        <w:t xml:space="preserve">: A Tool for the Understanding of Enzyme Reactions, </w:t>
      </w:r>
      <w:proofErr w:type="spellStart"/>
      <w:proofErr w:type="gramStart"/>
      <w:r w:rsidRPr="002F2419">
        <w:rPr>
          <w:rFonts w:ascii="Times New Roman" w:hAnsi="Times New Roman" w:cs="Times New Roman"/>
          <w:i/>
          <w:iCs/>
          <w:sz w:val="20"/>
          <w:szCs w:val="20"/>
        </w:rPr>
        <w:t>Biomolecules</w:t>
      </w:r>
      <w:r w:rsidRPr="002F2419">
        <w:rPr>
          <w:rFonts w:ascii="Times New Roman" w:hAnsi="Times New Roman" w:cs="Times New Roman"/>
          <w:sz w:val="20"/>
          <w:szCs w:val="20"/>
        </w:rPr>
        <w:t>,</w:t>
      </w:r>
      <w:r w:rsidR="00112666">
        <w:rPr>
          <w:rFonts w:ascii="Times New Roman" w:hAnsi="Times New Roman" w:cs="Times New Roman"/>
          <w:sz w:val="20"/>
          <w:szCs w:val="20"/>
        </w:rPr>
        <w:t>Volume</w:t>
      </w:r>
      <w:proofErr w:type="spellEnd"/>
      <w:proofErr w:type="gramEnd"/>
      <w:r w:rsidRPr="002F2419">
        <w:rPr>
          <w:rFonts w:ascii="Times New Roman" w:hAnsi="Times New Roman" w:cs="Times New Roman"/>
          <w:sz w:val="20"/>
          <w:szCs w:val="20"/>
        </w:rPr>
        <w:t xml:space="preserve"> 23;</w:t>
      </w:r>
      <w:r w:rsidR="00112666">
        <w:rPr>
          <w:rFonts w:ascii="Times New Roman" w:hAnsi="Times New Roman" w:cs="Times New Roman"/>
          <w:sz w:val="20"/>
          <w:szCs w:val="20"/>
        </w:rPr>
        <w:t xml:space="preserve"> issue 3</w:t>
      </w:r>
      <w:r w:rsidRPr="002F2419">
        <w:rPr>
          <w:rFonts w:ascii="Times New Roman" w:hAnsi="Times New Roman" w:cs="Times New Roman"/>
          <w:sz w:val="20"/>
          <w:szCs w:val="20"/>
        </w:rPr>
        <w:t>:</w:t>
      </w:r>
      <w:r w:rsidR="00112666">
        <w:rPr>
          <w:rFonts w:ascii="Times New Roman" w:hAnsi="Times New Roman" w:cs="Times New Roman"/>
          <w:sz w:val="20"/>
          <w:szCs w:val="20"/>
        </w:rPr>
        <w:t xml:space="preserve"> 2013.</w:t>
      </w:r>
      <w:r>
        <w:rPr>
          <w:rFonts w:ascii="Times New Roman" w:hAnsi="Times New Roman" w:cs="Times New Roman"/>
          <w:sz w:val="20"/>
          <w:szCs w:val="20"/>
        </w:rPr>
        <w:t xml:space="preserve"> pp </w:t>
      </w:r>
      <w:r w:rsidRPr="002F2419">
        <w:rPr>
          <w:rFonts w:ascii="Times New Roman" w:hAnsi="Times New Roman" w:cs="Times New Roman"/>
          <w:sz w:val="20"/>
          <w:szCs w:val="20"/>
        </w:rPr>
        <w:t>662</w:t>
      </w:r>
    </w:p>
    <w:p w14:paraId="294FD052" w14:textId="43C5646E" w:rsidR="007666E6" w:rsidRPr="002F2419" w:rsidRDefault="007044AF" w:rsidP="00483F41">
      <w:pPr>
        <w:pStyle w:val="ListParagraph"/>
        <w:numPr>
          <w:ilvl w:val="0"/>
          <w:numId w:val="5"/>
        </w:numPr>
        <w:jc w:val="both"/>
        <w:rPr>
          <w:rFonts w:ascii="Times New Roman" w:hAnsi="Times New Roman" w:cs="Times New Roman"/>
          <w:sz w:val="20"/>
          <w:szCs w:val="20"/>
        </w:rPr>
      </w:pPr>
      <w:r w:rsidRPr="002F2419">
        <w:rPr>
          <w:rFonts w:ascii="Times New Roman" w:hAnsi="Times New Roman" w:cs="Times New Roman"/>
          <w:sz w:val="20"/>
          <w:szCs w:val="20"/>
        </w:rPr>
        <w:t xml:space="preserve">Koch, W. and Holthausen, M. C., </w:t>
      </w:r>
      <w:r w:rsidRPr="002F2419">
        <w:rPr>
          <w:rFonts w:ascii="Times New Roman" w:hAnsi="Times New Roman" w:cs="Times New Roman"/>
          <w:i/>
          <w:iCs/>
          <w:sz w:val="20"/>
          <w:szCs w:val="20"/>
        </w:rPr>
        <w:t>A Chemist’s Guide to Density Functional Theory</w:t>
      </w:r>
      <w:r w:rsidRPr="002F2419">
        <w:rPr>
          <w:rFonts w:ascii="Times New Roman" w:hAnsi="Times New Roman" w:cs="Times New Roman"/>
          <w:sz w:val="20"/>
          <w:szCs w:val="20"/>
        </w:rPr>
        <w:t xml:space="preserve">, Wiley-VCH, 2001. </w:t>
      </w:r>
    </w:p>
    <w:p w14:paraId="269773E2" w14:textId="15C123A8" w:rsidR="007666E6" w:rsidRPr="009758FC" w:rsidRDefault="007044AF" w:rsidP="007044AF">
      <w:pPr>
        <w:pStyle w:val="ListParagraph"/>
        <w:numPr>
          <w:ilvl w:val="0"/>
          <w:numId w:val="5"/>
        </w:numPr>
        <w:rPr>
          <w:rFonts w:ascii="Times New Roman" w:hAnsi="Times New Roman" w:cs="Times New Roman"/>
          <w:sz w:val="20"/>
          <w:szCs w:val="20"/>
        </w:rPr>
      </w:pPr>
      <w:r w:rsidRPr="009758FC">
        <w:rPr>
          <w:rFonts w:ascii="Times New Roman" w:hAnsi="Times New Roman" w:cs="Times New Roman"/>
          <w:sz w:val="20"/>
          <w:szCs w:val="20"/>
        </w:rPr>
        <w:t xml:space="preserve">Grimme, S., </w:t>
      </w:r>
      <w:r w:rsidRPr="009758FC">
        <w:rPr>
          <w:rFonts w:ascii="Times New Roman" w:hAnsi="Times New Roman" w:cs="Times New Roman"/>
          <w:i/>
          <w:iCs/>
          <w:sz w:val="20"/>
          <w:szCs w:val="20"/>
        </w:rPr>
        <w:t xml:space="preserve">Wiley </w:t>
      </w:r>
      <w:proofErr w:type="spellStart"/>
      <w:r w:rsidRPr="009758FC">
        <w:rPr>
          <w:rFonts w:ascii="Times New Roman" w:hAnsi="Times New Roman" w:cs="Times New Roman"/>
          <w:i/>
          <w:iCs/>
          <w:sz w:val="20"/>
          <w:szCs w:val="20"/>
        </w:rPr>
        <w:t>Interdiscip</w:t>
      </w:r>
      <w:proofErr w:type="spellEnd"/>
      <w:r w:rsidRPr="009758FC">
        <w:rPr>
          <w:rFonts w:ascii="Times New Roman" w:hAnsi="Times New Roman" w:cs="Times New Roman"/>
          <w:i/>
          <w:iCs/>
          <w:sz w:val="20"/>
          <w:szCs w:val="20"/>
        </w:rPr>
        <w:t xml:space="preserve">. Rev. </w:t>
      </w:r>
      <w:proofErr w:type="spellStart"/>
      <w:r w:rsidRPr="009758FC">
        <w:rPr>
          <w:rFonts w:ascii="Times New Roman" w:hAnsi="Times New Roman" w:cs="Times New Roman"/>
          <w:i/>
          <w:iCs/>
          <w:sz w:val="20"/>
          <w:szCs w:val="20"/>
        </w:rPr>
        <w:t>Comput</w:t>
      </w:r>
      <w:proofErr w:type="spellEnd"/>
      <w:r w:rsidRPr="009758FC">
        <w:rPr>
          <w:rFonts w:ascii="Times New Roman" w:hAnsi="Times New Roman" w:cs="Times New Roman"/>
          <w:i/>
          <w:iCs/>
          <w:sz w:val="20"/>
          <w:szCs w:val="20"/>
        </w:rPr>
        <w:t>. Mol. Sci.</w:t>
      </w:r>
      <w:r w:rsidRPr="009758FC">
        <w:rPr>
          <w:rFonts w:ascii="Times New Roman" w:hAnsi="Times New Roman" w:cs="Times New Roman"/>
          <w:sz w:val="20"/>
          <w:szCs w:val="20"/>
        </w:rPr>
        <w:t xml:space="preserve">, </w:t>
      </w:r>
      <w:r w:rsidR="00112666">
        <w:rPr>
          <w:rFonts w:ascii="Times New Roman" w:hAnsi="Times New Roman" w:cs="Times New Roman"/>
          <w:sz w:val="20"/>
          <w:szCs w:val="20"/>
        </w:rPr>
        <w:t>Volume</w:t>
      </w:r>
      <w:r w:rsidR="00112666">
        <w:rPr>
          <w:rFonts w:ascii="Times New Roman" w:hAnsi="Times New Roman" w:cs="Times New Roman"/>
          <w:sz w:val="20"/>
          <w:szCs w:val="20"/>
        </w:rPr>
        <w:t xml:space="preserve"> </w:t>
      </w:r>
      <w:r w:rsidRPr="009758FC">
        <w:rPr>
          <w:rFonts w:ascii="Times New Roman" w:hAnsi="Times New Roman" w:cs="Times New Roman"/>
          <w:sz w:val="20"/>
          <w:szCs w:val="20"/>
        </w:rPr>
        <w:t>1</w:t>
      </w:r>
      <w:r w:rsidR="00112666">
        <w:rPr>
          <w:rFonts w:ascii="Times New Roman" w:hAnsi="Times New Roman" w:cs="Times New Roman"/>
          <w:sz w:val="20"/>
          <w:szCs w:val="20"/>
        </w:rPr>
        <w:t xml:space="preserve"> Issue </w:t>
      </w:r>
      <w:r w:rsidRPr="009758FC">
        <w:rPr>
          <w:rFonts w:ascii="Times New Roman" w:hAnsi="Times New Roman" w:cs="Times New Roman"/>
          <w:sz w:val="20"/>
          <w:szCs w:val="20"/>
        </w:rPr>
        <w:t>2,</w:t>
      </w:r>
      <w:r w:rsidR="00112666">
        <w:rPr>
          <w:rFonts w:ascii="Times New Roman" w:hAnsi="Times New Roman" w:cs="Times New Roman"/>
          <w:sz w:val="20"/>
          <w:szCs w:val="20"/>
        </w:rPr>
        <w:t xml:space="preserve"> 2011,</w:t>
      </w:r>
      <w:r w:rsidRPr="009758FC">
        <w:rPr>
          <w:rFonts w:ascii="Times New Roman" w:hAnsi="Times New Roman" w:cs="Times New Roman"/>
          <w:sz w:val="20"/>
          <w:szCs w:val="20"/>
        </w:rPr>
        <w:t xml:space="preserve"> </w:t>
      </w:r>
      <w:r w:rsidR="002F2419">
        <w:rPr>
          <w:rFonts w:ascii="Times New Roman" w:hAnsi="Times New Roman" w:cs="Times New Roman"/>
          <w:sz w:val="20"/>
          <w:szCs w:val="20"/>
        </w:rPr>
        <w:t xml:space="preserve">pp </w:t>
      </w:r>
      <w:r w:rsidRPr="009758FC">
        <w:rPr>
          <w:rFonts w:ascii="Times New Roman" w:hAnsi="Times New Roman" w:cs="Times New Roman"/>
          <w:sz w:val="20"/>
          <w:szCs w:val="20"/>
        </w:rPr>
        <w:t>211.</w:t>
      </w:r>
    </w:p>
    <w:p w14:paraId="64AAAE52" w14:textId="77777777" w:rsidR="007666E6" w:rsidRPr="009758FC" w:rsidRDefault="007044AF" w:rsidP="007044AF">
      <w:pPr>
        <w:pStyle w:val="ListParagraph"/>
        <w:numPr>
          <w:ilvl w:val="0"/>
          <w:numId w:val="5"/>
        </w:numPr>
        <w:rPr>
          <w:rFonts w:ascii="Times New Roman" w:hAnsi="Times New Roman" w:cs="Times New Roman"/>
          <w:sz w:val="20"/>
          <w:szCs w:val="20"/>
        </w:rPr>
      </w:pPr>
      <w:r w:rsidRPr="009758FC">
        <w:rPr>
          <w:rFonts w:ascii="Times New Roman" w:hAnsi="Times New Roman" w:cs="Times New Roman"/>
          <w:sz w:val="20"/>
          <w:szCs w:val="20"/>
        </w:rPr>
        <w:t xml:space="preserve">Nakamoto, K., </w:t>
      </w:r>
      <w:r w:rsidRPr="009758FC">
        <w:rPr>
          <w:rFonts w:ascii="Times New Roman" w:hAnsi="Times New Roman" w:cs="Times New Roman"/>
          <w:i/>
          <w:iCs/>
          <w:sz w:val="20"/>
          <w:szCs w:val="20"/>
        </w:rPr>
        <w:t>Infrared and Raman Spectra of Inorganic and Coordination Compounds</w:t>
      </w:r>
      <w:r w:rsidRPr="009758FC">
        <w:rPr>
          <w:rFonts w:ascii="Times New Roman" w:hAnsi="Times New Roman" w:cs="Times New Roman"/>
          <w:sz w:val="20"/>
          <w:szCs w:val="20"/>
        </w:rPr>
        <w:t xml:space="preserve">, 6th ed., Wiley, 2008. </w:t>
      </w:r>
    </w:p>
    <w:p w14:paraId="36AC301D" w14:textId="203F1C6B" w:rsidR="007666E6" w:rsidRPr="009758FC" w:rsidRDefault="007044AF" w:rsidP="007044AF">
      <w:pPr>
        <w:pStyle w:val="ListParagraph"/>
        <w:numPr>
          <w:ilvl w:val="0"/>
          <w:numId w:val="5"/>
        </w:numPr>
        <w:rPr>
          <w:rFonts w:ascii="Times New Roman" w:hAnsi="Times New Roman" w:cs="Times New Roman"/>
          <w:sz w:val="20"/>
          <w:szCs w:val="20"/>
        </w:rPr>
      </w:pPr>
      <w:r w:rsidRPr="009758FC">
        <w:rPr>
          <w:rFonts w:ascii="Times New Roman" w:hAnsi="Times New Roman" w:cs="Times New Roman"/>
          <w:sz w:val="20"/>
          <w:szCs w:val="20"/>
        </w:rPr>
        <w:t xml:space="preserve">Lipinski, C. A., </w:t>
      </w:r>
      <w:r w:rsidRPr="009758FC">
        <w:rPr>
          <w:rFonts w:ascii="Times New Roman" w:hAnsi="Times New Roman" w:cs="Times New Roman"/>
          <w:i/>
          <w:iCs/>
          <w:sz w:val="20"/>
          <w:szCs w:val="20"/>
        </w:rPr>
        <w:t>Drug Discovery Today</w:t>
      </w:r>
      <w:r w:rsidRPr="009758FC">
        <w:rPr>
          <w:rFonts w:ascii="Times New Roman" w:hAnsi="Times New Roman" w:cs="Times New Roman"/>
          <w:sz w:val="20"/>
          <w:szCs w:val="20"/>
        </w:rPr>
        <w:t xml:space="preserve">, </w:t>
      </w:r>
      <w:r w:rsidR="00112666">
        <w:rPr>
          <w:rFonts w:ascii="Times New Roman" w:hAnsi="Times New Roman" w:cs="Times New Roman"/>
          <w:sz w:val="20"/>
          <w:szCs w:val="20"/>
        </w:rPr>
        <w:t>Volume</w:t>
      </w:r>
      <w:r w:rsidR="00112666">
        <w:rPr>
          <w:rFonts w:ascii="Times New Roman" w:hAnsi="Times New Roman" w:cs="Times New Roman"/>
          <w:sz w:val="20"/>
          <w:szCs w:val="20"/>
        </w:rPr>
        <w:t xml:space="preserve"> </w:t>
      </w:r>
      <w:r w:rsidRPr="009758FC">
        <w:rPr>
          <w:rFonts w:ascii="Times New Roman" w:hAnsi="Times New Roman" w:cs="Times New Roman"/>
          <w:sz w:val="20"/>
          <w:szCs w:val="20"/>
        </w:rPr>
        <w:t>1</w:t>
      </w:r>
      <w:r w:rsidR="00112666">
        <w:rPr>
          <w:rFonts w:ascii="Times New Roman" w:hAnsi="Times New Roman" w:cs="Times New Roman"/>
          <w:sz w:val="20"/>
          <w:szCs w:val="20"/>
        </w:rPr>
        <w:t xml:space="preserve"> Issue </w:t>
      </w:r>
      <w:r w:rsidRPr="009758FC">
        <w:rPr>
          <w:rFonts w:ascii="Times New Roman" w:hAnsi="Times New Roman" w:cs="Times New Roman"/>
          <w:sz w:val="20"/>
          <w:szCs w:val="20"/>
        </w:rPr>
        <w:t>4,</w:t>
      </w:r>
      <w:r w:rsidR="00112666">
        <w:rPr>
          <w:rFonts w:ascii="Times New Roman" w:hAnsi="Times New Roman" w:cs="Times New Roman"/>
          <w:sz w:val="20"/>
          <w:szCs w:val="20"/>
        </w:rPr>
        <w:t xml:space="preserve"> 2004,</w:t>
      </w:r>
      <w:r w:rsidRPr="009758FC">
        <w:rPr>
          <w:rFonts w:ascii="Times New Roman" w:hAnsi="Times New Roman" w:cs="Times New Roman"/>
          <w:sz w:val="20"/>
          <w:szCs w:val="20"/>
        </w:rPr>
        <w:t xml:space="preserve"> </w:t>
      </w:r>
      <w:r w:rsidR="002F2419">
        <w:rPr>
          <w:rFonts w:ascii="Times New Roman" w:hAnsi="Times New Roman" w:cs="Times New Roman"/>
          <w:sz w:val="20"/>
          <w:szCs w:val="20"/>
        </w:rPr>
        <w:t>pp. 337</w:t>
      </w:r>
      <w:r w:rsidRPr="009758FC">
        <w:rPr>
          <w:rFonts w:ascii="Times New Roman" w:hAnsi="Times New Roman" w:cs="Times New Roman"/>
          <w:sz w:val="20"/>
          <w:szCs w:val="20"/>
        </w:rPr>
        <w:t xml:space="preserve">. </w:t>
      </w:r>
    </w:p>
    <w:p w14:paraId="4083BB9F" w14:textId="77777777" w:rsidR="007666E6" w:rsidRPr="009758FC" w:rsidRDefault="007044AF" w:rsidP="007044AF">
      <w:pPr>
        <w:pStyle w:val="ListParagraph"/>
        <w:numPr>
          <w:ilvl w:val="0"/>
          <w:numId w:val="5"/>
        </w:numPr>
        <w:rPr>
          <w:rFonts w:ascii="Times New Roman" w:hAnsi="Times New Roman" w:cs="Times New Roman"/>
          <w:sz w:val="20"/>
          <w:szCs w:val="20"/>
        </w:rPr>
      </w:pPr>
      <w:r w:rsidRPr="009758FC">
        <w:rPr>
          <w:rFonts w:ascii="Times New Roman" w:hAnsi="Times New Roman" w:cs="Times New Roman"/>
          <w:sz w:val="20"/>
          <w:szCs w:val="20"/>
        </w:rPr>
        <w:t xml:space="preserve">Rowe, R. C. et al., </w:t>
      </w:r>
      <w:r w:rsidRPr="009758FC">
        <w:rPr>
          <w:rFonts w:ascii="Times New Roman" w:hAnsi="Times New Roman" w:cs="Times New Roman"/>
          <w:i/>
          <w:iCs/>
          <w:sz w:val="20"/>
          <w:szCs w:val="20"/>
        </w:rPr>
        <w:t>Handbook of Pharmaceutical Excipients</w:t>
      </w:r>
      <w:r w:rsidRPr="009758FC">
        <w:rPr>
          <w:rFonts w:ascii="Times New Roman" w:hAnsi="Times New Roman" w:cs="Times New Roman"/>
          <w:sz w:val="20"/>
          <w:szCs w:val="20"/>
        </w:rPr>
        <w:t>, Pharmaceutical Press, 2009.</w:t>
      </w:r>
    </w:p>
    <w:p w14:paraId="40410B5E" w14:textId="250445B5" w:rsidR="00913A7B" w:rsidRPr="009758FC" w:rsidRDefault="002F2419" w:rsidP="002F2419">
      <w:pPr>
        <w:pStyle w:val="ListParagraph"/>
        <w:numPr>
          <w:ilvl w:val="0"/>
          <w:numId w:val="5"/>
        </w:numPr>
        <w:rPr>
          <w:rFonts w:ascii="Times New Roman" w:hAnsi="Times New Roman" w:cs="Times New Roman"/>
          <w:sz w:val="20"/>
          <w:szCs w:val="20"/>
        </w:rPr>
      </w:pPr>
      <w:r w:rsidRPr="002F2419">
        <w:rPr>
          <w:rFonts w:ascii="Times New Roman" w:hAnsi="Times New Roman" w:cs="Times New Roman"/>
          <w:sz w:val="20"/>
          <w:szCs w:val="20"/>
        </w:rPr>
        <w:t xml:space="preserve">Barreiro EJ, </w:t>
      </w:r>
      <w:proofErr w:type="spellStart"/>
      <w:r w:rsidRPr="002F2419">
        <w:rPr>
          <w:rFonts w:ascii="Times New Roman" w:hAnsi="Times New Roman" w:cs="Times New Roman"/>
          <w:sz w:val="20"/>
          <w:szCs w:val="20"/>
        </w:rPr>
        <w:t>Kümmerle</w:t>
      </w:r>
      <w:proofErr w:type="spellEnd"/>
      <w:r w:rsidRPr="002F2419">
        <w:rPr>
          <w:rFonts w:ascii="Times New Roman" w:hAnsi="Times New Roman" w:cs="Times New Roman"/>
          <w:sz w:val="20"/>
          <w:szCs w:val="20"/>
        </w:rPr>
        <w:t xml:space="preserve"> AE, Fraga CA. The methylation effect in medicinal chemistry. Chem Rev. </w:t>
      </w:r>
      <w:r w:rsidR="00112666">
        <w:rPr>
          <w:rFonts w:ascii="Times New Roman" w:hAnsi="Times New Roman" w:cs="Times New Roman"/>
          <w:sz w:val="20"/>
          <w:szCs w:val="20"/>
        </w:rPr>
        <w:t>Volume</w:t>
      </w:r>
      <w:r w:rsidR="00112666">
        <w:rPr>
          <w:rFonts w:ascii="Times New Roman" w:hAnsi="Times New Roman" w:cs="Times New Roman"/>
          <w:sz w:val="20"/>
          <w:szCs w:val="20"/>
        </w:rPr>
        <w:t xml:space="preserve"> </w:t>
      </w:r>
      <w:r w:rsidRPr="002F2419">
        <w:rPr>
          <w:rFonts w:ascii="Times New Roman" w:hAnsi="Times New Roman" w:cs="Times New Roman"/>
          <w:sz w:val="20"/>
          <w:szCs w:val="20"/>
        </w:rPr>
        <w:t>111</w:t>
      </w:r>
      <w:r w:rsidR="00112666">
        <w:rPr>
          <w:rFonts w:ascii="Times New Roman" w:hAnsi="Times New Roman" w:cs="Times New Roman"/>
          <w:sz w:val="20"/>
          <w:szCs w:val="20"/>
        </w:rPr>
        <w:t xml:space="preserve"> Issue </w:t>
      </w:r>
      <w:r w:rsidRPr="002F2419">
        <w:rPr>
          <w:rFonts w:ascii="Times New Roman" w:hAnsi="Times New Roman" w:cs="Times New Roman"/>
          <w:sz w:val="20"/>
          <w:szCs w:val="20"/>
        </w:rPr>
        <w:t>9:</w:t>
      </w:r>
      <w:r>
        <w:rPr>
          <w:rFonts w:ascii="Times New Roman" w:hAnsi="Times New Roman" w:cs="Times New Roman"/>
          <w:sz w:val="20"/>
          <w:szCs w:val="20"/>
        </w:rPr>
        <w:t xml:space="preserve"> </w:t>
      </w:r>
      <w:r w:rsidRPr="002F2419">
        <w:rPr>
          <w:rFonts w:ascii="Times New Roman" w:hAnsi="Times New Roman" w:cs="Times New Roman"/>
          <w:sz w:val="20"/>
          <w:szCs w:val="20"/>
        </w:rPr>
        <w:t>2011</w:t>
      </w:r>
      <w:r>
        <w:rPr>
          <w:rFonts w:ascii="Times New Roman" w:hAnsi="Times New Roman" w:cs="Times New Roman"/>
          <w:sz w:val="20"/>
          <w:szCs w:val="20"/>
        </w:rPr>
        <w:t xml:space="preserve">, </w:t>
      </w:r>
      <w:r w:rsidR="00112666">
        <w:rPr>
          <w:rFonts w:ascii="Times New Roman" w:hAnsi="Times New Roman" w:cs="Times New Roman"/>
          <w:sz w:val="20"/>
          <w:szCs w:val="20"/>
        </w:rPr>
        <w:t>pp. 5215</w:t>
      </w:r>
      <w:r w:rsidRPr="002F2419">
        <w:rPr>
          <w:rFonts w:ascii="Times New Roman" w:hAnsi="Times New Roman" w:cs="Times New Roman"/>
          <w:sz w:val="20"/>
          <w:szCs w:val="20"/>
        </w:rPr>
        <w:t xml:space="preserve">. </w:t>
      </w:r>
    </w:p>
    <w:sectPr w:rsidR="00913A7B" w:rsidRPr="009758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E7AEF"/>
    <w:multiLevelType w:val="hybridMultilevel"/>
    <w:tmpl w:val="F30481E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68C2AAE"/>
    <w:multiLevelType w:val="multilevel"/>
    <w:tmpl w:val="204E9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8AB7345"/>
    <w:multiLevelType w:val="hybridMultilevel"/>
    <w:tmpl w:val="5CE2CEE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68595928"/>
    <w:multiLevelType w:val="multilevel"/>
    <w:tmpl w:val="343C4A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B6B4028"/>
    <w:multiLevelType w:val="multilevel"/>
    <w:tmpl w:val="061CAC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85170399">
    <w:abstractNumId w:val="4"/>
  </w:num>
  <w:num w:numId="2" w16cid:durableId="1087458196">
    <w:abstractNumId w:val="1"/>
  </w:num>
  <w:num w:numId="3" w16cid:durableId="901252072">
    <w:abstractNumId w:val="3"/>
  </w:num>
  <w:num w:numId="4" w16cid:durableId="868180537">
    <w:abstractNumId w:val="0"/>
  </w:num>
  <w:num w:numId="5" w16cid:durableId="16335578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ED7"/>
    <w:rsid w:val="00044157"/>
    <w:rsid w:val="00046261"/>
    <w:rsid w:val="000B3DED"/>
    <w:rsid w:val="00112666"/>
    <w:rsid w:val="001711A4"/>
    <w:rsid w:val="002D2803"/>
    <w:rsid w:val="002E7149"/>
    <w:rsid w:val="002F2419"/>
    <w:rsid w:val="00392715"/>
    <w:rsid w:val="003D6ED7"/>
    <w:rsid w:val="00473F33"/>
    <w:rsid w:val="004868B3"/>
    <w:rsid w:val="00494F0B"/>
    <w:rsid w:val="004C348F"/>
    <w:rsid w:val="005145CE"/>
    <w:rsid w:val="005546CB"/>
    <w:rsid w:val="007044AF"/>
    <w:rsid w:val="0072305C"/>
    <w:rsid w:val="007666E6"/>
    <w:rsid w:val="007E2A0D"/>
    <w:rsid w:val="00816FFF"/>
    <w:rsid w:val="00883346"/>
    <w:rsid w:val="00897776"/>
    <w:rsid w:val="008F32BA"/>
    <w:rsid w:val="00913A7B"/>
    <w:rsid w:val="009758FC"/>
    <w:rsid w:val="00980ECE"/>
    <w:rsid w:val="00BB079E"/>
    <w:rsid w:val="00BF35F9"/>
    <w:rsid w:val="00C671DF"/>
    <w:rsid w:val="00D44718"/>
    <w:rsid w:val="00D81A82"/>
    <w:rsid w:val="00E934BC"/>
    <w:rsid w:val="00F80183"/>
    <w:rsid w:val="00FC5F84"/>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1BBD78"/>
  <w15:chartTrackingRefBased/>
  <w15:docId w15:val="{7D43451D-2BBA-47DB-83AB-FAECD7203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D6ED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D6ED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D6ED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D6ED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D6ED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D6ED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D6ED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D6ED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D6ED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6ED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D6ED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D6ED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D6ED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D6ED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D6E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6E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6E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6ED7"/>
    <w:rPr>
      <w:rFonts w:eastAsiaTheme="majorEastAsia" w:cstheme="majorBidi"/>
      <w:color w:val="272727" w:themeColor="text1" w:themeTint="D8"/>
    </w:rPr>
  </w:style>
  <w:style w:type="paragraph" w:styleId="Title">
    <w:name w:val="Title"/>
    <w:basedOn w:val="Normal"/>
    <w:next w:val="Normal"/>
    <w:link w:val="TitleChar"/>
    <w:uiPriority w:val="10"/>
    <w:qFormat/>
    <w:rsid w:val="003D6E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6E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6ED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D6E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6ED7"/>
    <w:pPr>
      <w:spacing w:before="160"/>
      <w:jc w:val="center"/>
    </w:pPr>
    <w:rPr>
      <w:i/>
      <w:iCs/>
      <w:color w:val="404040" w:themeColor="text1" w:themeTint="BF"/>
    </w:rPr>
  </w:style>
  <w:style w:type="character" w:customStyle="1" w:styleId="QuoteChar">
    <w:name w:val="Quote Char"/>
    <w:basedOn w:val="DefaultParagraphFont"/>
    <w:link w:val="Quote"/>
    <w:uiPriority w:val="29"/>
    <w:rsid w:val="003D6ED7"/>
    <w:rPr>
      <w:i/>
      <w:iCs/>
      <w:color w:val="404040" w:themeColor="text1" w:themeTint="BF"/>
    </w:rPr>
  </w:style>
  <w:style w:type="paragraph" w:styleId="ListParagraph">
    <w:name w:val="List Paragraph"/>
    <w:basedOn w:val="Normal"/>
    <w:uiPriority w:val="34"/>
    <w:qFormat/>
    <w:rsid w:val="003D6ED7"/>
    <w:pPr>
      <w:ind w:left="720"/>
      <w:contextualSpacing/>
    </w:pPr>
  </w:style>
  <w:style w:type="character" w:styleId="IntenseEmphasis">
    <w:name w:val="Intense Emphasis"/>
    <w:basedOn w:val="DefaultParagraphFont"/>
    <w:uiPriority w:val="21"/>
    <w:qFormat/>
    <w:rsid w:val="003D6ED7"/>
    <w:rPr>
      <w:i/>
      <w:iCs/>
      <w:color w:val="2F5496" w:themeColor="accent1" w:themeShade="BF"/>
    </w:rPr>
  </w:style>
  <w:style w:type="paragraph" w:styleId="IntenseQuote">
    <w:name w:val="Intense Quote"/>
    <w:basedOn w:val="Normal"/>
    <w:next w:val="Normal"/>
    <w:link w:val="IntenseQuoteChar"/>
    <w:uiPriority w:val="30"/>
    <w:qFormat/>
    <w:rsid w:val="003D6E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D6ED7"/>
    <w:rPr>
      <w:i/>
      <w:iCs/>
      <w:color w:val="2F5496" w:themeColor="accent1" w:themeShade="BF"/>
    </w:rPr>
  </w:style>
  <w:style w:type="character" w:styleId="IntenseReference">
    <w:name w:val="Intense Reference"/>
    <w:basedOn w:val="DefaultParagraphFont"/>
    <w:uiPriority w:val="32"/>
    <w:qFormat/>
    <w:rsid w:val="003D6ED7"/>
    <w:rPr>
      <w:b/>
      <w:bCs/>
      <w:smallCaps/>
      <w:color w:val="2F5496" w:themeColor="accent1" w:themeShade="BF"/>
      <w:spacing w:val="5"/>
    </w:rPr>
  </w:style>
  <w:style w:type="character" w:styleId="Hyperlink">
    <w:name w:val="Hyperlink"/>
    <w:basedOn w:val="DefaultParagraphFont"/>
    <w:uiPriority w:val="99"/>
    <w:unhideWhenUsed/>
    <w:rsid w:val="005546CB"/>
    <w:rPr>
      <w:color w:val="0563C1" w:themeColor="hyperlink"/>
      <w:u w:val="single"/>
    </w:rPr>
  </w:style>
  <w:style w:type="character" w:styleId="UnresolvedMention">
    <w:name w:val="Unresolved Mention"/>
    <w:basedOn w:val="DefaultParagraphFont"/>
    <w:uiPriority w:val="99"/>
    <w:semiHidden/>
    <w:unhideWhenUsed/>
    <w:rsid w:val="005546CB"/>
    <w:rPr>
      <w:color w:val="605E5C"/>
      <w:shd w:val="clear" w:color="auto" w:fill="E1DFDD"/>
    </w:rPr>
  </w:style>
  <w:style w:type="table" w:styleId="TableGrid">
    <w:name w:val="Table Grid"/>
    <w:basedOn w:val="TableNormal"/>
    <w:uiPriority w:val="39"/>
    <w:rsid w:val="008833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E934BC"/>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269908">
      <w:bodyDiv w:val="1"/>
      <w:marLeft w:val="0"/>
      <w:marRight w:val="0"/>
      <w:marTop w:val="0"/>
      <w:marBottom w:val="0"/>
      <w:divBdr>
        <w:top w:val="none" w:sz="0" w:space="0" w:color="auto"/>
        <w:left w:val="none" w:sz="0" w:space="0" w:color="auto"/>
        <w:bottom w:val="none" w:sz="0" w:space="0" w:color="auto"/>
        <w:right w:val="none" w:sz="0" w:space="0" w:color="auto"/>
      </w:divBdr>
    </w:div>
    <w:div w:id="55014095">
      <w:bodyDiv w:val="1"/>
      <w:marLeft w:val="0"/>
      <w:marRight w:val="0"/>
      <w:marTop w:val="0"/>
      <w:marBottom w:val="0"/>
      <w:divBdr>
        <w:top w:val="none" w:sz="0" w:space="0" w:color="auto"/>
        <w:left w:val="none" w:sz="0" w:space="0" w:color="auto"/>
        <w:bottom w:val="none" w:sz="0" w:space="0" w:color="auto"/>
        <w:right w:val="none" w:sz="0" w:space="0" w:color="auto"/>
      </w:divBdr>
    </w:div>
    <w:div w:id="183248782">
      <w:bodyDiv w:val="1"/>
      <w:marLeft w:val="0"/>
      <w:marRight w:val="0"/>
      <w:marTop w:val="0"/>
      <w:marBottom w:val="0"/>
      <w:divBdr>
        <w:top w:val="none" w:sz="0" w:space="0" w:color="auto"/>
        <w:left w:val="none" w:sz="0" w:space="0" w:color="auto"/>
        <w:bottom w:val="none" w:sz="0" w:space="0" w:color="auto"/>
        <w:right w:val="none" w:sz="0" w:space="0" w:color="auto"/>
      </w:divBdr>
      <w:divsChild>
        <w:div w:id="868489188">
          <w:marLeft w:val="0"/>
          <w:marRight w:val="0"/>
          <w:marTop w:val="0"/>
          <w:marBottom w:val="0"/>
          <w:divBdr>
            <w:top w:val="none" w:sz="0" w:space="0" w:color="auto"/>
            <w:left w:val="none" w:sz="0" w:space="0" w:color="auto"/>
            <w:bottom w:val="none" w:sz="0" w:space="0" w:color="auto"/>
            <w:right w:val="none" w:sz="0" w:space="0" w:color="auto"/>
          </w:divBdr>
        </w:div>
      </w:divsChild>
    </w:div>
    <w:div w:id="507326907">
      <w:bodyDiv w:val="1"/>
      <w:marLeft w:val="0"/>
      <w:marRight w:val="0"/>
      <w:marTop w:val="0"/>
      <w:marBottom w:val="0"/>
      <w:divBdr>
        <w:top w:val="none" w:sz="0" w:space="0" w:color="auto"/>
        <w:left w:val="none" w:sz="0" w:space="0" w:color="auto"/>
        <w:bottom w:val="none" w:sz="0" w:space="0" w:color="auto"/>
        <w:right w:val="none" w:sz="0" w:space="0" w:color="auto"/>
      </w:divBdr>
      <w:divsChild>
        <w:div w:id="1817916299">
          <w:marLeft w:val="0"/>
          <w:marRight w:val="0"/>
          <w:marTop w:val="0"/>
          <w:marBottom w:val="0"/>
          <w:divBdr>
            <w:top w:val="none" w:sz="0" w:space="0" w:color="auto"/>
            <w:left w:val="none" w:sz="0" w:space="0" w:color="auto"/>
            <w:bottom w:val="none" w:sz="0" w:space="0" w:color="auto"/>
            <w:right w:val="none" w:sz="0" w:space="0" w:color="auto"/>
          </w:divBdr>
        </w:div>
        <w:div w:id="1644391019">
          <w:marLeft w:val="0"/>
          <w:marRight w:val="0"/>
          <w:marTop w:val="0"/>
          <w:marBottom w:val="0"/>
          <w:divBdr>
            <w:top w:val="none" w:sz="0" w:space="0" w:color="auto"/>
            <w:left w:val="none" w:sz="0" w:space="0" w:color="auto"/>
            <w:bottom w:val="none" w:sz="0" w:space="0" w:color="auto"/>
            <w:right w:val="none" w:sz="0" w:space="0" w:color="auto"/>
          </w:divBdr>
        </w:div>
        <w:div w:id="1831674813">
          <w:marLeft w:val="0"/>
          <w:marRight w:val="0"/>
          <w:marTop w:val="0"/>
          <w:marBottom w:val="0"/>
          <w:divBdr>
            <w:top w:val="none" w:sz="0" w:space="0" w:color="auto"/>
            <w:left w:val="none" w:sz="0" w:space="0" w:color="auto"/>
            <w:bottom w:val="none" w:sz="0" w:space="0" w:color="auto"/>
            <w:right w:val="none" w:sz="0" w:space="0" w:color="auto"/>
          </w:divBdr>
        </w:div>
        <w:div w:id="692658980">
          <w:marLeft w:val="0"/>
          <w:marRight w:val="0"/>
          <w:marTop w:val="0"/>
          <w:marBottom w:val="0"/>
          <w:divBdr>
            <w:top w:val="none" w:sz="0" w:space="0" w:color="auto"/>
            <w:left w:val="none" w:sz="0" w:space="0" w:color="auto"/>
            <w:bottom w:val="none" w:sz="0" w:space="0" w:color="auto"/>
            <w:right w:val="none" w:sz="0" w:space="0" w:color="auto"/>
          </w:divBdr>
        </w:div>
        <w:div w:id="708915451">
          <w:marLeft w:val="0"/>
          <w:marRight w:val="0"/>
          <w:marTop w:val="0"/>
          <w:marBottom w:val="0"/>
          <w:divBdr>
            <w:top w:val="none" w:sz="0" w:space="0" w:color="auto"/>
            <w:left w:val="none" w:sz="0" w:space="0" w:color="auto"/>
            <w:bottom w:val="none" w:sz="0" w:space="0" w:color="auto"/>
            <w:right w:val="none" w:sz="0" w:space="0" w:color="auto"/>
          </w:divBdr>
        </w:div>
      </w:divsChild>
    </w:div>
    <w:div w:id="576550727">
      <w:bodyDiv w:val="1"/>
      <w:marLeft w:val="0"/>
      <w:marRight w:val="0"/>
      <w:marTop w:val="0"/>
      <w:marBottom w:val="0"/>
      <w:divBdr>
        <w:top w:val="none" w:sz="0" w:space="0" w:color="auto"/>
        <w:left w:val="none" w:sz="0" w:space="0" w:color="auto"/>
        <w:bottom w:val="none" w:sz="0" w:space="0" w:color="auto"/>
        <w:right w:val="none" w:sz="0" w:space="0" w:color="auto"/>
      </w:divBdr>
      <w:divsChild>
        <w:div w:id="1247107174">
          <w:marLeft w:val="0"/>
          <w:marRight w:val="0"/>
          <w:marTop w:val="0"/>
          <w:marBottom w:val="0"/>
          <w:divBdr>
            <w:top w:val="none" w:sz="0" w:space="0" w:color="auto"/>
            <w:left w:val="none" w:sz="0" w:space="0" w:color="auto"/>
            <w:bottom w:val="none" w:sz="0" w:space="0" w:color="auto"/>
            <w:right w:val="none" w:sz="0" w:space="0" w:color="auto"/>
          </w:divBdr>
        </w:div>
        <w:div w:id="1606965069">
          <w:marLeft w:val="0"/>
          <w:marRight w:val="0"/>
          <w:marTop w:val="0"/>
          <w:marBottom w:val="0"/>
          <w:divBdr>
            <w:top w:val="none" w:sz="0" w:space="0" w:color="auto"/>
            <w:left w:val="none" w:sz="0" w:space="0" w:color="auto"/>
            <w:bottom w:val="none" w:sz="0" w:space="0" w:color="auto"/>
            <w:right w:val="none" w:sz="0" w:space="0" w:color="auto"/>
          </w:divBdr>
        </w:div>
        <w:div w:id="1061632910">
          <w:marLeft w:val="0"/>
          <w:marRight w:val="0"/>
          <w:marTop w:val="0"/>
          <w:marBottom w:val="0"/>
          <w:divBdr>
            <w:top w:val="none" w:sz="0" w:space="0" w:color="auto"/>
            <w:left w:val="none" w:sz="0" w:space="0" w:color="auto"/>
            <w:bottom w:val="none" w:sz="0" w:space="0" w:color="auto"/>
            <w:right w:val="none" w:sz="0" w:space="0" w:color="auto"/>
          </w:divBdr>
        </w:div>
        <w:div w:id="405807042">
          <w:marLeft w:val="0"/>
          <w:marRight w:val="0"/>
          <w:marTop w:val="0"/>
          <w:marBottom w:val="0"/>
          <w:divBdr>
            <w:top w:val="none" w:sz="0" w:space="0" w:color="auto"/>
            <w:left w:val="none" w:sz="0" w:space="0" w:color="auto"/>
            <w:bottom w:val="none" w:sz="0" w:space="0" w:color="auto"/>
            <w:right w:val="none" w:sz="0" w:space="0" w:color="auto"/>
          </w:divBdr>
        </w:div>
        <w:div w:id="1604419517">
          <w:marLeft w:val="0"/>
          <w:marRight w:val="0"/>
          <w:marTop w:val="0"/>
          <w:marBottom w:val="0"/>
          <w:divBdr>
            <w:top w:val="none" w:sz="0" w:space="0" w:color="auto"/>
            <w:left w:val="none" w:sz="0" w:space="0" w:color="auto"/>
            <w:bottom w:val="none" w:sz="0" w:space="0" w:color="auto"/>
            <w:right w:val="none" w:sz="0" w:space="0" w:color="auto"/>
          </w:divBdr>
        </w:div>
      </w:divsChild>
    </w:div>
    <w:div w:id="588806395">
      <w:bodyDiv w:val="1"/>
      <w:marLeft w:val="0"/>
      <w:marRight w:val="0"/>
      <w:marTop w:val="0"/>
      <w:marBottom w:val="0"/>
      <w:divBdr>
        <w:top w:val="none" w:sz="0" w:space="0" w:color="auto"/>
        <w:left w:val="none" w:sz="0" w:space="0" w:color="auto"/>
        <w:bottom w:val="none" w:sz="0" w:space="0" w:color="auto"/>
        <w:right w:val="none" w:sz="0" w:space="0" w:color="auto"/>
      </w:divBdr>
    </w:div>
    <w:div w:id="804078147">
      <w:bodyDiv w:val="1"/>
      <w:marLeft w:val="0"/>
      <w:marRight w:val="0"/>
      <w:marTop w:val="0"/>
      <w:marBottom w:val="0"/>
      <w:divBdr>
        <w:top w:val="none" w:sz="0" w:space="0" w:color="auto"/>
        <w:left w:val="none" w:sz="0" w:space="0" w:color="auto"/>
        <w:bottom w:val="none" w:sz="0" w:space="0" w:color="auto"/>
        <w:right w:val="none" w:sz="0" w:space="0" w:color="auto"/>
      </w:divBdr>
    </w:div>
    <w:div w:id="830364093">
      <w:bodyDiv w:val="1"/>
      <w:marLeft w:val="0"/>
      <w:marRight w:val="0"/>
      <w:marTop w:val="0"/>
      <w:marBottom w:val="0"/>
      <w:divBdr>
        <w:top w:val="none" w:sz="0" w:space="0" w:color="auto"/>
        <w:left w:val="none" w:sz="0" w:space="0" w:color="auto"/>
        <w:bottom w:val="none" w:sz="0" w:space="0" w:color="auto"/>
        <w:right w:val="none" w:sz="0" w:space="0" w:color="auto"/>
      </w:divBdr>
      <w:divsChild>
        <w:div w:id="1889686879">
          <w:marLeft w:val="0"/>
          <w:marRight w:val="0"/>
          <w:marTop w:val="0"/>
          <w:marBottom w:val="0"/>
          <w:divBdr>
            <w:top w:val="none" w:sz="0" w:space="0" w:color="auto"/>
            <w:left w:val="none" w:sz="0" w:space="0" w:color="auto"/>
            <w:bottom w:val="none" w:sz="0" w:space="0" w:color="auto"/>
            <w:right w:val="none" w:sz="0" w:space="0" w:color="auto"/>
          </w:divBdr>
        </w:div>
      </w:divsChild>
    </w:div>
    <w:div w:id="954557369">
      <w:bodyDiv w:val="1"/>
      <w:marLeft w:val="0"/>
      <w:marRight w:val="0"/>
      <w:marTop w:val="0"/>
      <w:marBottom w:val="0"/>
      <w:divBdr>
        <w:top w:val="none" w:sz="0" w:space="0" w:color="auto"/>
        <w:left w:val="none" w:sz="0" w:space="0" w:color="auto"/>
        <w:bottom w:val="none" w:sz="0" w:space="0" w:color="auto"/>
        <w:right w:val="none" w:sz="0" w:space="0" w:color="auto"/>
      </w:divBdr>
      <w:divsChild>
        <w:div w:id="180705831">
          <w:marLeft w:val="0"/>
          <w:marRight w:val="0"/>
          <w:marTop w:val="0"/>
          <w:marBottom w:val="0"/>
          <w:divBdr>
            <w:top w:val="none" w:sz="0" w:space="0" w:color="auto"/>
            <w:left w:val="none" w:sz="0" w:space="0" w:color="auto"/>
            <w:bottom w:val="none" w:sz="0" w:space="0" w:color="auto"/>
            <w:right w:val="none" w:sz="0" w:space="0" w:color="auto"/>
          </w:divBdr>
        </w:div>
      </w:divsChild>
    </w:div>
    <w:div w:id="958607625">
      <w:bodyDiv w:val="1"/>
      <w:marLeft w:val="0"/>
      <w:marRight w:val="0"/>
      <w:marTop w:val="0"/>
      <w:marBottom w:val="0"/>
      <w:divBdr>
        <w:top w:val="none" w:sz="0" w:space="0" w:color="auto"/>
        <w:left w:val="none" w:sz="0" w:space="0" w:color="auto"/>
        <w:bottom w:val="none" w:sz="0" w:space="0" w:color="auto"/>
        <w:right w:val="none" w:sz="0" w:space="0" w:color="auto"/>
      </w:divBdr>
      <w:divsChild>
        <w:div w:id="874729005">
          <w:marLeft w:val="0"/>
          <w:marRight w:val="0"/>
          <w:marTop w:val="0"/>
          <w:marBottom w:val="0"/>
          <w:divBdr>
            <w:top w:val="none" w:sz="0" w:space="0" w:color="auto"/>
            <w:left w:val="none" w:sz="0" w:space="0" w:color="auto"/>
            <w:bottom w:val="none" w:sz="0" w:space="0" w:color="auto"/>
            <w:right w:val="none" w:sz="0" w:space="0" w:color="auto"/>
          </w:divBdr>
        </w:div>
      </w:divsChild>
    </w:div>
    <w:div w:id="1024475720">
      <w:bodyDiv w:val="1"/>
      <w:marLeft w:val="0"/>
      <w:marRight w:val="0"/>
      <w:marTop w:val="0"/>
      <w:marBottom w:val="0"/>
      <w:divBdr>
        <w:top w:val="none" w:sz="0" w:space="0" w:color="auto"/>
        <w:left w:val="none" w:sz="0" w:space="0" w:color="auto"/>
        <w:bottom w:val="none" w:sz="0" w:space="0" w:color="auto"/>
        <w:right w:val="none" w:sz="0" w:space="0" w:color="auto"/>
      </w:divBdr>
      <w:divsChild>
        <w:div w:id="1798141241">
          <w:marLeft w:val="0"/>
          <w:marRight w:val="0"/>
          <w:marTop w:val="0"/>
          <w:marBottom w:val="0"/>
          <w:divBdr>
            <w:top w:val="none" w:sz="0" w:space="0" w:color="auto"/>
            <w:left w:val="none" w:sz="0" w:space="0" w:color="auto"/>
            <w:bottom w:val="none" w:sz="0" w:space="0" w:color="auto"/>
            <w:right w:val="none" w:sz="0" w:space="0" w:color="auto"/>
          </w:divBdr>
        </w:div>
      </w:divsChild>
    </w:div>
    <w:div w:id="1024556445">
      <w:bodyDiv w:val="1"/>
      <w:marLeft w:val="0"/>
      <w:marRight w:val="0"/>
      <w:marTop w:val="0"/>
      <w:marBottom w:val="0"/>
      <w:divBdr>
        <w:top w:val="none" w:sz="0" w:space="0" w:color="auto"/>
        <w:left w:val="none" w:sz="0" w:space="0" w:color="auto"/>
        <w:bottom w:val="none" w:sz="0" w:space="0" w:color="auto"/>
        <w:right w:val="none" w:sz="0" w:space="0" w:color="auto"/>
      </w:divBdr>
      <w:divsChild>
        <w:div w:id="4138912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achem.joshi@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222</TotalTime>
  <Pages>3</Pages>
  <Words>1153</Words>
  <Characters>7620</Characters>
  <Application>Microsoft Office Word</Application>
  <DocSecurity>0</DocSecurity>
  <Lines>158</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Rajendra Joshi</dc:creator>
  <cp:keywords/>
  <dc:description/>
  <cp:lastModifiedBy>Rajendra Joshi</cp:lastModifiedBy>
  <cp:revision>14</cp:revision>
  <cp:lastPrinted>2025-04-24T15:01:00Z</cp:lastPrinted>
  <dcterms:created xsi:type="dcterms:W3CDTF">2025-04-09T12:31:00Z</dcterms:created>
  <dcterms:modified xsi:type="dcterms:W3CDTF">2025-04-29T06:58:00Z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4b72b149-fb5b-4407-b7d3-4e8064da1243</vt:lpwstr>
  </property>
</Properties>
</file>