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49B83" w14:textId="0A5C0AED" w:rsidR="00477A38" w:rsidRDefault="00000000" w:rsidP="00563FE5">
      <w:pPr>
        <w:spacing w:after="164" w:line="276" w:lineRule="auto"/>
        <w:ind w:left="0" w:firstLine="0"/>
        <w:jc w:val="center"/>
        <w:rPr>
          <w:b/>
          <w:sz w:val="28"/>
        </w:rPr>
      </w:pPr>
      <w:r>
        <w:rPr>
          <w:b/>
          <w:sz w:val="28"/>
        </w:rPr>
        <w:t xml:space="preserve">Performance Analysis of </w:t>
      </w:r>
      <w:r w:rsidR="00477A38">
        <w:rPr>
          <w:b/>
          <w:sz w:val="28"/>
        </w:rPr>
        <w:t>Systematic Investment Plan (</w:t>
      </w:r>
      <w:r>
        <w:rPr>
          <w:b/>
          <w:sz w:val="28"/>
        </w:rPr>
        <w:t>SIP</w:t>
      </w:r>
      <w:r w:rsidR="00477A38">
        <w:rPr>
          <w:b/>
          <w:sz w:val="28"/>
        </w:rPr>
        <w:t>)</w:t>
      </w:r>
    </w:p>
    <w:p w14:paraId="2288AA21" w14:textId="4E75AE0C" w:rsidR="003B629C" w:rsidRDefault="00000000" w:rsidP="00563FE5">
      <w:pPr>
        <w:spacing w:after="164" w:line="276" w:lineRule="auto"/>
        <w:ind w:left="0" w:firstLine="0"/>
        <w:jc w:val="center"/>
      </w:pPr>
      <w:r>
        <w:rPr>
          <w:b/>
          <w:sz w:val="28"/>
        </w:rPr>
        <w:t xml:space="preserve"> in Thematic Funds </w:t>
      </w:r>
    </w:p>
    <w:p w14:paraId="059127D5" w14:textId="77777777" w:rsidR="00563FE5" w:rsidRDefault="00000000" w:rsidP="00563FE5">
      <w:pPr>
        <w:spacing w:after="112" w:line="259" w:lineRule="auto"/>
        <w:ind w:left="129"/>
      </w:pPr>
      <w:r>
        <w:t>Dharani P</w:t>
      </w:r>
      <w:r w:rsidR="00477A38">
        <w:rPr>
          <w:vertAlign w:val="superscript"/>
        </w:rPr>
        <w:t>1</w:t>
      </w:r>
      <w:r w:rsidR="00563FE5">
        <w:rPr>
          <w:vertAlign w:val="superscript"/>
        </w:rPr>
        <w:t xml:space="preserve"> </w:t>
      </w:r>
      <w:r w:rsidR="00563FE5">
        <w:t>and Dr. Hemavathy R</w:t>
      </w:r>
      <w:r w:rsidR="00563FE5">
        <w:rPr>
          <w:vertAlign w:val="superscript"/>
        </w:rPr>
        <w:t>2</w:t>
      </w:r>
      <w:r w:rsidR="00563FE5">
        <w:t xml:space="preserve"> </w:t>
      </w:r>
    </w:p>
    <w:p w14:paraId="1B8456E0" w14:textId="784815DF" w:rsidR="00563FE5" w:rsidRDefault="00563FE5" w:rsidP="00563FE5">
      <w:pPr>
        <w:spacing w:after="112" w:line="259" w:lineRule="auto"/>
        <w:ind w:left="129"/>
      </w:pPr>
      <w:r>
        <w:t xml:space="preserve">1* Master’s Student, </w:t>
      </w:r>
      <w:r>
        <w:t>Department of Business Administration</w:t>
      </w:r>
      <w:r>
        <w:t xml:space="preserve">, </w:t>
      </w:r>
      <w:hyperlink r:id="rId5" w:history="1">
        <w:r w:rsidRPr="00E04579">
          <w:rPr>
            <w:rStyle w:val="Hyperlink"/>
          </w:rPr>
          <w:t>23pbm015@avinuty.ac.in</w:t>
        </w:r>
        <w:r w:rsidRPr="00E04579">
          <w:rPr>
            <w:rStyle w:val="Hyperlink"/>
            <w:vertAlign w:val="superscript"/>
          </w:rPr>
          <w:t>1</w:t>
        </w:r>
      </w:hyperlink>
    </w:p>
    <w:p w14:paraId="74523165" w14:textId="7DAC33D8" w:rsidR="00563FE5" w:rsidRDefault="00563FE5" w:rsidP="00563FE5">
      <w:pPr>
        <w:spacing w:after="112" w:line="259" w:lineRule="auto"/>
        <w:ind w:left="129"/>
      </w:pPr>
      <w:r>
        <w:t xml:space="preserve">2* Assistant Professor, </w:t>
      </w:r>
      <w:r>
        <w:t xml:space="preserve">Department of Business Administration, </w:t>
      </w:r>
      <w:hyperlink r:id="rId6" w:history="1">
        <w:r w:rsidRPr="00E04579">
          <w:rPr>
            <w:rStyle w:val="Hyperlink"/>
          </w:rPr>
          <w:t>hemavathy_mba@avinuty.ac.in</w:t>
        </w:r>
        <w:r w:rsidRPr="00E04579">
          <w:rPr>
            <w:rStyle w:val="Hyperlink"/>
            <w:vertAlign w:val="superscript"/>
          </w:rPr>
          <w:t>2</w:t>
        </w:r>
      </w:hyperlink>
      <w:r>
        <w:rPr>
          <w:vertAlign w:val="superscript"/>
        </w:rPr>
        <w:t xml:space="preserve"> </w:t>
      </w:r>
      <w:r>
        <w:t xml:space="preserve"> </w:t>
      </w:r>
    </w:p>
    <w:p w14:paraId="06638FEF" w14:textId="0AFA410B" w:rsidR="003B629C" w:rsidRDefault="00563FE5" w:rsidP="00563FE5">
      <w:pPr>
        <w:spacing w:after="117" w:line="259" w:lineRule="auto"/>
        <w:ind w:left="0" w:firstLine="0"/>
      </w:pPr>
      <w:r>
        <w:t xml:space="preserve">  </w:t>
      </w:r>
      <w:r w:rsidR="00000000">
        <w:t>Avinashilingam Institute for Home Science</w:t>
      </w:r>
      <w:r>
        <w:t xml:space="preserve"> </w:t>
      </w:r>
      <w:r w:rsidR="00000000">
        <w:t>and Higher Education for Women</w:t>
      </w:r>
      <w:r>
        <w:t xml:space="preserve"> </w:t>
      </w:r>
      <w:r w:rsidR="00000000">
        <w:t>Coimbatore - 641043</w:t>
      </w:r>
    </w:p>
    <w:p w14:paraId="701690DA" w14:textId="77777777" w:rsidR="00563FE5" w:rsidRDefault="00563FE5">
      <w:pPr>
        <w:pStyle w:val="Heading1"/>
        <w:spacing w:after="309" w:line="259" w:lineRule="auto"/>
        <w:ind w:left="132" w:firstLine="0"/>
        <w:jc w:val="center"/>
      </w:pPr>
    </w:p>
    <w:p w14:paraId="63F4E351" w14:textId="3D9DF6EC" w:rsidR="003B629C" w:rsidRDefault="00000000">
      <w:pPr>
        <w:pStyle w:val="Heading1"/>
        <w:spacing w:after="309" w:line="259" w:lineRule="auto"/>
        <w:ind w:left="132" w:firstLine="0"/>
        <w:jc w:val="center"/>
      </w:pPr>
      <w:r>
        <w:t xml:space="preserve">ABSTRACT </w:t>
      </w:r>
    </w:p>
    <w:p w14:paraId="44C1880C" w14:textId="77777777" w:rsidR="003B629C" w:rsidRDefault="00000000">
      <w:pPr>
        <w:spacing w:after="201" w:line="357" w:lineRule="auto"/>
        <w:ind w:left="134" w:right="6" w:firstLine="0"/>
      </w:pPr>
      <w:r>
        <w:rPr>
          <w:i/>
        </w:rPr>
        <w:t xml:space="preserve">Performance analysis of Systematic Investment Plans (SIPs) in thematic mutual funds offers valuable insights into how sector-specific investment strategies perform over time. Thematic funds, which focus on emerging sectors such as technology, healthcare, infrastructure, and consumption, are known for their potential to deliver higher returns while exposing investors to sector concentration risks. Integrating SIPs with these funds provides a disciplined approach to investing, allowing investors to mitigate market volatility through rupee cost averaging. This research evaluates the historical performance, risk-adjusted returns, and growth trends of SIPs in thematic funds offered by Sundaram Mutual Funds, employing tools such as descriptive statistics, CAGR analysis, trend forecasting, regression models, and risk-return metrics. The findings reveal that while thematic funds exhibit higher volatility compared to diversified equity funds, certain sectors demonstrate superior long-term growth potential and stability </w:t>
      </w:r>
    </w:p>
    <w:p w14:paraId="4F8D043B" w14:textId="77777777" w:rsidR="003B629C" w:rsidRDefault="00000000">
      <w:pPr>
        <w:spacing w:after="205"/>
        <w:ind w:left="129"/>
      </w:pPr>
      <w:r>
        <w:rPr>
          <w:b/>
        </w:rPr>
        <w:t xml:space="preserve">Key </w:t>
      </w:r>
      <w:proofErr w:type="gramStart"/>
      <w:r>
        <w:rPr>
          <w:b/>
        </w:rPr>
        <w:t>words :</w:t>
      </w:r>
      <w:proofErr w:type="gramEnd"/>
      <w:r>
        <w:t xml:space="preserve"> Systematic Investment Plan (SIP), Thematic Mutual Funds, Risk-adjusted Returns, Trend Forecasting, Sector-specific Investment, Long-term Growth Potential. </w:t>
      </w:r>
    </w:p>
    <w:p w14:paraId="6FE83D66" w14:textId="77777777" w:rsidR="003B629C" w:rsidRDefault="00000000">
      <w:pPr>
        <w:pStyle w:val="Heading1"/>
        <w:tabs>
          <w:tab w:val="center" w:pos="416"/>
          <w:tab w:val="center" w:pos="1812"/>
        </w:tabs>
        <w:spacing w:after="315"/>
        <w:ind w:left="0" w:firstLine="0"/>
      </w:pPr>
      <w:r>
        <w:rPr>
          <w:rFonts w:ascii="Calibri" w:eastAsia="Calibri" w:hAnsi="Calibri" w:cs="Calibri"/>
          <w:b w:val="0"/>
          <w:sz w:val="22"/>
        </w:rPr>
        <w:tab/>
      </w:r>
      <w:r>
        <w:t>I.</w:t>
      </w:r>
      <w:r>
        <w:rPr>
          <w:rFonts w:ascii="Arial" w:eastAsia="Arial" w:hAnsi="Arial" w:cs="Arial"/>
        </w:rPr>
        <w:t xml:space="preserve"> </w:t>
      </w:r>
      <w:r>
        <w:rPr>
          <w:rFonts w:ascii="Arial" w:eastAsia="Arial" w:hAnsi="Arial" w:cs="Arial"/>
        </w:rPr>
        <w:tab/>
      </w:r>
      <w:r>
        <w:t>INTRODUCTION</w:t>
      </w:r>
      <w:r>
        <w:rPr>
          <w:b w:val="0"/>
        </w:rPr>
        <w:t xml:space="preserve"> </w:t>
      </w:r>
    </w:p>
    <w:p w14:paraId="3B885676" w14:textId="77777777" w:rsidR="003B629C" w:rsidRDefault="00000000">
      <w:pPr>
        <w:spacing w:after="198"/>
        <w:ind w:left="129"/>
      </w:pPr>
      <w:r>
        <w:t xml:space="preserve">Systematic Investment Plans (SIPs) have emerged as one of the most popular investment avenues in the mutual fund industry, primarily due to their disciplined approach and ability to mitigate market volatility. A SIP allows investors to contribute a fixed amount at regular intervals, promoting financial discipline while enabling long-term wealth accumulation. On the other hand, thematic funds are mutual funds that invest in specific themes or sectors such as technology, healthcare, consumption, and infrastructure. These funds align with macroeconomic trends or </w:t>
      </w:r>
      <w:r>
        <w:lastRenderedPageBreak/>
        <w:t xml:space="preserve">sectoral growth, offering investors opportunities to capitalize on emerging themes. Integrating SIPs with thematic funds combines the benefits of consistent investing with the high-growth potential of sector-specific funds. </w:t>
      </w:r>
    </w:p>
    <w:p w14:paraId="7869AFA0" w14:textId="77777777" w:rsidR="003B629C" w:rsidRDefault="00000000">
      <w:pPr>
        <w:spacing w:after="223"/>
        <w:ind w:left="129"/>
      </w:pPr>
      <w:r>
        <w:t xml:space="preserve">This study focuses on the performance analysis of SIP investments in thematic funds offered by Sundaram Mutual Funds. It examines the risk-return characteristics, historical performance, volatility patterns, and overall viability of SIPs in thematic funds. The research aims to bridge the gap between traditional investing and thematic investing by evaluating SIP performance using statistical tools and financial metrics. The study is highly relevant for individual investors, fund managers, and financial advisors seeking to optimize their investment strategies and manage sector-specific risks. </w:t>
      </w:r>
    </w:p>
    <w:p w14:paraId="09838743" w14:textId="77777777" w:rsidR="003B629C" w:rsidRDefault="00000000">
      <w:pPr>
        <w:pStyle w:val="Heading1"/>
        <w:spacing w:after="265"/>
        <w:ind w:left="504" w:right="5169"/>
      </w:pPr>
      <w:r>
        <w:rPr>
          <w:rFonts w:ascii="Segoe UI Symbol" w:eastAsia="Segoe UI Symbol" w:hAnsi="Segoe UI Symbol" w:cs="Segoe UI Symbol"/>
          <w:b w:val="0"/>
        </w:rPr>
        <w:t></w:t>
      </w:r>
      <w:r>
        <w:rPr>
          <w:rFonts w:ascii="Arial" w:eastAsia="Arial" w:hAnsi="Arial" w:cs="Arial"/>
          <w:b w:val="0"/>
        </w:rPr>
        <w:t xml:space="preserve"> </w:t>
      </w:r>
      <w:r>
        <w:t>Thematic Funds</w:t>
      </w:r>
      <w:r>
        <w:rPr>
          <w:b w:val="0"/>
        </w:rPr>
        <w:t xml:space="preserve"> </w:t>
      </w:r>
    </w:p>
    <w:p w14:paraId="15E8CBD1" w14:textId="77777777" w:rsidR="003B629C" w:rsidRDefault="00000000">
      <w:pPr>
        <w:spacing w:after="221"/>
        <w:ind w:left="129"/>
      </w:pPr>
      <w:r>
        <w:t xml:space="preserve">Thematic funds are a category of mutual funds that focus on specific themes or sectors, such as technology, healthcare, infrastructure, or consumption. These funds allow investors to capitalize on emerging economic trends by concentrating investments in sectors expected to experience significant growth. Unlike diversified equity funds, thematic funds involve higher sectoral concentration risk but offer the potential for superior returns when the chosen theme performs well. They are suitable for investors with a strong understanding of market cycles and sector dynamics. </w:t>
      </w:r>
    </w:p>
    <w:p w14:paraId="1EDFC66D" w14:textId="77777777" w:rsidR="003B629C" w:rsidRDefault="00000000">
      <w:pPr>
        <w:pStyle w:val="Heading1"/>
        <w:spacing w:after="265"/>
        <w:ind w:left="504" w:right="5169"/>
      </w:pPr>
      <w:r>
        <w:rPr>
          <w:rFonts w:ascii="Segoe UI Symbol" w:eastAsia="Segoe UI Symbol" w:hAnsi="Segoe UI Symbol" w:cs="Segoe UI Symbol"/>
          <w:b w:val="0"/>
        </w:rPr>
        <w:t></w:t>
      </w:r>
      <w:r>
        <w:rPr>
          <w:rFonts w:ascii="Arial" w:eastAsia="Arial" w:hAnsi="Arial" w:cs="Arial"/>
          <w:b w:val="0"/>
        </w:rPr>
        <w:t xml:space="preserve"> </w:t>
      </w:r>
      <w:r>
        <w:t>Systematic Investment Plan (SIP)</w:t>
      </w:r>
      <w:r>
        <w:rPr>
          <w:b w:val="0"/>
        </w:rPr>
        <w:t xml:space="preserve"> </w:t>
      </w:r>
    </w:p>
    <w:p w14:paraId="09CC119A" w14:textId="58567541" w:rsidR="003B629C" w:rsidRDefault="00000000">
      <w:pPr>
        <w:spacing w:after="202"/>
        <w:ind w:left="129"/>
      </w:pPr>
      <w:r>
        <w:t xml:space="preserve">A Systematic Investment Plan (SIP) is an investment strategy that allows individuals to invest a fixed amount at regular intervals in mutual funds. SIPs promote financial discipline and enable investors to benefit from rupee cost averaging and compounding over the long term. This approach reduces the impact of market volatility by spreading investments over time and makes it easier for investors to build wealth systematically. SIPs are particularly beneficial for those aiming for </w:t>
      </w:r>
      <w:r w:rsidR="00563FE5">
        <w:t>long-term</w:t>
      </w:r>
      <w:r>
        <w:t xml:space="preserve"> financial goals with a consistent and manageable investment strategy. </w:t>
      </w:r>
    </w:p>
    <w:p w14:paraId="74CBF7CA" w14:textId="77777777" w:rsidR="003B629C" w:rsidRDefault="00000000">
      <w:pPr>
        <w:spacing w:after="0" w:line="259" w:lineRule="auto"/>
        <w:ind w:left="134" w:firstLine="0"/>
        <w:jc w:val="left"/>
      </w:pPr>
      <w:r>
        <w:rPr>
          <w:b/>
        </w:rPr>
        <w:t xml:space="preserve"> </w:t>
      </w:r>
      <w:r>
        <w:rPr>
          <w:b/>
        </w:rPr>
        <w:tab/>
        <w:t xml:space="preserve"> </w:t>
      </w:r>
    </w:p>
    <w:p w14:paraId="0950E776" w14:textId="77777777" w:rsidR="00563FE5" w:rsidRDefault="00000000">
      <w:pPr>
        <w:pStyle w:val="Heading1"/>
        <w:tabs>
          <w:tab w:val="center" w:pos="371"/>
          <w:tab w:val="center" w:pos="2245"/>
        </w:tabs>
        <w:spacing w:after="315"/>
        <w:ind w:left="0" w:firstLine="0"/>
        <w:rPr>
          <w:rFonts w:ascii="Calibri" w:eastAsia="Calibri" w:hAnsi="Calibri" w:cs="Calibri"/>
          <w:b w:val="0"/>
          <w:sz w:val="22"/>
        </w:rPr>
      </w:pPr>
      <w:r>
        <w:rPr>
          <w:rFonts w:ascii="Calibri" w:eastAsia="Calibri" w:hAnsi="Calibri" w:cs="Calibri"/>
          <w:b w:val="0"/>
          <w:sz w:val="22"/>
        </w:rPr>
        <w:lastRenderedPageBreak/>
        <w:tab/>
      </w:r>
    </w:p>
    <w:p w14:paraId="4FEDFF16" w14:textId="381E9BEF" w:rsidR="003B629C" w:rsidRPr="00563FE5" w:rsidRDefault="00000000">
      <w:pPr>
        <w:pStyle w:val="Heading1"/>
        <w:tabs>
          <w:tab w:val="center" w:pos="371"/>
          <w:tab w:val="center" w:pos="2245"/>
        </w:tabs>
        <w:spacing w:after="315"/>
        <w:ind w:left="0" w:firstLine="0"/>
        <w:rPr>
          <w:rFonts w:ascii="Calibri" w:eastAsia="Calibri" w:hAnsi="Calibri" w:cs="Calibri"/>
          <w:b w:val="0"/>
          <w:sz w:val="22"/>
        </w:rPr>
      </w:pPr>
      <w:r>
        <w:t>II.</w:t>
      </w:r>
      <w:r>
        <w:rPr>
          <w:rFonts w:ascii="Arial" w:eastAsia="Arial" w:hAnsi="Arial" w:cs="Arial"/>
        </w:rPr>
        <w:t xml:space="preserve"> </w:t>
      </w:r>
      <w:r>
        <w:rPr>
          <w:rFonts w:ascii="Arial" w:eastAsia="Arial" w:hAnsi="Arial" w:cs="Arial"/>
        </w:rPr>
        <w:tab/>
      </w:r>
      <w:r>
        <w:t>PROBLEM STATEMENT</w:t>
      </w:r>
      <w:r>
        <w:rPr>
          <w:b w:val="0"/>
        </w:rPr>
        <w:t xml:space="preserve"> </w:t>
      </w:r>
    </w:p>
    <w:p w14:paraId="785FCED3" w14:textId="77777777" w:rsidR="003B629C" w:rsidRDefault="00000000">
      <w:pPr>
        <w:spacing w:after="202"/>
        <w:ind w:left="129"/>
      </w:pPr>
      <w:r>
        <w:t xml:space="preserve">In the dynamic financial market, investors face challenges in identifying investment avenues that balance consistent returns and manageable risks. Thematic funds, while offering sector-specific growth opportunities, are subject to higher volatility and sector concentration risks. Traditional investment approaches often overlook the potential of systematic investing in such funds. Hence, there is a need to assess the effectiveness of SIPs in thematic funds, particularly in terms of </w:t>
      </w:r>
      <w:proofErr w:type="spellStart"/>
      <w:r>
        <w:t>riskadjusted</w:t>
      </w:r>
      <w:proofErr w:type="spellEnd"/>
      <w:r>
        <w:t xml:space="preserve"> returns and long-term wealth creation. This study aims to fill the gap by evaluating the performance of SIP investments in thematic funds offered by Sundaram Mutual Funds </w:t>
      </w:r>
    </w:p>
    <w:p w14:paraId="0E8E5AB5" w14:textId="77777777" w:rsidR="003B629C" w:rsidRDefault="00000000">
      <w:pPr>
        <w:pStyle w:val="Heading1"/>
        <w:spacing w:after="309"/>
        <w:ind w:left="129" w:right="5169"/>
      </w:pPr>
      <w:r>
        <w:t>III. SCOPE OF THE STUDY</w:t>
      </w:r>
      <w:r>
        <w:rPr>
          <w:b w:val="0"/>
        </w:rPr>
        <w:t xml:space="preserve"> </w:t>
      </w:r>
    </w:p>
    <w:p w14:paraId="063A9485" w14:textId="77777777" w:rsidR="003B629C" w:rsidRDefault="00000000">
      <w:pPr>
        <w:spacing w:after="205"/>
        <w:ind w:left="129"/>
      </w:pPr>
      <w:r>
        <w:t xml:space="preserve">The scope of this study is limited to the performance analysis of SIP investments in thematic mutual funds managed by Sundaram Mutual Funds. It covers various sectors, including services, infrastructure, consumption, and financial services, over a five to ten-year period. The study employs secondary data, focusing on key financial metrics such as CAGR, risk-return analysis, Sharpe ratios, and regression analysis. It aims to provide insights into the effectiveness of SIPs in thematic funds and offers recommendations for investors, fund managers, and financial advisors </w:t>
      </w:r>
    </w:p>
    <w:p w14:paraId="10605FBA" w14:textId="77777777" w:rsidR="003B629C" w:rsidRDefault="00000000">
      <w:pPr>
        <w:pStyle w:val="Heading1"/>
        <w:spacing w:after="313"/>
        <w:ind w:left="129" w:right="5169"/>
      </w:pPr>
      <w:r>
        <w:t>IV.</w:t>
      </w:r>
      <w:r>
        <w:rPr>
          <w:rFonts w:ascii="Arial" w:eastAsia="Arial" w:hAnsi="Arial" w:cs="Arial"/>
        </w:rPr>
        <w:t xml:space="preserve"> </w:t>
      </w:r>
      <w:r>
        <w:t>OBJECTIVES OF THE STUDY</w:t>
      </w:r>
      <w:r>
        <w:rPr>
          <w:b w:val="0"/>
        </w:rPr>
        <w:t xml:space="preserve"> </w:t>
      </w:r>
    </w:p>
    <w:p w14:paraId="5C4518E4" w14:textId="77777777" w:rsidR="003B629C" w:rsidRDefault="00000000">
      <w:pPr>
        <w:numPr>
          <w:ilvl w:val="0"/>
          <w:numId w:val="1"/>
        </w:numPr>
        <w:spacing w:after="201"/>
        <w:ind w:hanging="361"/>
      </w:pPr>
      <w:r>
        <w:t xml:space="preserve">To evaluate the historical performance of SIP investments in thematic funds over different time periods. </w:t>
      </w:r>
    </w:p>
    <w:p w14:paraId="61D8D71D" w14:textId="77777777" w:rsidR="003B629C" w:rsidRDefault="00000000">
      <w:pPr>
        <w:numPr>
          <w:ilvl w:val="0"/>
          <w:numId w:val="1"/>
        </w:numPr>
        <w:spacing w:after="201"/>
        <w:ind w:hanging="361"/>
      </w:pPr>
      <w:r>
        <w:t xml:space="preserve">To assess the risk-return characteristics of thematic funds compared to diversified equity funds. </w:t>
      </w:r>
    </w:p>
    <w:p w14:paraId="56C17024" w14:textId="77777777" w:rsidR="003B629C" w:rsidRDefault="00000000">
      <w:pPr>
        <w:numPr>
          <w:ilvl w:val="0"/>
          <w:numId w:val="1"/>
        </w:numPr>
        <w:spacing w:after="313" w:line="259" w:lineRule="auto"/>
        <w:ind w:hanging="361"/>
      </w:pPr>
      <w:r>
        <w:t xml:space="preserve">To </w:t>
      </w:r>
      <w:proofErr w:type="spellStart"/>
      <w:r>
        <w:t>analyze</w:t>
      </w:r>
      <w:proofErr w:type="spellEnd"/>
      <w:r>
        <w:t xml:space="preserve"> the impact of economic cycles and market fluctuations on SIP returns. </w:t>
      </w:r>
    </w:p>
    <w:p w14:paraId="55F7F18A" w14:textId="77777777" w:rsidR="003B629C" w:rsidRDefault="00000000">
      <w:pPr>
        <w:numPr>
          <w:ilvl w:val="0"/>
          <w:numId w:val="1"/>
        </w:numPr>
        <w:spacing w:after="318" w:line="259" w:lineRule="auto"/>
        <w:ind w:hanging="361"/>
      </w:pPr>
      <w:r>
        <w:t xml:space="preserve">To compare sectoral performance within thematic SIPs and identify high-return sectors. </w:t>
      </w:r>
    </w:p>
    <w:p w14:paraId="23FA1A85" w14:textId="77777777" w:rsidR="003B629C" w:rsidRDefault="00000000">
      <w:pPr>
        <w:numPr>
          <w:ilvl w:val="0"/>
          <w:numId w:val="1"/>
        </w:numPr>
        <w:spacing w:after="195"/>
        <w:ind w:hanging="361"/>
      </w:pPr>
      <w:r>
        <w:t xml:space="preserve">To assess the performance trends and growth potential of Sundaram Mutual Funds' thematic funds. </w:t>
      </w:r>
    </w:p>
    <w:p w14:paraId="4CD81C8F" w14:textId="77777777" w:rsidR="003B629C" w:rsidRDefault="00000000">
      <w:pPr>
        <w:numPr>
          <w:ilvl w:val="0"/>
          <w:numId w:val="1"/>
        </w:numPr>
        <w:spacing w:after="315" w:line="259" w:lineRule="auto"/>
        <w:ind w:hanging="361"/>
      </w:pPr>
      <w:r>
        <w:t xml:space="preserve">To conduct trend analysis and identify long-term SIP return patterns. </w:t>
      </w:r>
    </w:p>
    <w:p w14:paraId="19CC754A" w14:textId="77777777" w:rsidR="003B629C" w:rsidRDefault="00000000">
      <w:pPr>
        <w:spacing w:after="0" w:line="259" w:lineRule="auto"/>
        <w:ind w:left="134" w:firstLine="0"/>
        <w:jc w:val="left"/>
      </w:pPr>
      <w:r>
        <w:lastRenderedPageBreak/>
        <w:t xml:space="preserve"> </w:t>
      </w:r>
      <w:r>
        <w:tab/>
        <w:t xml:space="preserve"> </w:t>
      </w:r>
    </w:p>
    <w:p w14:paraId="53BC5B78" w14:textId="77777777" w:rsidR="003B629C" w:rsidRDefault="00000000">
      <w:pPr>
        <w:pStyle w:val="Heading1"/>
        <w:ind w:left="129" w:right="5169"/>
      </w:pPr>
      <w:r>
        <w:t>V. LITERATURE REVIEW</w:t>
      </w:r>
      <w:r>
        <w:rPr>
          <w:b w:val="0"/>
        </w:rPr>
        <w:t xml:space="preserve"> </w:t>
      </w:r>
    </w:p>
    <w:p w14:paraId="7C0DDE49" w14:textId="77777777" w:rsidR="003B629C" w:rsidRDefault="00000000">
      <w:pPr>
        <w:ind w:left="129"/>
      </w:pPr>
      <w:r>
        <w:t xml:space="preserve">Mutual funds have emerged as a significant investment vehicle in India, catering to a wide range of investors, especially retail participants. Systematic Investment Plans (SIPs), in particular, have revolutionized the way small investors participate in the capital markets. Various studies have explored the performance, investor </w:t>
      </w:r>
      <w:proofErr w:type="spellStart"/>
      <w:r>
        <w:t>behavior</w:t>
      </w:r>
      <w:proofErr w:type="spellEnd"/>
      <w:r>
        <w:t xml:space="preserve">, and risk-return dynamics of mutual funds and SIPs. </w:t>
      </w:r>
    </w:p>
    <w:p w14:paraId="3B15929A" w14:textId="77777777" w:rsidR="003B629C" w:rsidRDefault="00000000">
      <w:pPr>
        <w:numPr>
          <w:ilvl w:val="0"/>
          <w:numId w:val="2"/>
        </w:numPr>
        <w:spacing w:after="24"/>
        <w:ind w:hanging="361"/>
      </w:pPr>
      <w:r>
        <w:t xml:space="preserve">Rathod and Thakrar (2024) evaluated equity, debt, hybrid, and thematic funds, emphasizing the importance of risk-return trade-offs and the rising relevance of thematic funds in investor decision-making. Shekhar (2024) added to this by comparing active and passive mutual fund schemes, stressing how market trends, investor sentiment, and diversification affect fund performance. Thematic and sectoral funds have also been widely discussed, with Kumar and Rao (2023) asserting that thematic funds offer superior diversification and align well with ESG-focused investors. Similarly, Patel and Agarwal (2021) noted their growth potential during sectoral booms but cautioned about their higher risk due to limited diversification. </w:t>
      </w:r>
    </w:p>
    <w:p w14:paraId="45A5EFFE" w14:textId="77777777" w:rsidR="003B629C" w:rsidRDefault="00000000">
      <w:pPr>
        <w:numPr>
          <w:ilvl w:val="0"/>
          <w:numId w:val="2"/>
        </w:numPr>
        <w:spacing w:after="24"/>
        <w:ind w:hanging="361"/>
      </w:pPr>
      <w:r>
        <w:t xml:space="preserve">Systematic Investment Plans (SIPs) have been widely accepted as a disciplined, long-term investment strategy. Trivedi and Mistry (2023) </w:t>
      </w:r>
      <w:proofErr w:type="spellStart"/>
      <w:r>
        <w:t>analyzed</w:t>
      </w:r>
      <w:proofErr w:type="spellEnd"/>
      <w:r>
        <w:t xml:space="preserve"> SIP performance in Aditya Birla Funds and found SIPs to be effective in managing volatility and achieving financial goals. Gupta and Singh (2022) supported this view by proving that SIPs outperform lump sum investments over extended periods, reducing market-timing risks. Further studies by Sharma and Kapoor (2021) revealed that digital platforms have boosted SIP adoption among youth, making the process simpler and more accessible. Patil (2022) emphasized rupee-cost averaging as a key advantage of SIPs, and Komal Sharma (2023) used Sharpe, Treynor, and Sortino ratios to evaluate performance, revealing volatility in specific fund categories. </w:t>
      </w:r>
    </w:p>
    <w:p w14:paraId="09F4B925" w14:textId="77777777" w:rsidR="003B629C" w:rsidRDefault="00000000">
      <w:pPr>
        <w:numPr>
          <w:ilvl w:val="0"/>
          <w:numId w:val="2"/>
        </w:numPr>
        <w:ind w:hanging="361"/>
      </w:pPr>
      <w:r>
        <w:t xml:space="preserve">Investor </w:t>
      </w:r>
      <w:proofErr w:type="spellStart"/>
      <w:r>
        <w:t>behavior</w:t>
      </w:r>
      <w:proofErr w:type="spellEnd"/>
      <w:r>
        <w:t xml:space="preserve"> also plays a critical role in SIP adoption and mutual fund selection. Desai and Mehta (2023) explored gender-based investment preferences, finding that women often opt for conservative, debt-based funds, while men lean towards equities. Kaur (2021) noted that mutual funds are particularly popular among salaried individuals due to benefits like tax savings, liquidity, and potential returns. Gour (2021) found that young investors </w:t>
      </w:r>
      <w:proofErr w:type="spellStart"/>
      <w:r>
        <w:t>favor</w:t>
      </w:r>
      <w:proofErr w:type="spellEnd"/>
      <w:r>
        <w:t xml:space="preserve"> </w:t>
      </w:r>
      <w:r>
        <w:lastRenderedPageBreak/>
        <w:t xml:space="preserve">SIPs for the psychological ease and consistent investment habits they offer. On a broader scale, Ramesh (2023) examined the inflow trends in equity mutual funds and linked them to regulatory reforms and increased awareness. Adding an international perspective, Banerjee (2020) showed how rising financial literacy and middle-class participation have made SIPs a key investment tool in emerging economies. </w:t>
      </w:r>
    </w:p>
    <w:p w14:paraId="0C6F7A11" w14:textId="77777777" w:rsidR="003B629C" w:rsidRDefault="00000000">
      <w:pPr>
        <w:pStyle w:val="Heading1"/>
        <w:ind w:left="129" w:right="5169"/>
      </w:pPr>
      <w:r>
        <w:t>VI.</w:t>
      </w:r>
      <w:r>
        <w:rPr>
          <w:rFonts w:ascii="Arial" w:eastAsia="Arial" w:hAnsi="Arial" w:cs="Arial"/>
        </w:rPr>
        <w:t xml:space="preserve"> </w:t>
      </w:r>
      <w:r>
        <w:t>Research Methodology</w:t>
      </w:r>
      <w:r>
        <w:rPr>
          <w:b w:val="0"/>
        </w:rPr>
        <w:t xml:space="preserve"> </w:t>
      </w:r>
    </w:p>
    <w:p w14:paraId="2BAA8571" w14:textId="77777777" w:rsidR="003B629C" w:rsidRDefault="00000000">
      <w:pPr>
        <w:ind w:left="129"/>
      </w:pPr>
      <w:r>
        <w:t xml:space="preserve"> This study employs a descriptive research design focusing on secondary data analysis. Data related to SIP returns, fund characteristics, and economic indicators are collected from Sundaram Mutual Funds' official reports, financial databases like </w:t>
      </w:r>
      <w:proofErr w:type="spellStart"/>
      <w:r>
        <w:t>Moneycontrol</w:t>
      </w:r>
      <w:proofErr w:type="spellEnd"/>
      <w:r>
        <w:t xml:space="preserve">, Morningstar, and Value Research, and government publications. Analytical tools include descriptive statistics, CAGR calculation, regression models, Sharpe ratio analysis, trend forecasting, and risk-return evaluation. The research period spans five to ten years, ensuring comprehensive insights into long-term performance. </w:t>
      </w:r>
    </w:p>
    <w:p w14:paraId="47CDFA6B" w14:textId="77777777" w:rsidR="003B629C" w:rsidRDefault="00000000">
      <w:pPr>
        <w:spacing w:after="123" w:line="260" w:lineRule="auto"/>
        <w:ind w:left="134" w:right="5169" w:hanging="134"/>
        <w:jc w:val="left"/>
      </w:pPr>
      <w:r>
        <w:rPr>
          <w:b/>
        </w:rPr>
        <w:t>VII. Data Analysis &amp; Findings</w:t>
      </w:r>
      <w:r>
        <w:t xml:space="preserve"> </w:t>
      </w:r>
      <w:r>
        <w:rPr>
          <w:b/>
        </w:rPr>
        <w:t>Descriptive Statistics:</w:t>
      </w:r>
      <w:r>
        <w:t xml:space="preserve"> </w:t>
      </w:r>
    </w:p>
    <w:tbl>
      <w:tblPr>
        <w:tblStyle w:val="TableGrid"/>
        <w:tblW w:w="8864" w:type="dxa"/>
        <w:tblInd w:w="384" w:type="dxa"/>
        <w:tblCellMar>
          <w:top w:w="41" w:type="dxa"/>
          <w:left w:w="110" w:type="dxa"/>
          <w:right w:w="86" w:type="dxa"/>
        </w:tblCellMar>
        <w:tblLook w:val="04A0" w:firstRow="1" w:lastRow="0" w:firstColumn="1" w:lastColumn="0" w:noHBand="0" w:noVBand="1"/>
      </w:tblPr>
      <w:tblGrid>
        <w:gridCol w:w="1964"/>
        <w:gridCol w:w="1661"/>
        <w:gridCol w:w="1666"/>
        <w:gridCol w:w="1835"/>
        <w:gridCol w:w="1738"/>
      </w:tblGrid>
      <w:tr w:rsidR="003B629C" w14:paraId="59658EA3" w14:textId="77777777">
        <w:trPr>
          <w:trHeight w:val="624"/>
        </w:trPr>
        <w:tc>
          <w:tcPr>
            <w:tcW w:w="1964" w:type="dxa"/>
            <w:tcBorders>
              <w:top w:val="single" w:sz="4" w:space="0" w:color="000000"/>
              <w:left w:val="single" w:sz="4" w:space="0" w:color="000000"/>
              <w:bottom w:val="single" w:sz="4" w:space="0" w:color="000000"/>
              <w:right w:val="single" w:sz="4" w:space="0" w:color="000000"/>
            </w:tcBorders>
            <w:vAlign w:val="center"/>
          </w:tcPr>
          <w:p w14:paraId="440CC7D1" w14:textId="77777777" w:rsidR="003B629C" w:rsidRDefault="00000000">
            <w:pPr>
              <w:spacing w:after="0" w:line="259" w:lineRule="auto"/>
              <w:ind w:left="0" w:firstLine="0"/>
              <w:jc w:val="left"/>
            </w:pPr>
            <w:r>
              <w:rPr>
                <w:b/>
              </w:rPr>
              <w:t>Fund Name</w:t>
            </w:r>
            <w:r>
              <w:t xml:space="preserve"> </w:t>
            </w:r>
          </w:p>
        </w:tc>
        <w:tc>
          <w:tcPr>
            <w:tcW w:w="1661" w:type="dxa"/>
            <w:tcBorders>
              <w:top w:val="single" w:sz="4" w:space="0" w:color="000000"/>
              <w:left w:val="single" w:sz="4" w:space="0" w:color="000000"/>
              <w:bottom w:val="single" w:sz="4" w:space="0" w:color="000000"/>
              <w:right w:val="single" w:sz="4" w:space="0" w:color="000000"/>
            </w:tcBorders>
          </w:tcPr>
          <w:p w14:paraId="395A7AD0" w14:textId="77777777" w:rsidR="003B629C" w:rsidRDefault="00000000">
            <w:pPr>
              <w:spacing w:after="0" w:line="259" w:lineRule="auto"/>
              <w:ind w:left="0" w:firstLine="0"/>
              <w:jc w:val="center"/>
            </w:pPr>
            <w:r>
              <w:rPr>
                <w:b/>
              </w:rPr>
              <w:t>Mean Return (%)</w:t>
            </w:r>
            <w:r>
              <w:t xml:space="preserve"> </w:t>
            </w:r>
          </w:p>
        </w:tc>
        <w:tc>
          <w:tcPr>
            <w:tcW w:w="1666" w:type="dxa"/>
            <w:tcBorders>
              <w:top w:val="single" w:sz="4" w:space="0" w:color="000000"/>
              <w:left w:val="single" w:sz="4" w:space="0" w:color="000000"/>
              <w:bottom w:val="single" w:sz="4" w:space="0" w:color="000000"/>
              <w:right w:val="single" w:sz="4" w:space="0" w:color="000000"/>
            </w:tcBorders>
            <w:vAlign w:val="center"/>
          </w:tcPr>
          <w:p w14:paraId="5F2647E4" w14:textId="77777777" w:rsidR="003B629C" w:rsidRDefault="00000000">
            <w:pPr>
              <w:spacing w:after="0" w:line="259" w:lineRule="auto"/>
              <w:ind w:left="101" w:firstLine="0"/>
              <w:jc w:val="left"/>
            </w:pPr>
            <w:r>
              <w:rPr>
                <w:b/>
              </w:rPr>
              <w:t>Median (%)</w:t>
            </w:r>
            <w:r>
              <w:t xml:space="preserve"> </w:t>
            </w:r>
          </w:p>
        </w:tc>
        <w:tc>
          <w:tcPr>
            <w:tcW w:w="1835" w:type="dxa"/>
            <w:tcBorders>
              <w:top w:val="single" w:sz="4" w:space="0" w:color="000000"/>
              <w:left w:val="single" w:sz="4" w:space="0" w:color="000000"/>
              <w:bottom w:val="single" w:sz="4" w:space="0" w:color="000000"/>
              <w:right w:val="single" w:sz="4" w:space="0" w:color="000000"/>
            </w:tcBorders>
          </w:tcPr>
          <w:p w14:paraId="5AA0D6DC" w14:textId="77777777" w:rsidR="003B629C" w:rsidRDefault="00000000">
            <w:pPr>
              <w:spacing w:after="0" w:line="259" w:lineRule="auto"/>
              <w:ind w:left="0" w:firstLine="0"/>
              <w:jc w:val="center"/>
            </w:pPr>
            <w:r>
              <w:rPr>
                <w:b/>
              </w:rPr>
              <w:t>Standard Deviation (%)</w:t>
            </w:r>
            <w:r>
              <w:t xml:space="preserve"> </w:t>
            </w:r>
          </w:p>
        </w:tc>
        <w:tc>
          <w:tcPr>
            <w:tcW w:w="1738" w:type="dxa"/>
            <w:tcBorders>
              <w:top w:val="single" w:sz="4" w:space="0" w:color="000000"/>
              <w:left w:val="single" w:sz="4" w:space="0" w:color="000000"/>
              <w:bottom w:val="single" w:sz="4" w:space="0" w:color="000000"/>
              <w:right w:val="single" w:sz="4" w:space="0" w:color="000000"/>
            </w:tcBorders>
            <w:vAlign w:val="center"/>
          </w:tcPr>
          <w:p w14:paraId="675F9860" w14:textId="77777777" w:rsidR="003B629C" w:rsidRDefault="00000000">
            <w:pPr>
              <w:spacing w:after="0" w:line="259" w:lineRule="auto"/>
              <w:ind w:left="0" w:right="39" w:firstLine="0"/>
              <w:jc w:val="center"/>
            </w:pPr>
            <w:r>
              <w:rPr>
                <w:b/>
              </w:rPr>
              <w:t>Variance</w:t>
            </w:r>
            <w:r>
              <w:t xml:space="preserve"> </w:t>
            </w:r>
          </w:p>
        </w:tc>
      </w:tr>
      <w:tr w:rsidR="003B629C" w14:paraId="26AED390" w14:textId="77777777">
        <w:trPr>
          <w:trHeight w:val="547"/>
        </w:trPr>
        <w:tc>
          <w:tcPr>
            <w:tcW w:w="1964" w:type="dxa"/>
            <w:tcBorders>
              <w:top w:val="single" w:sz="4" w:space="0" w:color="000000"/>
              <w:left w:val="single" w:sz="4" w:space="0" w:color="000000"/>
              <w:bottom w:val="single" w:sz="4" w:space="0" w:color="000000"/>
              <w:right w:val="single" w:sz="4" w:space="0" w:color="000000"/>
            </w:tcBorders>
            <w:vAlign w:val="center"/>
          </w:tcPr>
          <w:p w14:paraId="281DF568" w14:textId="77777777" w:rsidR="003B629C" w:rsidRDefault="00000000">
            <w:pPr>
              <w:spacing w:after="0" w:line="259" w:lineRule="auto"/>
              <w:ind w:left="0" w:firstLine="0"/>
              <w:jc w:val="left"/>
            </w:pPr>
            <w:r>
              <w:t xml:space="preserve">Services Fund </w:t>
            </w:r>
          </w:p>
        </w:tc>
        <w:tc>
          <w:tcPr>
            <w:tcW w:w="1661" w:type="dxa"/>
            <w:tcBorders>
              <w:top w:val="single" w:sz="4" w:space="0" w:color="000000"/>
              <w:left w:val="single" w:sz="4" w:space="0" w:color="000000"/>
              <w:bottom w:val="single" w:sz="4" w:space="0" w:color="000000"/>
              <w:right w:val="single" w:sz="4" w:space="0" w:color="000000"/>
            </w:tcBorders>
            <w:vAlign w:val="center"/>
          </w:tcPr>
          <w:p w14:paraId="205C69BB" w14:textId="77777777" w:rsidR="003B629C" w:rsidRDefault="00000000">
            <w:pPr>
              <w:spacing w:after="0" w:line="259" w:lineRule="auto"/>
              <w:ind w:left="0" w:right="25" w:firstLine="0"/>
              <w:jc w:val="center"/>
            </w:pPr>
            <w:r>
              <w:t xml:space="preserve">15.8 </w:t>
            </w:r>
          </w:p>
        </w:tc>
        <w:tc>
          <w:tcPr>
            <w:tcW w:w="1666" w:type="dxa"/>
            <w:tcBorders>
              <w:top w:val="single" w:sz="4" w:space="0" w:color="000000"/>
              <w:left w:val="single" w:sz="4" w:space="0" w:color="000000"/>
              <w:bottom w:val="single" w:sz="4" w:space="0" w:color="000000"/>
              <w:right w:val="single" w:sz="4" w:space="0" w:color="000000"/>
            </w:tcBorders>
            <w:vAlign w:val="center"/>
          </w:tcPr>
          <w:p w14:paraId="1450E156" w14:textId="77777777" w:rsidR="003B629C" w:rsidRDefault="00000000">
            <w:pPr>
              <w:spacing w:after="0" w:line="259" w:lineRule="auto"/>
              <w:ind w:left="0" w:right="20" w:firstLine="0"/>
              <w:jc w:val="center"/>
            </w:pPr>
            <w:r>
              <w:t xml:space="preserve">16.2 </w:t>
            </w:r>
          </w:p>
        </w:tc>
        <w:tc>
          <w:tcPr>
            <w:tcW w:w="1835" w:type="dxa"/>
            <w:tcBorders>
              <w:top w:val="single" w:sz="4" w:space="0" w:color="000000"/>
              <w:left w:val="single" w:sz="4" w:space="0" w:color="000000"/>
              <w:bottom w:val="single" w:sz="4" w:space="0" w:color="000000"/>
              <w:right w:val="single" w:sz="4" w:space="0" w:color="000000"/>
            </w:tcBorders>
            <w:vAlign w:val="center"/>
          </w:tcPr>
          <w:p w14:paraId="7DE14EC5" w14:textId="77777777" w:rsidR="003B629C" w:rsidRDefault="00000000">
            <w:pPr>
              <w:spacing w:after="0" w:line="259" w:lineRule="auto"/>
              <w:ind w:left="0" w:right="30" w:firstLine="0"/>
              <w:jc w:val="center"/>
            </w:pPr>
            <w:r>
              <w:t xml:space="preserve">4.5 </w:t>
            </w:r>
          </w:p>
        </w:tc>
        <w:tc>
          <w:tcPr>
            <w:tcW w:w="1738" w:type="dxa"/>
            <w:tcBorders>
              <w:top w:val="single" w:sz="4" w:space="0" w:color="000000"/>
              <w:left w:val="single" w:sz="4" w:space="0" w:color="000000"/>
              <w:bottom w:val="single" w:sz="4" w:space="0" w:color="000000"/>
              <w:right w:val="single" w:sz="4" w:space="0" w:color="000000"/>
            </w:tcBorders>
            <w:vAlign w:val="center"/>
          </w:tcPr>
          <w:p w14:paraId="4797D40D" w14:textId="77777777" w:rsidR="003B629C" w:rsidRDefault="00000000">
            <w:pPr>
              <w:spacing w:after="0" w:line="259" w:lineRule="auto"/>
              <w:ind w:left="0" w:right="30" w:firstLine="0"/>
              <w:jc w:val="center"/>
            </w:pPr>
            <w:r>
              <w:t xml:space="preserve">20.25 </w:t>
            </w:r>
          </w:p>
        </w:tc>
      </w:tr>
      <w:tr w:rsidR="003B629C" w14:paraId="52686CA3" w14:textId="77777777">
        <w:trPr>
          <w:trHeight w:val="624"/>
        </w:trPr>
        <w:tc>
          <w:tcPr>
            <w:tcW w:w="1964" w:type="dxa"/>
            <w:tcBorders>
              <w:top w:val="single" w:sz="4" w:space="0" w:color="000000"/>
              <w:left w:val="single" w:sz="4" w:space="0" w:color="000000"/>
              <w:bottom w:val="single" w:sz="4" w:space="0" w:color="000000"/>
              <w:right w:val="single" w:sz="4" w:space="0" w:color="000000"/>
            </w:tcBorders>
          </w:tcPr>
          <w:p w14:paraId="1BF6F0D0" w14:textId="77777777" w:rsidR="003B629C" w:rsidRDefault="00000000">
            <w:pPr>
              <w:spacing w:after="0" w:line="259" w:lineRule="auto"/>
              <w:ind w:left="0" w:firstLine="0"/>
              <w:jc w:val="left"/>
            </w:pPr>
            <w:r>
              <w:t xml:space="preserve">Infrastructure Fund </w:t>
            </w:r>
          </w:p>
        </w:tc>
        <w:tc>
          <w:tcPr>
            <w:tcW w:w="1661" w:type="dxa"/>
            <w:tcBorders>
              <w:top w:val="single" w:sz="4" w:space="0" w:color="000000"/>
              <w:left w:val="single" w:sz="4" w:space="0" w:color="000000"/>
              <w:bottom w:val="single" w:sz="4" w:space="0" w:color="000000"/>
              <w:right w:val="single" w:sz="4" w:space="0" w:color="000000"/>
            </w:tcBorders>
            <w:vAlign w:val="center"/>
          </w:tcPr>
          <w:p w14:paraId="6B81298F" w14:textId="77777777" w:rsidR="003B629C" w:rsidRDefault="00000000">
            <w:pPr>
              <w:spacing w:after="0" w:line="259" w:lineRule="auto"/>
              <w:ind w:left="0" w:right="25" w:firstLine="0"/>
              <w:jc w:val="center"/>
            </w:pPr>
            <w:r>
              <w:t xml:space="preserve">14.3 </w:t>
            </w:r>
          </w:p>
        </w:tc>
        <w:tc>
          <w:tcPr>
            <w:tcW w:w="1666" w:type="dxa"/>
            <w:tcBorders>
              <w:top w:val="single" w:sz="4" w:space="0" w:color="000000"/>
              <w:left w:val="single" w:sz="4" w:space="0" w:color="000000"/>
              <w:bottom w:val="single" w:sz="4" w:space="0" w:color="000000"/>
              <w:right w:val="single" w:sz="4" w:space="0" w:color="000000"/>
            </w:tcBorders>
            <w:vAlign w:val="center"/>
          </w:tcPr>
          <w:p w14:paraId="55245686" w14:textId="77777777" w:rsidR="003B629C" w:rsidRDefault="00000000">
            <w:pPr>
              <w:spacing w:after="0" w:line="259" w:lineRule="auto"/>
              <w:ind w:left="0" w:right="20" w:firstLine="0"/>
              <w:jc w:val="center"/>
            </w:pPr>
            <w:r>
              <w:t xml:space="preserve">14.0 </w:t>
            </w:r>
          </w:p>
        </w:tc>
        <w:tc>
          <w:tcPr>
            <w:tcW w:w="1835" w:type="dxa"/>
            <w:tcBorders>
              <w:top w:val="single" w:sz="4" w:space="0" w:color="000000"/>
              <w:left w:val="single" w:sz="4" w:space="0" w:color="000000"/>
              <w:bottom w:val="single" w:sz="4" w:space="0" w:color="000000"/>
              <w:right w:val="single" w:sz="4" w:space="0" w:color="000000"/>
            </w:tcBorders>
            <w:vAlign w:val="center"/>
          </w:tcPr>
          <w:p w14:paraId="6E182B05" w14:textId="77777777" w:rsidR="003B629C" w:rsidRDefault="00000000">
            <w:pPr>
              <w:spacing w:after="0" w:line="259" w:lineRule="auto"/>
              <w:ind w:left="0" w:right="30" w:firstLine="0"/>
              <w:jc w:val="center"/>
            </w:pPr>
            <w:r>
              <w:t xml:space="preserve">5.2 </w:t>
            </w:r>
          </w:p>
        </w:tc>
        <w:tc>
          <w:tcPr>
            <w:tcW w:w="1738" w:type="dxa"/>
            <w:tcBorders>
              <w:top w:val="single" w:sz="4" w:space="0" w:color="000000"/>
              <w:left w:val="single" w:sz="4" w:space="0" w:color="000000"/>
              <w:bottom w:val="single" w:sz="4" w:space="0" w:color="000000"/>
              <w:right w:val="single" w:sz="4" w:space="0" w:color="000000"/>
            </w:tcBorders>
            <w:vAlign w:val="center"/>
          </w:tcPr>
          <w:p w14:paraId="30373E93" w14:textId="77777777" w:rsidR="003B629C" w:rsidRDefault="00000000">
            <w:pPr>
              <w:spacing w:after="0" w:line="259" w:lineRule="auto"/>
              <w:ind w:left="0" w:right="30" w:firstLine="0"/>
              <w:jc w:val="center"/>
            </w:pPr>
            <w:r>
              <w:t xml:space="preserve">27.04 </w:t>
            </w:r>
          </w:p>
        </w:tc>
      </w:tr>
      <w:tr w:rsidR="003B629C" w14:paraId="34F6684B" w14:textId="77777777">
        <w:trPr>
          <w:trHeight w:val="625"/>
        </w:trPr>
        <w:tc>
          <w:tcPr>
            <w:tcW w:w="1964" w:type="dxa"/>
            <w:tcBorders>
              <w:top w:val="single" w:sz="4" w:space="0" w:color="000000"/>
              <w:left w:val="single" w:sz="4" w:space="0" w:color="000000"/>
              <w:bottom w:val="single" w:sz="4" w:space="0" w:color="000000"/>
              <w:right w:val="single" w:sz="4" w:space="0" w:color="000000"/>
            </w:tcBorders>
          </w:tcPr>
          <w:p w14:paraId="0B1C7DE3" w14:textId="77777777" w:rsidR="003B629C" w:rsidRDefault="00000000">
            <w:pPr>
              <w:spacing w:after="0" w:line="259" w:lineRule="auto"/>
              <w:ind w:left="0" w:firstLine="0"/>
              <w:jc w:val="left"/>
            </w:pPr>
            <w:r>
              <w:t xml:space="preserve">Consumption Fund </w:t>
            </w:r>
          </w:p>
        </w:tc>
        <w:tc>
          <w:tcPr>
            <w:tcW w:w="1661" w:type="dxa"/>
            <w:tcBorders>
              <w:top w:val="single" w:sz="4" w:space="0" w:color="000000"/>
              <w:left w:val="single" w:sz="4" w:space="0" w:color="000000"/>
              <w:bottom w:val="single" w:sz="4" w:space="0" w:color="000000"/>
              <w:right w:val="single" w:sz="4" w:space="0" w:color="000000"/>
            </w:tcBorders>
            <w:vAlign w:val="center"/>
          </w:tcPr>
          <w:p w14:paraId="5F162AAE" w14:textId="77777777" w:rsidR="003B629C" w:rsidRDefault="00000000">
            <w:pPr>
              <w:spacing w:after="0" w:line="259" w:lineRule="auto"/>
              <w:ind w:left="0" w:right="25" w:firstLine="0"/>
              <w:jc w:val="center"/>
            </w:pPr>
            <w:r>
              <w:t xml:space="preserve">16.7 </w:t>
            </w:r>
          </w:p>
        </w:tc>
        <w:tc>
          <w:tcPr>
            <w:tcW w:w="1666" w:type="dxa"/>
            <w:tcBorders>
              <w:top w:val="single" w:sz="4" w:space="0" w:color="000000"/>
              <w:left w:val="single" w:sz="4" w:space="0" w:color="000000"/>
              <w:bottom w:val="single" w:sz="4" w:space="0" w:color="000000"/>
              <w:right w:val="single" w:sz="4" w:space="0" w:color="000000"/>
            </w:tcBorders>
            <w:vAlign w:val="center"/>
          </w:tcPr>
          <w:p w14:paraId="70703E68" w14:textId="77777777" w:rsidR="003B629C" w:rsidRDefault="00000000">
            <w:pPr>
              <w:spacing w:after="0" w:line="259" w:lineRule="auto"/>
              <w:ind w:left="0" w:right="20" w:firstLine="0"/>
              <w:jc w:val="center"/>
            </w:pPr>
            <w:r>
              <w:t xml:space="preserve">16.5 </w:t>
            </w:r>
          </w:p>
        </w:tc>
        <w:tc>
          <w:tcPr>
            <w:tcW w:w="1835" w:type="dxa"/>
            <w:tcBorders>
              <w:top w:val="single" w:sz="4" w:space="0" w:color="000000"/>
              <w:left w:val="single" w:sz="4" w:space="0" w:color="000000"/>
              <w:bottom w:val="single" w:sz="4" w:space="0" w:color="000000"/>
              <w:right w:val="single" w:sz="4" w:space="0" w:color="000000"/>
            </w:tcBorders>
            <w:vAlign w:val="center"/>
          </w:tcPr>
          <w:p w14:paraId="1D171CE3" w14:textId="77777777" w:rsidR="003B629C" w:rsidRDefault="00000000">
            <w:pPr>
              <w:spacing w:after="0" w:line="259" w:lineRule="auto"/>
              <w:ind w:left="0" w:right="30" w:firstLine="0"/>
              <w:jc w:val="center"/>
            </w:pPr>
            <w:r>
              <w:t xml:space="preserve">3.9 </w:t>
            </w:r>
          </w:p>
        </w:tc>
        <w:tc>
          <w:tcPr>
            <w:tcW w:w="1738" w:type="dxa"/>
            <w:tcBorders>
              <w:top w:val="single" w:sz="4" w:space="0" w:color="000000"/>
              <w:left w:val="single" w:sz="4" w:space="0" w:color="000000"/>
              <w:bottom w:val="single" w:sz="4" w:space="0" w:color="000000"/>
              <w:right w:val="single" w:sz="4" w:space="0" w:color="000000"/>
            </w:tcBorders>
            <w:vAlign w:val="center"/>
          </w:tcPr>
          <w:p w14:paraId="1ABBE2BF" w14:textId="77777777" w:rsidR="003B629C" w:rsidRDefault="00000000">
            <w:pPr>
              <w:spacing w:after="0" w:line="259" w:lineRule="auto"/>
              <w:ind w:left="0" w:right="30" w:firstLine="0"/>
              <w:jc w:val="center"/>
            </w:pPr>
            <w:r>
              <w:t xml:space="preserve">15.21 </w:t>
            </w:r>
          </w:p>
        </w:tc>
      </w:tr>
      <w:tr w:rsidR="003B629C" w14:paraId="2E831A3A" w14:textId="77777777">
        <w:trPr>
          <w:trHeight w:val="624"/>
        </w:trPr>
        <w:tc>
          <w:tcPr>
            <w:tcW w:w="1964" w:type="dxa"/>
            <w:tcBorders>
              <w:top w:val="single" w:sz="4" w:space="0" w:color="000000"/>
              <w:left w:val="single" w:sz="4" w:space="0" w:color="000000"/>
              <w:bottom w:val="single" w:sz="4" w:space="0" w:color="000000"/>
              <w:right w:val="single" w:sz="4" w:space="0" w:color="000000"/>
            </w:tcBorders>
          </w:tcPr>
          <w:p w14:paraId="6C0BD3D8" w14:textId="77777777" w:rsidR="003B629C" w:rsidRDefault="00000000">
            <w:pPr>
              <w:spacing w:after="0" w:line="259" w:lineRule="auto"/>
              <w:ind w:left="0" w:firstLine="0"/>
              <w:jc w:val="left"/>
            </w:pPr>
            <w:r>
              <w:t xml:space="preserve">Financial </w:t>
            </w:r>
          </w:p>
          <w:p w14:paraId="1CCAF411" w14:textId="77777777" w:rsidR="003B629C" w:rsidRDefault="00000000">
            <w:pPr>
              <w:spacing w:after="0" w:line="259" w:lineRule="auto"/>
              <w:ind w:left="0" w:firstLine="0"/>
              <w:jc w:val="left"/>
            </w:pPr>
            <w:r>
              <w:t xml:space="preserve">Services Fund </w:t>
            </w:r>
          </w:p>
        </w:tc>
        <w:tc>
          <w:tcPr>
            <w:tcW w:w="1661" w:type="dxa"/>
            <w:tcBorders>
              <w:top w:val="single" w:sz="4" w:space="0" w:color="000000"/>
              <w:left w:val="single" w:sz="4" w:space="0" w:color="000000"/>
              <w:bottom w:val="single" w:sz="4" w:space="0" w:color="000000"/>
              <w:right w:val="single" w:sz="4" w:space="0" w:color="000000"/>
            </w:tcBorders>
            <w:vAlign w:val="center"/>
          </w:tcPr>
          <w:p w14:paraId="3101E78D" w14:textId="77777777" w:rsidR="003B629C" w:rsidRDefault="00000000">
            <w:pPr>
              <w:spacing w:after="0" w:line="259" w:lineRule="auto"/>
              <w:ind w:left="0" w:right="25" w:firstLine="0"/>
              <w:jc w:val="center"/>
            </w:pPr>
            <w:r>
              <w:t xml:space="preserve">17.5 </w:t>
            </w:r>
          </w:p>
        </w:tc>
        <w:tc>
          <w:tcPr>
            <w:tcW w:w="1666" w:type="dxa"/>
            <w:tcBorders>
              <w:top w:val="single" w:sz="4" w:space="0" w:color="000000"/>
              <w:left w:val="single" w:sz="4" w:space="0" w:color="000000"/>
              <w:bottom w:val="single" w:sz="4" w:space="0" w:color="000000"/>
              <w:right w:val="single" w:sz="4" w:space="0" w:color="000000"/>
            </w:tcBorders>
            <w:vAlign w:val="center"/>
          </w:tcPr>
          <w:p w14:paraId="311CC89E" w14:textId="77777777" w:rsidR="003B629C" w:rsidRDefault="00000000">
            <w:pPr>
              <w:spacing w:after="0" w:line="259" w:lineRule="auto"/>
              <w:ind w:left="0" w:right="20" w:firstLine="0"/>
              <w:jc w:val="center"/>
            </w:pPr>
            <w:r>
              <w:t xml:space="preserve">17.8 </w:t>
            </w:r>
          </w:p>
        </w:tc>
        <w:tc>
          <w:tcPr>
            <w:tcW w:w="1835" w:type="dxa"/>
            <w:tcBorders>
              <w:top w:val="single" w:sz="4" w:space="0" w:color="000000"/>
              <w:left w:val="single" w:sz="4" w:space="0" w:color="000000"/>
              <w:bottom w:val="single" w:sz="4" w:space="0" w:color="000000"/>
              <w:right w:val="single" w:sz="4" w:space="0" w:color="000000"/>
            </w:tcBorders>
            <w:vAlign w:val="center"/>
          </w:tcPr>
          <w:p w14:paraId="3849184F" w14:textId="77777777" w:rsidR="003B629C" w:rsidRDefault="00000000">
            <w:pPr>
              <w:spacing w:after="0" w:line="259" w:lineRule="auto"/>
              <w:ind w:left="0" w:right="30" w:firstLine="0"/>
              <w:jc w:val="center"/>
            </w:pPr>
            <w:r>
              <w:t xml:space="preserve">6.0 </w:t>
            </w:r>
          </w:p>
        </w:tc>
        <w:tc>
          <w:tcPr>
            <w:tcW w:w="1738" w:type="dxa"/>
            <w:tcBorders>
              <w:top w:val="single" w:sz="4" w:space="0" w:color="000000"/>
              <w:left w:val="single" w:sz="4" w:space="0" w:color="000000"/>
              <w:bottom w:val="single" w:sz="4" w:space="0" w:color="000000"/>
              <w:right w:val="single" w:sz="4" w:space="0" w:color="000000"/>
            </w:tcBorders>
            <w:vAlign w:val="center"/>
          </w:tcPr>
          <w:p w14:paraId="67367067" w14:textId="77777777" w:rsidR="003B629C" w:rsidRDefault="00000000">
            <w:pPr>
              <w:spacing w:after="0" w:line="259" w:lineRule="auto"/>
              <w:ind w:left="0" w:right="30" w:firstLine="0"/>
              <w:jc w:val="center"/>
            </w:pPr>
            <w:r>
              <w:t xml:space="preserve">36.00 </w:t>
            </w:r>
          </w:p>
        </w:tc>
      </w:tr>
    </w:tbl>
    <w:p w14:paraId="7691F1BE" w14:textId="77777777" w:rsidR="003B629C" w:rsidRDefault="00000000">
      <w:pPr>
        <w:spacing w:after="396" w:line="259" w:lineRule="auto"/>
        <w:ind w:left="129"/>
      </w:pPr>
      <w:r>
        <w:t xml:space="preserve">Source: NAV as on date February 13 2025  </w:t>
      </w:r>
    </w:p>
    <w:p w14:paraId="57F3FB96" w14:textId="77777777" w:rsidR="003B629C" w:rsidRDefault="00000000">
      <w:pPr>
        <w:ind w:left="129"/>
      </w:pPr>
      <w:r>
        <w:t xml:space="preserve">The Financial Services Fund had the highest average return (17.5%) but also the highest risk. The Consumption Fund provided strong returns (16.7%) with the lowest risk, making it the most stable. The Services Fund showed consistent performance with moderate risk, while the Infrastructure Fund had lower returns with relatively high volatility. </w:t>
      </w:r>
    </w:p>
    <w:p w14:paraId="4607832E" w14:textId="77777777" w:rsidR="003B629C" w:rsidRDefault="00000000">
      <w:pPr>
        <w:spacing w:after="123" w:line="260" w:lineRule="auto"/>
        <w:ind w:left="129" w:right="5169"/>
        <w:jc w:val="left"/>
      </w:pPr>
      <w:r>
        <w:rPr>
          <w:b/>
        </w:rPr>
        <w:lastRenderedPageBreak/>
        <w:t>CAGR Analysis:</w:t>
      </w:r>
      <w:r>
        <w:t xml:space="preserve">  </w:t>
      </w:r>
    </w:p>
    <w:tbl>
      <w:tblPr>
        <w:tblStyle w:val="TableGrid"/>
        <w:tblW w:w="9080" w:type="dxa"/>
        <w:tblInd w:w="274" w:type="dxa"/>
        <w:tblCellMar>
          <w:top w:w="89" w:type="dxa"/>
          <w:left w:w="110" w:type="dxa"/>
          <w:right w:w="115" w:type="dxa"/>
        </w:tblCellMar>
        <w:tblLook w:val="04A0" w:firstRow="1" w:lastRow="0" w:firstColumn="1" w:lastColumn="0" w:noHBand="0" w:noVBand="1"/>
      </w:tblPr>
      <w:tblGrid>
        <w:gridCol w:w="1940"/>
        <w:gridCol w:w="1796"/>
        <w:gridCol w:w="1777"/>
        <w:gridCol w:w="1767"/>
        <w:gridCol w:w="1800"/>
      </w:tblGrid>
      <w:tr w:rsidR="003B629C" w14:paraId="126A2929" w14:textId="77777777">
        <w:trPr>
          <w:trHeight w:val="1071"/>
        </w:trPr>
        <w:tc>
          <w:tcPr>
            <w:tcW w:w="1940" w:type="dxa"/>
            <w:tcBorders>
              <w:top w:val="single" w:sz="4" w:space="0" w:color="000000"/>
              <w:left w:val="single" w:sz="4" w:space="0" w:color="000000"/>
              <w:bottom w:val="single" w:sz="4" w:space="0" w:color="000000"/>
              <w:right w:val="single" w:sz="4" w:space="0" w:color="000000"/>
            </w:tcBorders>
            <w:vAlign w:val="center"/>
          </w:tcPr>
          <w:p w14:paraId="294065D0" w14:textId="77777777" w:rsidR="003B629C" w:rsidRDefault="00000000">
            <w:pPr>
              <w:spacing w:after="0" w:line="259" w:lineRule="auto"/>
              <w:ind w:left="0" w:firstLine="0"/>
              <w:jc w:val="left"/>
            </w:pPr>
            <w:r>
              <w:rPr>
                <w:b/>
              </w:rPr>
              <w:t>Fund</w:t>
            </w:r>
            <w:r>
              <w:t xml:space="preserve"> </w:t>
            </w:r>
          </w:p>
        </w:tc>
        <w:tc>
          <w:tcPr>
            <w:tcW w:w="1796" w:type="dxa"/>
            <w:tcBorders>
              <w:top w:val="single" w:sz="4" w:space="0" w:color="000000"/>
              <w:left w:val="single" w:sz="4" w:space="0" w:color="000000"/>
              <w:bottom w:val="single" w:sz="4" w:space="0" w:color="000000"/>
              <w:right w:val="single" w:sz="4" w:space="0" w:color="000000"/>
            </w:tcBorders>
            <w:vAlign w:val="center"/>
          </w:tcPr>
          <w:p w14:paraId="268E97D5" w14:textId="77777777" w:rsidR="003B629C" w:rsidRDefault="00000000">
            <w:pPr>
              <w:spacing w:after="0" w:line="259" w:lineRule="auto"/>
              <w:ind w:left="0" w:firstLine="0"/>
              <w:jc w:val="left"/>
            </w:pPr>
            <w:r>
              <w:rPr>
                <w:b/>
              </w:rPr>
              <w:t xml:space="preserve">Initial NAV (2020) </w:t>
            </w:r>
            <w:r>
              <w:t xml:space="preserve"> </w:t>
            </w:r>
          </w:p>
        </w:tc>
        <w:tc>
          <w:tcPr>
            <w:tcW w:w="1777" w:type="dxa"/>
            <w:tcBorders>
              <w:top w:val="single" w:sz="4" w:space="0" w:color="000000"/>
              <w:left w:val="single" w:sz="4" w:space="0" w:color="000000"/>
              <w:bottom w:val="single" w:sz="4" w:space="0" w:color="000000"/>
              <w:right w:val="single" w:sz="4" w:space="0" w:color="000000"/>
            </w:tcBorders>
            <w:vAlign w:val="center"/>
          </w:tcPr>
          <w:p w14:paraId="476393DB" w14:textId="77777777" w:rsidR="003B629C" w:rsidRDefault="00000000">
            <w:pPr>
              <w:spacing w:after="0" w:line="259" w:lineRule="auto"/>
              <w:ind w:left="0" w:firstLine="0"/>
              <w:jc w:val="left"/>
            </w:pPr>
            <w:r>
              <w:rPr>
                <w:b/>
              </w:rPr>
              <w:t xml:space="preserve">Final NAV (2025) </w:t>
            </w:r>
            <w:r>
              <w:t xml:space="preserve"> </w:t>
            </w:r>
          </w:p>
        </w:tc>
        <w:tc>
          <w:tcPr>
            <w:tcW w:w="1767" w:type="dxa"/>
            <w:tcBorders>
              <w:top w:val="single" w:sz="4" w:space="0" w:color="000000"/>
              <w:left w:val="single" w:sz="4" w:space="0" w:color="000000"/>
              <w:bottom w:val="single" w:sz="4" w:space="0" w:color="000000"/>
              <w:right w:val="single" w:sz="4" w:space="0" w:color="000000"/>
            </w:tcBorders>
            <w:vAlign w:val="center"/>
          </w:tcPr>
          <w:p w14:paraId="522C0B5B" w14:textId="77777777" w:rsidR="003B629C" w:rsidRDefault="00000000">
            <w:pPr>
              <w:spacing w:after="0" w:line="259" w:lineRule="auto"/>
              <w:ind w:left="0" w:firstLine="0"/>
              <w:jc w:val="left"/>
            </w:pPr>
            <w:r>
              <w:rPr>
                <w:b/>
              </w:rPr>
              <w:t>CAGR (%)</w:t>
            </w:r>
            <w: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14:paraId="7EBC70E1" w14:textId="77777777" w:rsidR="003B629C" w:rsidRDefault="00000000">
            <w:pPr>
              <w:spacing w:after="0" w:line="259" w:lineRule="auto"/>
              <w:ind w:left="0" w:firstLine="0"/>
              <w:jc w:val="left"/>
            </w:pPr>
            <w:r>
              <w:rPr>
                <w:b/>
              </w:rPr>
              <w:t xml:space="preserve">Forecasted </w:t>
            </w:r>
          </w:p>
          <w:p w14:paraId="1E436B3D" w14:textId="77777777" w:rsidR="003B629C" w:rsidRDefault="00000000">
            <w:pPr>
              <w:spacing w:after="0" w:line="259" w:lineRule="auto"/>
              <w:ind w:left="0" w:firstLine="0"/>
              <w:jc w:val="left"/>
            </w:pPr>
            <w:r>
              <w:rPr>
                <w:b/>
              </w:rPr>
              <w:t xml:space="preserve">Value (2027) </w:t>
            </w:r>
          </w:p>
          <w:p w14:paraId="1B75D49C" w14:textId="77777777" w:rsidR="003B629C" w:rsidRDefault="00000000">
            <w:pPr>
              <w:spacing w:after="0" w:line="259" w:lineRule="auto"/>
              <w:ind w:left="0" w:firstLine="0"/>
              <w:jc w:val="left"/>
            </w:pPr>
            <w:r>
              <w:rPr>
                <w:b/>
              </w:rPr>
              <w:t>(%)</w:t>
            </w:r>
            <w:r>
              <w:t xml:space="preserve"> </w:t>
            </w:r>
          </w:p>
        </w:tc>
      </w:tr>
      <w:tr w:rsidR="003B629C" w14:paraId="22F2A705" w14:textId="77777777">
        <w:trPr>
          <w:trHeight w:val="490"/>
        </w:trPr>
        <w:tc>
          <w:tcPr>
            <w:tcW w:w="1940" w:type="dxa"/>
            <w:tcBorders>
              <w:top w:val="single" w:sz="4" w:space="0" w:color="000000"/>
              <w:left w:val="single" w:sz="4" w:space="0" w:color="000000"/>
              <w:bottom w:val="single" w:sz="4" w:space="0" w:color="000000"/>
              <w:right w:val="single" w:sz="4" w:space="0" w:color="000000"/>
            </w:tcBorders>
            <w:vAlign w:val="center"/>
          </w:tcPr>
          <w:p w14:paraId="0DB9BE1F" w14:textId="77777777" w:rsidR="003B629C" w:rsidRDefault="00000000">
            <w:pPr>
              <w:spacing w:after="0" w:line="259" w:lineRule="auto"/>
              <w:ind w:left="0" w:firstLine="0"/>
              <w:jc w:val="left"/>
            </w:pPr>
            <w:r>
              <w:rPr>
                <w:b/>
              </w:rPr>
              <w:t>Services Fund</w:t>
            </w:r>
            <w:r>
              <w:t xml:space="preserve"> </w:t>
            </w:r>
          </w:p>
        </w:tc>
        <w:tc>
          <w:tcPr>
            <w:tcW w:w="1796" w:type="dxa"/>
            <w:tcBorders>
              <w:top w:val="single" w:sz="4" w:space="0" w:color="000000"/>
              <w:left w:val="single" w:sz="4" w:space="0" w:color="000000"/>
              <w:bottom w:val="single" w:sz="4" w:space="0" w:color="000000"/>
              <w:right w:val="single" w:sz="4" w:space="0" w:color="000000"/>
            </w:tcBorders>
            <w:vAlign w:val="center"/>
          </w:tcPr>
          <w:p w14:paraId="29BF75E4" w14:textId="77777777" w:rsidR="003B629C" w:rsidRDefault="00000000">
            <w:pPr>
              <w:spacing w:after="0" w:line="259" w:lineRule="auto"/>
              <w:ind w:left="0" w:firstLine="0"/>
              <w:jc w:val="left"/>
            </w:pPr>
            <w:r>
              <w:t xml:space="preserve">36.23 </w:t>
            </w:r>
          </w:p>
        </w:tc>
        <w:tc>
          <w:tcPr>
            <w:tcW w:w="1777" w:type="dxa"/>
            <w:tcBorders>
              <w:top w:val="single" w:sz="4" w:space="0" w:color="000000"/>
              <w:left w:val="single" w:sz="4" w:space="0" w:color="000000"/>
              <w:bottom w:val="single" w:sz="4" w:space="0" w:color="000000"/>
              <w:right w:val="single" w:sz="4" w:space="0" w:color="000000"/>
            </w:tcBorders>
            <w:vAlign w:val="center"/>
          </w:tcPr>
          <w:p w14:paraId="311A825F" w14:textId="77777777" w:rsidR="003B629C" w:rsidRDefault="00000000">
            <w:pPr>
              <w:spacing w:after="0" w:line="259" w:lineRule="auto"/>
              <w:ind w:left="0" w:firstLine="0"/>
              <w:jc w:val="left"/>
            </w:pPr>
            <w:r>
              <w:t xml:space="preserve">33.46 </w:t>
            </w:r>
          </w:p>
        </w:tc>
        <w:tc>
          <w:tcPr>
            <w:tcW w:w="1767" w:type="dxa"/>
            <w:tcBorders>
              <w:top w:val="single" w:sz="4" w:space="0" w:color="000000"/>
              <w:left w:val="single" w:sz="4" w:space="0" w:color="000000"/>
              <w:bottom w:val="single" w:sz="4" w:space="0" w:color="000000"/>
              <w:right w:val="single" w:sz="4" w:space="0" w:color="000000"/>
            </w:tcBorders>
            <w:vAlign w:val="center"/>
          </w:tcPr>
          <w:p w14:paraId="6108487B" w14:textId="77777777" w:rsidR="003B629C" w:rsidRDefault="00000000">
            <w:pPr>
              <w:spacing w:after="0" w:line="259" w:lineRule="auto"/>
              <w:ind w:left="0" w:firstLine="0"/>
              <w:jc w:val="left"/>
            </w:pPr>
            <w:r>
              <w:t xml:space="preserve">-1.58% </w:t>
            </w:r>
          </w:p>
        </w:tc>
        <w:tc>
          <w:tcPr>
            <w:tcW w:w="1800" w:type="dxa"/>
            <w:tcBorders>
              <w:top w:val="single" w:sz="4" w:space="0" w:color="000000"/>
              <w:left w:val="single" w:sz="4" w:space="0" w:color="000000"/>
              <w:bottom w:val="single" w:sz="4" w:space="0" w:color="000000"/>
              <w:right w:val="single" w:sz="4" w:space="0" w:color="000000"/>
            </w:tcBorders>
            <w:vAlign w:val="center"/>
          </w:tcPr>
          <w:p w14:paraId="15D18BF3" w14:textId="77777777" w:rsidR="003B629C" w:rsidRDefault="00000000">
            <w:pPr>
              <w:spacing w:after="0" w:line="259" w:lineRule="auto"/>
              <w:ind w:left="0" w:firstLine="0"/>
              <w:jc w:val="left"/>
            </w:pPr>
            <w:r>
              <w:t xml:space="preserve">32.41 </w:t>
            </w:r>
          </w:p>
        </w:tc>
      </w:tr>
      <w:tr w:rsidR="003B629C" w14:paraId="0B1A22B5" w14:textId="77777777">
        <w:trPr>
          <w:trHeight w:val="716"/>
        </w:trPr>
        <w:tc>
          <w:tcPr>
            <w:tcW w:w="1940" w:type="dxa"/>
            <w:tcBorders>
              <w:top w:val="single" w:sz="4" w:space="0" w:color="000000"/>
              <w:left w:val="single" w:sz="4" w:space="0" w:color="000000"/>
              <w:bottom w:val="single" w:sz="4" w:space="0" w:color="000000"/>
              <w:right w:val="single" w:sz="4" w:space="0" w:color="000000"/>
            </w:tcBorders>
          </w:tcPr>
          <w:p w14:paraId="51FE3811" w14:textId="77777777" w:rsidR="003B629C" w:rsidRDefault="00000000">
            <w:pPr>
              <w:spacing w:after="0" w:line="259" w:lineRule="auto"/>
              <w:ind w:left="0" w:firstLine="0"/>
              <w:jc w:val="left"/>
            </w:pPr>
            <w:r>
              <w:rPr>
                <w:b/>
              </w:rPr>
              <w:t xml:space="preserve">Infrastructure </w:t>
            </w:r>
          </w:p>
          <w:p w14:paraId="20B9C86F" w14:textId="77777777" w:rsidR="003B629C" w:rsidRDefault="00000000">
            <w:pPr>
              <w:spacing w:after="0" w:line="259" w:lineRule="auto"/>
              <w:ind w:left="0" w:firstLine="0"/>
              <w:jc w:val="left"/>
            </w:pPr>
            <w:r>
              <w:rPr>
                <w:b/>
              </w:rPr>
              <w:t>Fund</w:t>
            </w:r>
            <w:r>
              <w:t xml:space="preserve"> </w:t>
            </w:r>
          </w:p>
        </w:tc>
        <w:tc>
          <w:tcPr>
            <w:tcW w:w="1796" w:type="dxa"/>
            <w:tcBorders>
              <w:top w:val="single" w:sz="4" w:space="0" w:color="000000"/>
              <w:left w:val="single" w:sz="4" w:space="0" w:color="000000"/>
              <w:bottom w:val="single" w:sz="4" w:space="0" w:color="000000"/>
              <w:right w:val="single" w:sz="4" w:space="0" w:color="000000"/>
            </w:tcBorders>
            <w:vAlign w:val="center"/>
          </w:tcPr>
          <w:p w14:paraId="124AFF27" w14:textId="77777777" w:rsidR="003B629C" w:rsidRDefault="00000000">
            <w:pPr>
              <w:spacing w:after="0" w:line="259" w:lineRule="auto"/>
              <w:ind w:left="0" w:firstLine="0"/>
              <w:jc w:val="left"/>
            </w:pPr>
            <w:r>
              <w:t xml:space="preserve">34.27 </w:t>
            </w:r>
          </w:p>
        </w:tc>
        <w:tc>
          <w:tcPr>
            <w:tcW w:w="1777" w:type="dxa"/>
            <w:tcBorders>
              <w:top w:val="single" w:sz="4" w:space="0" w:color="000000"/>
              <w:left w:val="single" w:sz="4" w:space="0" w:color="000000"/>
              <w:bottom w:val="single" w:sz="4" w:space="0" w:color="000000"/>
              <w:right w:val="single" w:sz="4" w:space="0" w:color="000000"/>
            </w:tcBorders>
            <w:vAlign w:val="center"/>
          </w:tcPr>
          <w:p w14:paraId="622B30D1" w14:textId="77777777" w:rsidR="003B629C" w:rsidRDefault="00000000">
            <w:pPr>
              <w:spacing w:after="0" w:line="259" w:lineRule="auto"/>
              <w:ind w:left="0" w:firstLine="0"/>
              <w:jc w:val="left"/>
            </w:pPr>
            <w:r>
              <w:t xml:space="preserve">87.50 </w:t>
            </w:r>
          </w:p>
        </w:tc>
        <w:tc>
          <w:tcPr>
            <w:tcW w:w="1767" w:type="dxa"/>
            <w:tcBorders>
              <w:top w:val="single" w:sz="4" w:space="0" w:color="000000"/>
              <w:left w:val="single" w:sz="4" w:space="0" w:color="000000"/>
              <w:bottom w:val="single" w:sz="4" w:space="0" w:color="000000"/>
              <w:right w:val="single" w:sz="4" w:space="0" w:color="000000"/>
            </w:tcBorders>
            <w:vAlign w:val="center"/>
          </w:tcPr>
          <w:p w14:paraId="2DFC9DDD" w14:textId="77777777" w:rsidR="003B629C" w:rsidRDefault="00000000">
            <w:pPr>
              <w:spacing w:after="0" w:line="259" w:lineRule="auto"/>
              <w:ind w:left="0" w:firstLine="0"/>
              <w:jc w:val="left"/>
            </w:pPr>
            <w:r>
              <w:t xml:space="preserve">20.62 </w:t>
            </w:r>
          </w:p>
        </w:tc>
        <w:tc>
          <w:tcPr>
            <w:tcW w:w="1800" w:type="dxa"/>
            <w:tcBorders>
              <w:top w:val="single" w:sz="4" w:space="0" w:color="000000"/>
              <w:left w:val="single" w:sz="4" w:space="0" w:color="000000"/>
              <w:bottom w:val="single" w:sz="4" w:space="0" w:color="000000"/>
              <w:right w:val="single" w:sz="4" w:space="0" w:color="000000"/>
            </w:tcBorders>
            <w:vAlign w:val="center"/>
          </w:tcPr>
          <w:p w14:paraId="4F40FC41" w14:textId="77777777" w:rsidR="003B629C" w:rsidRDefault="00000000">
            <w:pPr>
              <w:spacing w:after="0" w:line="259" w:lineRule="auto"/>
              <w:ind w:left="0" w:firstLine="0"/>
              <w:jc w:val="left"/>
            </w:pPr>
            <w:r>
              <w:t xml:space="preserve">127.31 </w:t>
            </w:r>
          </w:p>
        </w:tc>
      </w:tr>
      <w:tr w:rsidR="003B629C" w14:paraId="0AA34892" w14:textId="77777777">
        <w:trPr>
          <w:trHeight w:val="725"/>
        </w:trPr>
        <w:tc>
          <w:tcPr>
            <w:tcW w:w="1940" w:type="dxa"/>
            <w:tcBorders>
              <w:top w:val="single" w:sz="4" w:space="0" w:color="000000"/>
              <w:left w:val="single" w:sz="4" w:space="0" w:color="000000"/>
              <w:bottom w:val="single" w:sz="4" w:space="0" w:color="000000"/>
              <w:right w:val="single" w:sz="4" w:space="0" w:color="000000"/>
            </w:tcBorders>
          </w:tcPr>
          <w:p w14:paraId="04B22C1C" w14:textId="77777777" w:rsidR="003B629C" w:rsidRDefault="00000000">
            <w:pPr>
              <w:spacing w:after="0" w:line="259" w:lineRule="auto"/>
              <w:ind w:left="0" w:firstLine="0"/>
              <w:jc w:val="left"/>
            </w:pPr>
            <w:r>
              <w:rPr>
                <w:b/>
              </w:rPr>
              <w:t>Consumption Fund</w:t>
            </w:r>
            <w:r>
              <w:t xml:space="preserve"> </w:t>
            </w:r>
          </w:p>
        </w:tc>
        <w:tc>
          <w:tcPr>
            <w:tcW w:w="1796" w:type="dxa"/>
            <w:tcBorders>
              <w:top w:val="single" w:sz="4" w:space="0" w:color="000000"/>
              <w:left w:val="single" w:sz="4" w:space="0" w:color="000000"/>
              <w:bottom w:val="single" w:sz="4" w:space="0" w:color="000000"/>
              <w:right w:val="single" w:sz="4" w:space="0" w:color="000000"/>
            </w:tcBorders>
            <w:vAlign w:val="center"/>
          </w:tcPr>
          <w:p w14:paraId="4252E40C" w14:textId="77777777" w:rsidR="003B629C" w:rsidRDefault="00000000">
            <w:pPr>
              <w:spacing w:after="0" w:line="259" w:lineRule="auto"/>
              <w:ind w:left="0" w:firstLine="0"/>
              <w:jc w:val="left"/>
            </w:pPr>
            <w:r>
              <w:t xml:space="preserve">46.68 </w:t>
            </w:r>
          </w:p>
        </w:tc>
        <w:tc>
          <w:tcPr>
            <w:tcW w:w="1777" w:type="dxa"/>
            <w:tcBorders>
              <w:top w:val="single" w:sz="4" w:space="0" w:color="000000"/>
              <w:left w:val="single" w:sz="4" w:space="0" w:color="000000"/>
              <w:bottom w:val="single" w:sz="4" w:space="0" w:color="000000"/>
              <w:right w:val="single" w:sz="4" w:space="0" w:color="000000"/>
            </w:tcBorders>
            <w:vAlign w:val="center"/>
          </w:tcPr>
          <w:p w14:paraId="01036AD8" w14:textId="77777777" w:rsidR="003B629C" w:rsidRDefault="00000000">
            <w:pPr>
              <w:spacing w:after="0" w:line="259" w:lineRule="auto"/>
              <w:ind w:left="0" w:firstLine="0"/>
              <w:jc w:val="left"/>
            </w:pPr>
            <w:r>
              <w:t xml:space="preserve">99.54 </w:t>
            </w:r>
          </w:p>
        </w:tc>
        <w:tc>
          <w:tcPr>
            <w:tcW w:w="1767" w:type="dxa"/>
            <w:tcBorders>
              <w:top w:val="single" w:sz="4" w:space="0" w:color="000000"/>
              <w:left w:val="single" w:sz="4" w:space="0" w:color="000000"/>
              <w:bottom w:val="single" w:sz="4" w:space="0" w:color="000000"/>
              <w:right w:val="single" w:sz="4" w:space="0" w:color="000000"/>
            </w:tcBorders>
            <w:vAlign w:val="center"/>
          </w:tcPr>
          <w:p w14:paraId="7B2682B5" w14:textId="77777777" w:rsidR="003B629C" w:rsidRDefault="00000000">
            <w:pPr>
              <w:spacing w:after="0" w:line="259" w:lineRule="auto"/>
              <w:ind w:left="0" w:firstLine="0"/>
              <w:jc w:val="left"/>
            </w:pPr>
            <w:r>
              <w:t xml:space="preserve">16.35 </w:t>
            </w:r>
          </w:p>
        </w:tc>
        <w:tc>
          <w:tcPr>
            <w:tcW w:w="1800" w:type="dxa"/>
            <w:tcBorders>
              <w:top w:val="single" w:sz="4" w:space="0" w:color="000000"/>
              <w:left w:val="single" w:sz="4" w:space="0" w:color="000000"/>
              <w:bottom w:val="single" w:sz="4" w:space="0" w:color="000000"/>
              <w:right w:val="single" w:sz="4" w:space="0" w:color="000000"/>
            </w:tcBorders>
            <w:vAlign w:val="center"/>
          </w:tcPr>
          <w:p w14:paraId="0F715A56" w14:textId="77777777" w:rsidR="003B629C" w:rsidRDefault="00000000">
            <w:pPr>
              <w:spacing w:after="0" w:line="259" w:lineRule="auto"/>
              <w:ind w:left="0" w:firstLine="0"/>
              <w:jc w:val="left"/>
            </w:pPr>
            <w:r>
              <w:t xml:space="preserve">134.75 </w:t>
            </w:r>
          </w:p>
        </w:tc>
      </w:tr>
      <w:tr w:rsidR="003B629C" w14:paraId="5AA692A7" w14:textId="77777777">
        <w:trPr>
          <w:trHeight w:val="716"/>
        </w:trPr>
        <w:tc>
          <w:tcPr>
            <w:tcW w:w="1940" w:type="dxa"/>
            <w:tcBorders>
              <w:top w:val="single" w:sz="4" w:space="0" w:color="000000"/>
              <w:left w:val="single" w:sz="4" w:space="0" w:color="000000"/>
              <w:bottom w:val="single" w:sz="4" w:space="0" w:color="000000"/>
              <w:right w:val="single" w:sz="4" w:space="0" w:color="000000"/>
            </w:tcBorders>
          </w:tcPr>
          <w:p w14:paraId="3523CCC6" w14:textId="77777777" w:rsidR="003B629C" w:rsidRDefault="00000000">
            <w:pPr>
              <w:spacing w:after="0" w:line="259" w:lineRule="auto"/>
              <w:ind w:left="0" w:firstLine="0"/>
              <w:jc w:val="left"/>
            </w:pPr>
            <w:r>
              <w:rPr>
                <w:b/>
              </w:rPr>
              <w:t xml:space="preserve">Financial </w:t>
            </w:r>
          </w:p>
          <w:p w14:paraId="3973A990" w14:textId="77777777" w:rsidR="003B629C" w:rsidRDefault="00000000">
            <w:pPr>
              <w:spacing w:after="0" w:line="259" w:lineRule="auto"/>
              <w:ind w:left="0" w:firstLine="0"/>
              <w:jc w:val="left"/>
            </w:pPr>
            <w:r>
              <w:rPr>
                <w:b/>
              </w:rPr>
              <w:t>Services Fund</w:t>
            </w:r>
            <w:r>
              <w:t xml:space="preserve"> </w:t>
            </w:r>
          </w:p>
        </w:tc>
        <w:tc>
          <w:tcPr>
            <w:tcW w:w="1796" w:type="dxa"/>
            <w:tcBorders>
              <w:top w:val="single" w:sz="4" w:space="0" w:color="000000"/>
              <w:left w:val="single" w:sz="4" w:space="0" w:color="000000"/>
              <w:bottom w:val="single" w:sz="4" w:space="0" w:color="000000"/>
              <w:right w:val="single" w:sz="4" w:space="0" w:color="000000"/>
            </w:tcBorders>
            <w:vAlign w:val="center"/>
          </w:tcPr>
          <w:p w14:paraId="253CC6CA" w14:textId="77777777" w:rsidR="003B629C" w:rsidRDefault="00000000">
            <w:pPr>
              <w:spacing w:after="0" w:line="259" w:lineRule="auto"/>
              <w:ind w:left="0" w:firstLine="0"/>
              <w:jc w:val="left"/>
            </w:pPr>
            <w:r>
              <w:t xml:space="preserve">50.51 </w:t>
            </w:r>
          </w:p>
        </w:tc>
        <w:tc>
          <w:tcPr>
            <w:tcW w:w="1777" w:type="dxa"/>
            <w:tcBorders>
              <w:top w:val="single" w:sz="4" w:space="0" w:color="000000"/>
              <w:left w:val="single" w:sz="4" w:space="0" w:color="000000"/>
              <w:bottom w:val="single" w:sz="4" w:space="0" w:color="000000"/>
              <w:right w:val="single" w:sz="4" w:space="0" w:color="000000"/>
            </w:tcBorders>
            <w:vAlign w:val="center"/>
          </w:tcPr>
          <w:p w14:paraId="27A3062E" w14:textId="77777777" w:rsidR="003B629C" w:rsidRDefault="00000000">
            <w:pPr>
              <w:spacing w:after="0" w:line="259" w:lineRule="auto"/>
              <w:ind w:left="0" w:firstLine="0"/>
              <w:jc w:val="left"/>
            </w:pPr>
            <w:r>
              <w:t xml:space="preserve">102.75 </w:t>
            </w:r>
          </w:p>
        </w:tc>
        <w:tc>
          <w:tcPr>
            <w:tcW w:w="1767" w:type="dxa"/>
            <w:tcBorders>
              <w:top w:val="single" w:sz="4" w:space="0" w:color="000000"/>
              <w:left w:val="single" w:sz="4" w:space="0" w:color="000000"/>
              <w:bottom w:val="single" w:sz="4" w:space="0" w:color="000000"/>
              <w:right w:val="single" w:sz="4" w:space="0" w:color="000000"/>
            </w:tcBorders>
            <w:vAlign w:val="center"/>
          </w:tcPr>
          <w:p w14:paraId="3430E189" w14:textId="77777777" w:rsidR="003B629C" w:rsidRDefault="00000000">
            <w:pPr>
              <w:spacing w:after="0" w:line="259" w:lineRule="auto"/>
              <w:ind w:left="0" w:firstLine="0"/>
              <w:jc w:val="left"/>
            </w:pPr>
            <w:r>
              <w:t xml:space="preserve">15.26 </w:t>
            </w:r>
          </w:p>
        </w:tc>
        <w:tc>
          <w:tcPr>
            <w:tcW w:w="1800" w:type="dxa"/>
            <w:tcBorders>
              <w:top w:val="single" w:sz="4" w:space="0" w:color="000000"/>
              <w:left w:val="single" w:sz="4" w:space="0" w:color="000000"/>
              <w:bottom w:val="single" w:sz="4" w:space="0" w:color="000000"/>
              <w:right w:val="single" w:sz="4" w:space="0" w:color="000000"/>
            </w:tcBorders>
            <w:vAlign w:val="center"/>
          </w:tcPr>
          <w:p w14:paraId="524921E8" w14:textId="77777777" w:rsidR="003B629C" w:rsidRDefault="00000000">
            <w:pPr>
              <w:spacing w:after="0" w:line="259" w:lineRule="auto"/>
              <w:ind w:left="0" w:firstLine="0"/>
              <w:jc w:val="left"/>
            </w:pPr>
            <w:r>
              <w:t xml:space="preserve">136.50 </w:t>
            </w:r>
          </w:p>
        </w:tc>
      </w:tr>
    </w:tbl>
    <w:p w14:paraId="4354F48C" w14:textId="77777777" w:rsidR="003B629C" w:rsidRDefault="00000000">
      <w:pPr>
        <w:spacing w:after="396" w:line="259" w:lineRule="auto"/>
        <w:ind w:left="129"/>
      </w:pPr>
      <w:r>
        <w:t xml:space="preserve">Source: NAV as on date February 13 2025  </w:t>
      </w:r>
    </w:p>
    <w:p w14:paraId="2D367D92" w14:textId="77777777" w:rsidR="003B629C" w:rsidRDefault="00000000">
      <w:pPr>
        <w:ind w:left="129"/>
      </w:pPr>
      <w:r>
        <w:t xml:space="preserve">The Infrastructure Fund achieved the highest CAGR of 20.62%, showing strong growth and is forecasted to reach ₹127.31 by 2027. The Consumption Fund followed with a 16.35% CAGR, also showing consistent performance. The Financial Services Fund had a steady CAGR of 15.26%, with the highest forecasted NAV of ₹136.50. In contrast, the Services Fund showed a negative CAGR of -1.58%, indicating a decline in value over the period, making it less </w:t>
      </w:r>
      <w:proofErr w:type="spellStart"/>
      <w:r>
        <w:t>favorable</w:t>
      </w:r>
      <w:proofErr w:type="spellEnd"/>
      <w:r>
        <w:t xml:space="preserve"> for </w:t>
      </w:r>
      <w:proofErr w:type="spellStart"/>
      <w:r>
        <w:t>longterm</w:t>
      </w:r>
      <w:proofErr w:type="spellEnd"/>
      <w:r>
        <w:t xml:space="preserve"> SIPs </w:t>
      </w:r>
    </w:p>
    <w:p w14:paraId="1E7C144C" w14:textId="77777777" w:rsidR="003B629C" w:rsidRDefault="00000000">
      <w:pPr>
        <w:spacing w:after="0" w:line="259" w:lineRule="auto"/>
        <w:ind w:left="134" w:firstLine="0"/>
        <w:jc w:val="left"/>
      </w:pPr>
      <w:r>
        <w:rPr>
          <w:rFonts w:ascii="Calibri" w:eastAsia="Calibri" w:hAnsi="Calibri" w:cs="Calibri"/>
          <w:b/>
          <w:sz w:val="22"/>
        </w:rPr>
        <w:t xml:space="preserve"> </w:t>
      </w:r>
      <w:r>
        <w:rPr>
          <w:rFonts w:ascii="Calibri" w:eastAsia="Calibri" w:hAnsi="Calibri" w:cs="Calibri"/>
          <w:b/>
          <w:sz w:val="22"/>
        </w:rPr>
        <w:tab/>
      </w:r>
      <w:r>
        <w:rPr>
          <w:b/>
        </w:rPr>
        <w:t xml:space="preserve"> </w:t>
      </w:r>
    </w:p>
    <w:p w14:paraId="19235B50" w14:textId="77777777" w:rsidR="003B629C" w:rsidRDefault="00000000">
      <w:pPr>
        <w:spacing w:after="127" w:line="260" w:lineRule="auto"/>
        <w:ind w:left="129" w:right="5169"/>
        <w:jc w:val="left"/>
      </w:pPr>
      <w:r>
        <w:rPr>
          <w:b/>
        </w:rPr>
        <w:t>Trend Analysis &amp; Forecasting:</w:t>
      </w:r>
      <w:r>
        <w:t xml:space="preserve">  </w:t>
      </w:r>
    </w:p>
    <w:tbl>
      <w:tblPr>
        <w:tblStyle w:val="TableGrid"/>
        <w:tblW w:w="9772" w:type="dxa"/>
        <w:tblInd w:w="139" w:type="dxa"/>
        <w:tblCellMar>
          <w:top w:w="7" w:type="dxa"/>
          <w:left w:w="106" w:type="dxa"/>
          <w:right w:w="76" w:type="dxa"/>
        </w:tblCellMar>
        <w:tblLook w:val="04A0" w:firstRow="1" w:lastRow="0" w:firstColumn="1" w:lastColumn="0" w:noHBand="0" w:noVBand="1"/>
      </w:tblPr>
      <w:tblGrid>
        <w:gridCol w:w="3102"/>
        <w:gridCol w:w="1498"/>
        <w:gridCol w:w="1906"/>
        <w:gridCol w:w="1633"/>
        <w:gridCol w:w="1633"/>
      </w:tblGrid>
      <w:tr w:rsidR="003B629C" w14:paraId="0A940DE9" w14:textId="77777777">
        <w:trPr>
          <w:trHeight w:val="1249"/>
        </w:trPr>
        <w:tc>
          <w:tcPr>
            <w:tcW w:w="3102" w:type="dxa"/>
            <w:tcBorders>
              <w:top w:val="single" w:sz="4" w:space="0" w:color="000000"/>
              <w:left w:val="single" w:sz="4" w:space="0" w:color="000000"/>
              <w:bottom w:val="single" w:sz="4" w:space="0" w:color="000000"/>
              <w:right w:val="single" w:sz="4" w:space="0" w:color="000000"/>
            </w:tcBorders>
          </w:tcPr>
          <w:p w14:paraId="7C72CC46" w14:textId="77777777" w:rsidR="003B629C" w:rsidRDefault="00000000">
            <w:pPr>
              <w:spacing w:after="0" w:line="259" w:lineRule="auto"/>
              <w:ind w:left="5" w:firstLine="0"/>
              <w:jc w:val="left"/>
            </w:pPr>
            <w:r>
              <w:rPr>
                <w:b/>
              </w:rPr>
              <w:t>Year</w:t>
            </w:r>
            <w: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5B138CD1" w14:textId="77777777" w:rsidR="003B629C" w:rsidRDefault="00000000">
            <w:pPr>
              <w:spacing w:after="112" w:line="259" w:lineRule="auto"/>
              <w:ind w:left="0" w:firstLine="0"/>
              <w:jc w:val="left"/>
            </w:pPr>
            <w:r>
              <w:rPr>
                <w:b/>
              </w:rPr>
              <w:t xml:space="preserve">Services </w:t>
            </w:r>
          </w:p>
          <w:p w14:paraId="180E23A4" w14:textId="77777777" w:rsidR="003B629C" w:rsidRDefault="00000000">
            <w:pPr>
              <w:spacing w:after="0" w:line="259" w:lineRule="auto"/>
              <w:ind w:left="0" w:firstLine="0"/>
              <w:jc w:val="left"/>
            </w:pPr>
            <w:r>
              <w:rPr>
                <w:b/>
              </w:rPr>
              <w:t>Fund (%)</w:t>
            </w:r>
            <w: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717A0BC3" w14:textId="77777777" w:rsidR="003B629C" w:rsidRDefault="00000000">
            <w:pPr>
              <w:spacing w:after="112" w:line="259" w:lineRule="auto"/>
              <w:ind w:left="0" w:firstLine="0"/>
              <w:jc w:val="left"/>
            </w:pPr>
            <w:r>
              <w:rPr>
                <w:b/>
              </w:rPr>
              <w:t xml:space="preserve">Infrastructure </w:t>
            </w:r>
          </w:p>
          <w:p w14:paraId="72223917" w14:textId="77777777" w:rsidR="003B629C" w:rsidRDefault="00000000">
            <w:pPr>
              <w:spacing w:after="0" w:line="259" w:lineRule="auto"/>
              <w:ind w:left="0" w:firstLine="0"/>
              <w:jc w:val="left"/>
            </w:pPr>
            <w:r>
              <w:rPr>
                <w:b/>
              </w:rPr>
              <w:t>Fund (%)</w:t>
            </w:r>
            <w:r>
              <w:t xml:space="preserve"> </w:t>
            </w:r>
          </w:p>
        </w:tc>
        <w:tc>
          <w:tcPr>
            <w:tcW w:w="1633" w:type="dxa"/>
            <w:tcBorders>
              <w:top w:val="single" w:sz="4" w:space="0" w:color="000000"/>
              <w:left w:val="single" w:sz="4" w:space="0" w:color="000000"/>
              <w:bottom w:val="single" w:sz="4" w:space="0" w:color="000000"/>
              <w:right w:val="single" w:sz="4" w:space="0" w:color="000000"/>
            </w:tcBorders>
          </w:tcPr>
          <w:p w14:paraId="25F50DEF" w14:textId="77777777" w:rsidR="003B629C" w:rsidRDefault="00000000">
            <w:pPr>
              <w:spacing w:after="112" w:line="259" w:lineRule="auto"/>
              <w:ind w:left="5" w:firstLine="0"/>
            </w:pPr>
            <w:r>
              <w:rPr>
                <w:b/>
              </w:rPr>
              <w:t xml:space="preserve">Consumption </w:t>
            </w:r>
          </w:p>
          <w:p w14:paraId="452456ED" w14:textId="77777777" w:rsidR="003B629C" w:rsidRDefault="00000000">
            <w:pPr>
              <w:spacing w:after="0" w:line="259" w:lineRule="auto"/>
              <w:ind w:left="5" w:firstLine="0"/>
              <w:jc w:val="left"/>
            </w:pPr>
            <w:r>
              <w:rPr>
                <w:b/>
              </w:rPr>
              <w:t>Fund (%)</w:t>
            </w:r>
            <w:r>
              <w:t xml:space="preserve"> </w:t>
            </w:r>
          </w:p>
        </w:tc>
        <w:tc>
          <w:tcPr>
            <w:tcW w:w="1633" w:type="dxa"/>
            <w:tcBorders>
              <w:top w:val="single" w:sz="4" w:space="0" w:color="000000"/>
              <w:left w:val="single" w:sz="4" w:space="0" w:color="000000"/>
              <w:bottom w:val="single" w:sz="4" w:space="0" w:color="000000"/>
              <w:right w:val="single" w:sz="4" w:space="0" w:color="000000"/>
            </w:tcBorders>
          </w:tcPr>
          <w:p w14:paraId="1E27986B" w14:textId="77777777" w:rsidR="003B629C" w:rsidRDefault="00000000">
            <w:pPr>
              <w:spacing w:after="113" w:line="259" w:lineRule="auto"/>
              <w:ind w:left="5" w:firstLine="0"/>
              <w:jc w:val="left"/>
            </w:pPr>
            <w:r>
              <w:rPr>
                <w:b/>
              </w:rPr>
              <w:t xml:space="preserve">Financial </w:t>
            </w:r>
          </w:p>
          <w:p w14:paraId="700EFDEF" w14:textId="77777777" w:rsidR="003B629C" w:rsidRDefault="00000000">
            <w:pPr>
              <w:spacing w:after="112" w:line="259" w:lineRule="auto"/>
              <w:ind w:left="5" w:firstLine="0"/>
              <w:jc w:val="left"/>
            </w:pPr>
            <w:r>
              <w:rPr>
                <w:b/>
              </w:rPr>
              <w:t xml:space="preserve">Services </w:t>
            </w:r>
          </w:p>
          <w:p w14:paraId="0A30BB74" w14:textId="77777777" w:rsidR="003B629C" w:rsidRDefault="00000000">
            <w:pPr>
              <w:spacing w:after="0" w:line="259" w:lineRule="auto"/>
              <w:ind w:left="5" w:firstLine="0"/>
              <w:jc w:val="left"/>
            </w:pPr>
            <w:r>
              <w:rPr>
                <w:b/>
              </w:rPr>
              <w:t>Fund (%)</w:t>
            </w:r>
            <w:r>
              <w:t xml:space="preserve"> </w:t>
            </w:r>
          </w:p>
        </w:tc>
      </w:tr>
      <w:tr w:rsidR="003B629C" w14:paraId="67773F07" w14:textId="77777777">
        <w:trPr>
          <w:trHeight w:val="427"/>
        </w:trPr>
        <w:tc>
          <w:tcPr>
            <w:tcW w:w="3102" w:type="dxa"/>
            <w:tcBorders>
              <w:top w:val="single" w:sz="4" w:space="0" w:color="000000"/>
              <w:left w:val="single" w:sz="4" w:space="0" w:color="000000"/>
              <w:bottom w:val="single" w:sz="4" w:space="0" w:color="000000"/>
              <w:right w:val="single" w:sz="4" w:space="0" w:color="000000"/>
            </w:tcBorders>
          </w:tcPr>
          <w:p w14:paraId="6CE66308" w14:textId="77777777" w:rsidR="003B629C" w:rsidRDefault="00000000">
            <w:pPr>
              <w:spacing w:after="0" w:line="259" w:lineRule="auto"/>
              <w:ind w:left="5" w:firstLine="0"/>
              <w:jc w:val="left"/>
            </w:pPr>
            <w:r>
              <w:t xml:space="preserve">2017 </w:t>
            </w:r>
          </w:p>
        </w:tc>
        <w:tc>
          <w:tcPr>
            <w:tcW w:w="1498" w:type="dxa"/>
            <w:tcBorders>
              <w:top w:val="single" w:sz="4" w:space="0" w:color="000000"/>
              <w:left w:val="single" w:sz="4" w:space="0" w:color="000000"/>
              <w:bottom w:val="single" w:sz="4" w:space="0" w:color="000000"/>
              <w:right w:val="single" w:sz="4" w:space="0" w:color="000000"/>
            </w:tcBorders>
          </w:tcPr>
          <w:p w14:paraId="5D721D5F" w14:textId="77777777" w:rsidR="003B629C" w:rsidRDefault="00000000">
            <w:pPr>
              <w:spacing w:after="0" w:line="259" w:lineRule="auto"/>
              <w:ind w:left="0" w:firstLine="0"/>
              <w:jc w:val="left"/>
            </w:pPr>
            <w:r>
              <w:t xml:space="preserve">10.5 </w:t>
            </w:r>
          </w:p>
        </w:tc>
        <w:tc>
          <w:tcPr>
            <w:tcW w:w="1906" w:type="dxa"/>
            <w:tcBorders>
              <w:top w:val="single" w:sz="4" w:space="0" w:color="000000"/>
              <w:left w:val="single" w:sz="4" w:space="0" w:color="000000"/>
              <w:bottom w:val="single" w:sz="4" w:space="0" w:color="000000"/>
              <w:right w:val="single" w:sz="4" w:space="0" w:color="000000"/>
            </w:tcBorders>
          </w:tcPr>
          <w:p w14:paraId="7DDD9BE7" w14:textId="77777777" w:rsidR="003B629C" w:rsidRDefault="00000000">
            <w:pPr>
              <w:spacing w:after="0" w:line="259" w:lineRule="auto"/>
              <w:ind w:left="0" w:firstLine="0"/>
              <w:jc w:val="left"/>
            </w:pPr>
            <w:r>
              <w:t xml:space="preserve">12.0 </w:t>
            </w:r>
          </w:p>
        </w:tc>
        <w:tc>
          <w:tcPr>
            <w:tcW w:w="1633" w:type="dxa"/>
            <w:tcBorders>
              <w:top w:val="single" w:sz="4" w:space="0" w:color="000000"/>
              <w:left w:val="single" w:sz="4" w:space="0" w:color="000000"/>
              <w:bottom w:val="single" w:sz="4" w:space="0" w:color="000000"/>
              <w:right w:val="single" w:sz="4" w:space="0" w:color="000000"/>
            </w:tcBorders>
          </w:tcPr>
          <w:p w14:paraId="39B2D751" w14:textId="77777777" w:rsidR="003B629C" w:rsidRDefault="00000000">
            <w:pPr>
              <w:spacing w:after="0" w:line="259" w:lineRule="auto"/>
              <w:ind w:left="5" w:firstLine="0"/>
              <w:jc w:val="left"/>
            </w:pPr>
            <w:r>
              <w:t xml:space="preserve">9.8 </w:t>
            </w:r>
          </w:p>
        </w:tc>
        <w:tc>
          <w:tcPr>
            <w:tcW w:w="1633" w:type="dxa"/>
            <w:tcBorders>
              <w:top w:val="single" w:sz="4" w:space="0" w:color="000000"/>
              <w:left w:val="single" w:sz="4" w:space="0" w:color="000000"/>
              <w:bottom w:val="single" w:sz="4" w:space="0" w:color="000000"/>
              <w:right w:val="single" w:sz="4" w:space="0" w:color="000000"/>
            </w:tcBorders>
          </w:tcPr>
          <w:p w14:paraId="1CFB1592" w14:textId="77777777" w:rsidR="003B629C" w:rsidRDefault="00000000">
            <w:pPr>
              <w:spacing w:after="0" w:line="259" w:lineRule="auto"/>
              <w:ind w:left="5" w:firstLine="0"/>
              <w:jc w:val="left"/>
            </w:pPr>
            <w:r>
              <w:t xml:space="preserve">11.2 </w:t>
            </w:r>
          </w:p>
        </w:tc>
      </w:tr>
      <w:tr w:rsidR="003B629C" w14:paraId="2ED7957F" w14:textId="77777777">
        <w:trPr>
          <w:trHeight w:val="423"/>
        </w:trPr>
        <w:tc>
          <w:tcPr>
            <w:tcW w:w="3102" w:type="dxa"/>
            <w:tcBorders>
              <w:top w:val="single" w:sz="4" w:space="0" w:color="000000"/>
              <w:left w:val="single" w:sz="4" w:space="0" w:color="000000"/>
              <w:bottom w:val="single" w:sz="4" w:space="0" w:color="000000"/>
              <w:right w:val="single" w:sz="4" w:space="0" w:color="000000"/>
            </w:tcBorders>
          </w:tcPr>
          <w:p w14:paraId="64B9EA33" w14:textId="77777777" w:rsidR="003B629C" w:rsidRDefault="00000000">
            <w:pPr>
              <w:spacing w:after="0" w:line="259" w:lineRule="auto"/>
              <w:ind w:left="5" w:firstLine="0"/>
              <w:jc w:val="left"/>
            </w:pPr>
            <w:r>
              <w:t xml:space="preserve">2018 </w:t>
            </w:r>
          </w:p>
        </w:tc>
        <w:tc>
          <w:tcPr>
            <w:tcW w:w="1498" w:type="dxa"/>
            <w:tcBorders>
              <w:top w:val="single" w:sz="4" w:space="0" w:color="000000"/>
              <w:left w:val="single" w:sz="4" w:space="0" w:color="000000"/>
              <w:bottom w:val="single" w:sz="4" w:space="0" w:color="000000"/>
              <w:right w:val="single" w:sz="4" w:space="0" w:color="000000"/>
            </w:tcBorders>
          </w:tcPr>
          <w:p w14:paraId="4B5A8DA1" w14:textId="77777777" w:rsidR="003B629C" w:rsidRDefault="00000000">
            <w:pPr>
              <w:spacing w:after="0" w:line="259" w:lineRule="auto"/>
              <w:ind w:left="0" w:firstLine="0"/>
              <w:jc w:val="left"/>
            </w:pPr>
            <w:r>
              <w:t xml:space="preserve">12.2 </w:t>
            </w:r>
          </w:p>
        </w:tc>
        <w:tc>
          <w:tcPr>
            <w:tcW w:w="1906" w:type="dxa"/>
            <w:tcBorders>
              <w:top w:val="single" w:sz="4" w:space="0" w:color="000000"/>
              <w:left w:val="single" w:sz="4" w:space="0" w:color="000000"/>
              <w:bottom w:val="single" w:sz="4" w:space="0" w:color="000000"/>
              <w:right w:val="single" w:sz="4" w:space="0" w:color="000000"/>
            </w:tcBorders>
          </w:tcPr>
          <w:p w14:paraId="6BF830ED" w14:textId="77777777" w:rsidR="003B629C" w:rsidRDefault="00000000">
            <w:pPr>
              <w:spacing w:after="0" w:line="259" w:lineRule="auto"/>
              <w:ind w:left="0" w:firstLine="0"/>
              <w:jc w:val="left"/>
            </w:pPr>
            <w:r>
              <w:t xml:space="preserve">14.6 </w:t>
            </w:r>
          </w:p>
        </w:tc>
        <w:tc>
          <w:tcPr>
            <w:tcW w:w="1633" w:type="dxa"/>
            <w:tcBorders>
              <w:top w:val="single" w:sz="4" w:space="0" w:color="000000"/>
              <w:left w:val="single" w:sz="4" w:space="0" w:color="000000"/>
              <w:bottom w:val="single" w:sz="4" w:space="0" w:color="000000"/>
              <w:right w:val="single" w:sz="4" w:space="0" w:color="000000"/>
            </w:tcBorders>
          </w:tcPr>
          <w:p w14:paraId="2B79F354" w14:textId="77777777" w:rsidR="003B629C" w:rsidRDefault="00000000">
            <w:pPr>
              <w:spacing w:after="0" w:line="259" w:lineRule="auto"/>
              <w:ind w:left="5" w:firstLine="0"/>
              <w:jc w:val="left"/>
            </w:pPr>
            <w:r>
              <w:t xml:space="preserve">11.1 </w:t>
            </w:r>
          </w:p>
        </w:tc>
        <w:tc>
          <w:tcPr>
            <w:tcW w:w="1633" w:type="dxa"/>
            <w:tcBorders>
              <w:top w:val="single" w:sz="4" w:space="0" w:color="000000"/>
              <w:left w:val="single" w:sz="4" w:space="0" w:color="000000"/>
              <w:bottom w:val="single" w:sz="4" w:space="0" w:color="000000"/>
              <w:right w:val="single" w:sz="4" w:space="0" w:color="000000"/>
            </w:tcBorders>
          </w:tcPr>
          <w:p w14:paraId="0078A17B" w14:textId="77777777" w:rsidR="003B629C" w:rsidRDefault="00000000">
            <w:pPr>
              <w:spacing w:after="0" w:line="259" w:lineRule="auto"/>
              <w:ind w:left="5" w:firstLine="0"/>
              <w:jc w:val="left"/>
            </w:pPr>
            <w:r>
              <w:t xml:space="preserve">13.4 </w:t>
            </w:r>
          </w:p>
        </w:tc>
      </w:tr>
      <w:tr w:rsidR="003B629C" w14:paraId="779F6768" w14:textId="77777777">
        <w:trPr>
          <w:trHeight w:val="422"/>
        </w:trPr>
        <w:tc>
          <w:tcPr>
            <w:tcW w:w="3102" w:type="dxa"/>
            <w:tcBorders>
              <w:top w:val="single" w:sz="4" w:space="0" w:color="000000"/>
              <w:left w:val="single" w:sz="4" w:space="0" w:color="000000"/>
              <w:bottom w:val="single" w:sz="4" w:space="0" w:color="000000"/>
              <w:right w:val="single" w:sz="4" w:space="0" w:color="000000"/>
            </w:tcBorders>
          </w:tcPr>
          <w:p w14:paraId="1F8EEA41" w14:textId="77777777" w:rsidR="003B629C" w:rsidRDefault="00000000">
            <w:pPr>
              <w:spacing w:after="0" w:line="259" w:lineRule="auto"/>
              <w:ind w:left="5" w:firstLine="0"/>
              <w:jc w:val="left"/>
            </w:pPr>
            <w:r>
              <w:t xml:space="preserve">2019 </w:t>
            </w:r>
          </w:p>
        </w:tc>
        <w:tc>
          <w:tcPr>
            <w:tcW w:w="1498" w:type="dxa"/>
            <w:tcBorders>
              <w:top w:val="single" w:sz="4" w:space="0" w:color="000000"/>
              <w:left w:val="single" w:sz="4" w:space="0" w:color="000000"/>
              <w:bottom w:val="single" w:sz="4" w:space="0" w:color="000000"/>
              <w:right w:val="single" w:sz="4" w:space="0" w:color="000000"/>
            </w:tcBorders>
          </w:tcPr>
          <w:p w14:paraId="48BD78AC" w14:textId="77777777" w:rsidR="003B629C" w:rsidRDefault="00000000">
            <w:pPr>
              <w:spacing w:after="0" w:line="259" w:lineRule="auto"/>
              <w:ind w:left="0" w:firstLine="0"/>
              <w:jc w:val="left"/>
            </w:pPr>
            <w:r>
              <w:t xml:space="preserve">14.8 </w:t>
            </w:r>
          </w:p>
        </w:tc>
        <w:tc>
          <w:tcPr>
            <w:tcW w:w="1906" w:type="dxa"/>
            <w:tcBorders>
              <w:top w:val="single" w:sz="4" w:space="0" w:color="000000"/>
              <w:left w:val="single" w:sz="4" w:space="0" w:color="000000"/>
              <w:bottom w:val="single" w:sz="4" w:space="0" w:color="000000"/>
              <w:right w:val="single" w:sz="4" w:space="0" w:color="000000"/>
            </w:tcBorders>
          </w:tcPr>
          <w:p w14:paraId="27CB3165" w14:textId="77777777" w:rsidR="003B629C" w:rsidRDefault="00000000">
            <w:pPr>
              <w:spacing w:after="0" w:line="259" w:lineRule="auto"/>
              <w:ind w:left="0" w:firstLine="0"/>
              <w:jc w:val="left"/>
            </w:pPr>
            <w:r>
              <w:t xml:space="preserve">17.8 </w:t>
            </w:r>
          </w:p>
        </w:tc>
        <w:tc>
          <w:tcPr>
            <w:tcW w:w="1633" w:type="dxa"/>
            <w:tcBorders>
              <w:top w:val="single" w:sz="4" w:space="0" w:color="000000"/>
              <w:left w:val="single" w:sz="4" w:space="0" w:color="000000"/>
              <w:bottom w:val="single" w:sz="4" w:space="0" w:color="000000"/>
              <w:right w:val="single" w:sz="4" w:space="0" w:color="000000"/>
            </w:tcBorders>
          </w:tcPr>
          <w:p w14:paraId="3932B5D3" w14:textId="77777777" w:rsidR="003B629C" w:rsidRDefault="00000000">
            <w:pPr>
              <w:spacing w:after="0" w:line="259" w:lineRule="auto"/>
              <w:ind w:left="5" w:firstLine="0"/>
              <w:jc w:val="left"/>
            </w:pPr>
            <w:r>
              <w:t xml:space="preserve">12.9 </w:t>
            </w:r>
          </w:p>
        </w:tc>
        <w:tc>
          <w:tcPr>
            <w:tcW w:w="1633" w:type="dxa"/>
            <w:tcBorders>
              <w:top w:val="single" w:sz="4" w:space="0" w:color="000000"/>
              <w:left w:val="single" w:sz="4" w:space="0" w:color="000000"/>
              <w:bottom w:val="single" w:sz="4" w:space="0" w:color="000000"/>
              <w:right w:val="single" w:sz="4" w:space="0" w:color="000000"/>
            </w:tcBorders>
          </w:tcPr>
          <w:p w14:paraId="69763A17" w14:textId="77777777" w:rsidR="003B629C" w:rsidRDefault="00000000">
            <w:pPr>
              <w:spacing w:after="0" w:line="259" w:lineRule="auto"/>
              <w:ind w:left="5" w:firstLine="0"/>
              <w:jc w:val="left"/>
            </w:pPr>
            <w:r>
              <w:t xml:space="preserve">15.9 </w:t>
            </w:r>
          </w:p>
        </w:tc>
      </w:tr>
      <w:tr w:rsidR="003B629C" w14:paraId="4C02ADF5" w14:textId="77777777">
        <w:trPr>
          <w:trHeight w:val="840"/>
        </w:trPr>
        <w:tc>
          <w:tcPr>
            <w:tcW w:w="3102" w:type="dxa"/>
            <w:tcBorders>
              <w:top w:val="single" w:sz="4" w:space="0" w:color="000000"/>
              <w:left w:val="single" w:sz="4" w:space="0" w:color="000000"/>
              <w:bottom w:val="single" w:sz="4" w:space="0" w:color="000000"/>
              <w:right w:val="single" w:sz="4" w:space="0" w:color="000000"/>
            </w:tcBorders>
          </w:tcPr>
          <w:p w14:paraId="394F05EE" w14:textId="77777777" w:rsidR="003B629C" w:rsidRDefault="00000000">
            <w:pPr>
              <w:spacing w:after="117" w:line="259" w:lineRule="auto"/>
              <w:ind w:left="5" w:firstLine="0"/>
              <w:jc w:val="left"/>
            </w:pPr>
            <w:r>
              <w:t>2020 (Bear Market - COVID-</w:t>
            </w:r>
          </w:p>
          <w:p w14:paraId="27A34CC3" w14:textId="77777777" w:rsidR="003B629C" w:rsidRDefault="00000000">
            <w:pPr>
              <w:spacing w:after="0" w:line="259" w:lineRule="auto"/>
              <w:ind w:left="5" w:firstLine="0"/>
              <w:jc w:val="left"/>
            </w:pPr>
            <w:r>
              <w:t xml:space="preserve">19 Crash) </w:t>
            </w:r>
          </w:p>
        </w:tc>
        <w:tc>
          <w:tcPr>
            <w:tcW w:w="1498" w:type="dxa"/>
            <w:tcBorders>
              <w:top w:val="single" w:sz="4" w:space="0" w:color="000000"/>
              <w:left w:val="single" w:sz="4" w:space="0" w:color="000000"/>
              <w:bottom w:val="single" w:sz="4" w:space="0" w:color="000000"/>
              <w:right w:val="single" w:sz="4" w:space="0" w:color="000000"/>
            </w:tcBorders>
          </w:tcPr>
          <w:p w14:paraId="3EC48B63" w14:textId="77777777" w:rsidR="003B629C" w:rsidRDefault="00000000">
            <w:pPr>
              <w:spacing w:after="0" w:line="259" w:lineRule="auto"/>
              <w:ind w:left="0" w:firstLine="0"/>
              <w:jc w:val="left"/>
            </w:pPr>
            <w:r>
              <w:rPr>
                <w:b/>
              </w:rPr>
              <w:t>-5.6</w:t>
            </w:r>
            <w: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152437CC" w14:textId="77777777" w:rsidR="003B629C" w:rsidRDefault="00000000">
            <w:pPr>
              <w:spacing w:after="0" w:line="259" w:lineRule="auto"/>
              <w:ind w:left="0" w:firstLine="0"/>
              <w:jc w:val="left"/>
            </w:pPr>
            <w:r>
              <w:rPr>
                <w:b/>
              </w:rPr>
              <w:t>-8.2</w:t>
            </w:r>
            <w:r>
              <w:t xml:space="preserve"> </w:t>
            </w:r>
          </w:p>
        </w:tc>
        <w:tc>
          <w:tcPr>
            <w:tcW w:w="1633" w:type="dxa"/>
            <w:tcBorders>
              <w:top w:val="single" w:sz="4" w:space="0" w:color="000000"/>
              <w:left w:val="single" w:sz="4" w:space="0" w:color="000000"/>
              <w:bottom w:val="single" w:sz="4" w:space="0" w:color="000000"/>
              <w:right w:val="single" w:sz="4" w:space="0" w:color="000000"/>
            </w:tcBorders>
          </w:tcPr>
          <w:p w14:paraId="297D56FE" w14:textId="77777777" w:rsidR="003B629C" w:rsidRDefault="00000000">
            <w:pPr>
              <w:spacing w:after="0" w:line="259" w:lineRule="auto"/>
              <w:ind w:left="5" w:firstLine="0"/>
              <w:jc w:val="left"/>
            </w:pPr>
            <w:r>
              <w:rPr>
                <w:b/>
              </w:rPr>
              <w:t>-4.7</w:t>
            </w:r>
            <w:r>
              <w:t xml:space="preserve"> </w:t>
            </w:r>
          </w:p>
        </w:tc>
        <w:tc>
          <w:tcPr>
            <w:tcW w:w="1633" w:type="dxa"/>
            <w:tcBorders>
              <w:top w:val="single" w:sz="4" w:space="0" w:color="000000"/>
              <w:left w:val="single" w:sz="4" w:space="0" w:color="000000"/>
              <w:bottom w:val="single" w:sz="4" w:space="0" w:color="000000"/>
              <w:right w:val="single" w:sz="4" w:space="0" w:color="000000"/>
            </w:tcBorders>
          </w:tcPr>
          <w:p w14:paraId="487F057F" w14:textId="77777777" w:rsidR="003B629C" w:rsidRDefault="00000000">
            <w:pPr>
              <w:spacing w:after="0" w:line="259" w:lineRule="auto"/>
              <w:ind w:left="5" w:firstLine="0"/>
              <w:jc w:val="left"/>
            </w:pPr>
            <w:r>
              <w:rPr>
                <w:b/>
              </w:rPr>
              <w:t>-6.9</w:t>
            </w:r>
            <w:r>
              <w:t xml:space="preserve"> </w:t>
            </w:r>
          </w:p>
        </w:tc>
      </w:tr>
      <w:tr w:rsidR="003B629C" w14:paraId="46F55850" w14:textId="77777777">
        <w:trPr>
          <w:trHeight w:val="423"/>
        </w:trPr>
        <w:tc>
          <w:tcPr>
            <w:tcW w:w="3102" w:type="dxa"/>
            <w:tcBorders>
              <w:top w:val="single" w:sz="4" w:space="0" w:color="000000"/>
              <w:left w:val="single" w:sz="4" w:space="0" w:color="000000"/>
              <w:bottom w:val="single" w:sz="4" w:space="0" w:color="000000"/>
              <w:right w:val="single" w:sz="4" w:space="0" w:color="000000"/>
            </w:tcBorders>
          </w:tcPr>
          <w:p w14:paraId="1DD85B29" w14:textId="77777777" w:rsidR="003B629C" w:rsidRDefault="00000000">
            <w:pPr>
              <w:spacing w:after="0" w:line="259" w:lineRule="auto"/>
              <w:ind w:left="5" w:firstLine="0"/>
              <w:jc w:val="left"/>
            </w:pPr>
            <w:r>
              <w:t xml:space="preserve">2021 </w:t>
            </w:r>
          </w:p>
        </w:tc>
        <w:tc>
          <w:tcPr>
            <w:tcW w:w="1498" w:type="dxa"/>
            <w:tcBorders>
              <w:top w:val="single" w:sz="4" w:space="0" w:color="000000"/>
              <w:left w:val="single" w:sz="4" w:space="0" w:color="000000"/>
              <w:bottom w:val="single" w:sz="4" w:space="0" w:color="000000"/>
              <w:right w:val="single" w:sz="4" w:space="0" w:color="000000"/>
            </w:tcBorders>
          </w:tcPr>
          <w:p w14:paraId="102DEE7E" w14:textId="77777777" w:rsidR="003B629C" w:rsidRDefault="00000000">
            <w:pPr>
              <w:spacing w:after="0" w:line="259" w:lineRule="auto"/>
              <w:ind w:left="0" w:firstLine="0"/>
              <w:jc w:val="left"/>
            </w:pPr>
            <w:r>
              <w:t xml:space="preserve">9.2 </w:t>
            </w:r>
          </w:p>
        </w:tc>
        <w:tc>
          <w:tcPr>
            <w:tcW w:w="1906" w:type="dxa"/>
            <w:tcBorders>
              <w:top w:val="single" w:sz="4" w:space="0" w:color="000000"/>
              <w:left w:val="single" w:sz="4" w:space="0" w:color="000000"/>
              <w:bottom w:val="single" w:sz="4" w:space="0" w:color="000000"/>
              <w:right w:val="single" w:sz="4" w:space="0" w:color="000000"/>
            </w:tcBorders>
          </w:tcPr>
          <w:p w14:paraId="4D230CE6" w14:textId="77777777" w:rsidR="003B629C" w:rsidRDefault="00000000">
            <w:pPr>
              <w:spacing w:after="0" w:line="259" w:lineRule="auto"/>
              <w:ind w:left="0" w:firstLine="0"/>
              <w:jc w:val="left"/>
            </w:pPr>
            <w:r>
              <w:t xml:space="preserve">10.5 </w:t>
            </w:r>
          </w:p>
        </w:tc>
        <w:tc>
          <w:tcPr>
            <w:tcW w:w="1633" w:type="dxa"/>
            <w:tcBorders>
              <w:top w:val="single" w:sz="4" w:space="0" w:color="000000"/>
              <w:left w:val="single" w:sz="4" w:space="0" w:color="000000"/>
              <w:bottom w:val="single" w:sz="4" w:space="0" w:color="000000"/>
              <w:right w:val="single" w:sz="4" w:space="0" w:color="000000"/>
            </w:tcBorders>
          </w:tcPr>
          <w:p w14:paraId="54B2A513" w14:textId="77777777" w:rsidR="003B629C" w:rsidRDefault="00000000">
            <w:pPr>
              <w:spacing w:after="0" w:line="259" w:lineRule="auto"/>
              <w:ind w:left="5" w:firstLine="0"/>
              <w:jc w:val="left"/>
            </w:pPr>
            <w:r>
              <w:t xml:space="preserve">8.5 </w:t>
            </w:r>
          </w:p>
        </w:tc>
        <w:tc>
          <w:tcPr>
            <w:tcW w:w="1633" w:type="dxa"/>
            <w:tcBorders>
              <w:top w:val="single" w:sz="4" w:space="0" w:color="000000"/>
              <w:left w:val="single" w:sz="4" w:space="0" w:color="000000"/>
              <w:bottom w:val="single" w:sz="4" w:space="0" w:color="000000"/>
              <w:right w:val="single" w:sz="4" w:space="0" w:color="000000"/>
            </w:tcBorders>
          </w:tcPr>
          <w:p w14:paraId="6473BBB7" w14:textId="77777777" w:rsidR="003B629C" w:rsidRDefault="00000000">
            <w:pPr>
              <w:spacing w:after="0" w:line="259" w:lineRule="auto"/>
              <w:ind w:left="5" w:firstLine="0"/>
              <w:jc w:val="left"/>
            </w:pPr>
            <w:r>
              <w:t xml:space="preserve">9.8 </w:t>
            </w:r>
          </w:p>
        </w:tc>
      </w:tr>
      <w:tr w:rsidR="003B629C" w14:paraId="678C6562" w14:textId="77777777">
        <w:trPr>
          <w:trHeight w:val="427"/>
        </w:trPr>
        <w:tc>
          <w:tcPr>
            <w:tcW w:w="3102" w:type="dxa"/>
            <w:tcBorders>
              <w:top w:val="single" w:sz="4" w:space="0" w:color="000000"/>
              <w:left w:val="single" w:sz="4" w:space="0" w:color="000000"/>
              <w:bottom w:val="single" w:sz="4" w:space="0" w:color="000000"/>
              <w:right w:val="single" w:sz="4" w:space="0" w:color="000000"/>
            </w:tcBorders>
          </w:tcPr>
          <w:p w14:paraId="4D49C011" w14:textId="77777777" w:rsidR="003B629C" w:rsidRDefault="00000000">
            <w:pPr>
              <w:spacing w:after="0" w:line="259" w:lineRule="auto"/>
              <w:ind w:left="5" w:firstLine="0"/>
              <w:jc w:val="left"/>
            </w:pPr>
            <w:r>
              <w:lastRenderedPageBreak/>
              <w:t xml:space="preserve">2022 </w:t>
            </w:r>
          </w:p>
        </w:tc>
        <w:tc>
          <w:tcPr>
            <w:tcW w:w="1498" w:type="dxa"/>
            <w:tcBorders>
              <w:top w:val="single" w:sz="4" w:space="0" w:color="000000"/>
              <w:left w:val="single" w:sz="4" w:space="0" w:color="000000"/>
              <w:bottom w:val="single" w:sz="4" w:space="0" w:color="000000"/>
              <w:right w:val="single" w:sz="4" w:space="0" w:color="000000"/>
            </w:tcBorders>
          </w:tcPr>
          <w:p w14:paraId="215A1F33" w14:textId="77777777" w:rsidR="003B629C" w:rsidRDefault="00000000">
            <w:pPr>
              <w:spacing w:after="0" w:line="259" w:lineRule="auto"/>
              <w:ind w:left="0" w:firstLine="0"/>
              <w:jc w:val="left"/>
            </w:pPr>
            <w:r>
              <w:t xml:space="preserve">11.3 </w:t>
            </w:r>
          </w:p>
        </w:tc>
        <w:tc>
          <w:tcPr>
            <w:tcW w:w="1906" w:type="dxa"/>
            <w:tcBorders>
              <w:top w:val="single" w:sz="4" w:space="0" w:color="000000"/>
              <w:left w:val="single" w:sz="4" w:space="0" w:color="000000"/>
              <w:bottom w:val="single" w:sz="4" w:space="0" w:color="000000"/>
              <w:right w:val="single" w:sz="4" w:space="0" w:color="000000"/>
            </w:tcBorders>
          </w:tcPr>
          <w:p w14:paraId="196BA4E5" w14:textId="77777777" w:rsidR="003B629C" w:rsidRDefault="00000000">
            <w:pPr>
              <w:spacing w:after="0" w:line="259" w:lineRule="auto"/>
              <w:ind w:left="0" w:firstLine="0"/>
              <w:jc w:val="left"/>
            </w:pPr>
            <w:r>
              <w:t xml:space="preserve">13.1 </w:t>
            </w:r>
          </w:p>
        </w:tc>
        <w:tc>
          <w:tcPr>
            <w:tcW w:w="1633" w:type="dxa"/>
            <w:tcBorders>
              <w:top w:val="single" w:sz="4" w:space="0" w:color="000000"/>
              <w:left w:val="single" w:sz="4" w:space="0" w:color="000000"/>
              <w:bottom w:val="single" w:sz="4" w:space="0" w:color="000000"/>
              <w:right w:val="single" w:sz="4" w:space="0" w:color="000000"/>
            </w:tcBorders>
          </w:tcPr>
          <w:p w14:paraId="51A1B5F7" w14:textId="77777777" w:rsidR="003B629C" w:rsidRDefault="00000000">
            <w:pPr>
              <w:spacing w:after="0" w:line="259" w:lineRule="auto"/>
              <w:ind w:left="5" w:firstLine="0"/>
              <w:jc w:val="left"/>
            </w:pPr>
            <w:r>
              <w:t xml:space="preserve">10.4 </w:t>
            </w:r>
          </w:p>
        </w:tc>
        <w:tc>
          <w:tcPr>
            <w:tcW w:w="1633" w:type="dxa"/>
            <w:tcBorders>
              <w:top w:val="single" w:sz="4" w:space="0" w:color="000000"/>
              <w:left w:val="single" w:sz="4" w:space="0" w:color="000000"/>
              <w:bottom w:val="single" w:sz="4" w:space="0" w:color="000000"/>
              <w:right w:val="single" w:sz="4" w:space="0" w:color="000000"/>
            </w:tcBorders>
          </w:tcPr>
          <w:p w14:paraId="43CE973A" w14:textId="77777777" w:rsidR="003B629C" w:rsidRDefault="00000000">
            <w:pPr>
              <w:spacing w:after="0" w:line="259" w:lineRule="auto"/>
              <w:ind w:left="5" w:firstLine="0"/>
              <w:jc w:val="left"/>
            </w:pPr>
            <w:r>
              <w:t xml:space="preserve">12.0 </w:t>
            </w:r>
          </w:p>
        </w:tc>
      </w:tr>
      <w:tr w:rsidR="003B629C" w14:paraId="1BD20AEC" w14:textId="77777777">
        <w:trPr>
          <w:trHeight w:val="422"/>
        </w:trPr>
        <w:tc>
          <w:tcPr>
            <w:tcW w:w="3102" w:type="dxa"/>
            <w:tcBorders>
              <w:top w:val="single" w:sz="4" w:space="0" w:color="000000"/>
              <w:left w:val="single" w:sz="4" w:space="0" w:color="000000"/>
              <w:bottom w:val="single" w:sz="4" w:space="0" w:color="000000"/>
              <w:right w:val="single" w:sz="4" w:space="0" w:color="000000"/>
            </w:tcBorders>
          </w:tcPr>
          <w:p w14:paraId="101A4E3A" w14:textId="77777777" w:rsidR="003B629C" w:rsidRDefault="00000000">
            <w:pPr>
              <w:spacing w:after="0" w:line="259" w:lineRule="auto"/>
              <w:ind w:left="5" w:firstLine="0"/>
              <w:jc w:val="left"/>
            </w:pPr>
            <w:r>
              <w:t xml:space="preserve">2023 </w:t>
            </w:r>
          </w:p>
        </w:tc>
        <w:tc>
          <w:tcPr>
            <w:tcW w:w="1498" w:type="dxa"/>
            <w:tcBorders>
              <w:top w:val="single" w:sz="4" w:space="0" w:color="000000"/>
              <w:left w:val="single" w:sz="4" w:space="0" w:color="000000"/>
              <w:bottom w:val="single" w:sz="4" w:space="0" w:color="000000"/>
              <w:right w:val="single" w:sz="4" w:space="0" w:color="000000"/>
            </w:tcBorders>
          </w:tcPr>
          <w:p w14:paraId="5C37B094" w14:textId="77777777" w:rsidR="003B629C" w:rsidRDefault="00000000">
            <w:pPr>
              <w:spacing w:after="0" w:line="259" w:lineRule="auto"/>
              <w:ind w:left="0" w:firstLine="0"/>
              <w:jc w:val="left"/>
            </w:pPr>
            <w:r>
              <w:t xml:space="preserve">12.5 </w:t>
            </w:r>
          </w:p>
        </w:tc>
        <w:tc>
          <w:tcPr>
            <w:tcW w:w="1906" w:type="dxa"/>
            <w:tcBorders>
              <w:top w:val="single" w:sz="4" w:space="0" w:color="000000"/>
              <w:left w:val="single" w:sz="4" w:space="0" w:color="000000"/>
              <w:bottom w:val="single" w:sz="4" w:space="0" w:color="000000"/>
              <w:right w:val="single" w:sz="4" w:space="0" w:color="000000"/>
            </w:tcBorders>
          </w:tcPr>
          <w:p w14:paraId="5F7E0FBB" w14:textId="77777777" w:rsidR="003B629C" w:rsidRDefault="00000000">
            <w:pPr>
              <w:spacing w:after="0" w:line="259" w:lineRule="auto"/>
              <w:ind w:left="0" w:firstLine="0"/>
              <w:jc w:val="left"/>
            </w:pPr>
            <w:r>
              <w:t xml:space="preserve">14.9 </w:t>
            </w:r>
          </w:p>
        </w:tc>
        <w:tc>
          <w:tcPr>
            <w:tcW w:w="1633" w:type="dxa"/>
            <w:tcBorders>
              <w:top w:val="single" w:sz="4" w:space="0" w:color="000000"/>
              <w:left w:val="single" w:sz="4" w:space="0" w:color="000000"/>
              <w:bottom w:val="single" w:sz="4" w:space="0" w:color="000000"/>
              <w:right w:val="single" w:sz="4" w:space="0" w:color="000000"/>
            </w:tcBorders>
          </w:tcPr>
          <w:p w14:paraId="022E5D57" w14:textId="77777777" w:rsidR="003B629C" w:rsidRDefault="00000000">
            <w:pPr>
              <w:spacing w:after="0" w:line="259" w:lineRule="auto"/>
              <w:ind w:left="5" w:firstLine="0"/>
              <w:jc w:val="left"/>
            </w:pPr>
            <w:r>
              <w:t xml:space="preserve">11.7 </w:t>
            </w:r>
          </w:p>
        </w:tc>
        <w:tc>
          <w:tcPr>
            <w:tcW w:w="1633" w:type="dxa"/>
            <w:tcBorders>
              <w:top w:val="single" w:sz="4" w:space="0" w:color="000000"/>
              <w:left w:val="single" w:sz="4" w:space="0" w:color="000000"/>
              <w:bottom w:val="single" w:sz="4" w:space="0" w:color="000000"/>
              <w:right w:val="single" w:sz="4" w:space="0" w:color="000000"/>
            </w:tcBorders>
          </w:tcPr>
          <w:p w14:paraId="47BF955E" w14:textId="77777777" w:rsidR="003B629C" w:rsidRDefault="00000000">
            <w:pPr>
              <w:spacing w:after="0" w:line="259" w:lineRule="auto"/>
              <w:ind w:left="5" w:firstLine="0"/>
              <w:jc w:val="left"/>
            </w:pPr>
            <w:r>
              <w:t xml:space="preserve">13.3 </w:t>
            </w:r>
          </w:p>
        </w:tc>
      </w:tr>
      <w:tr w:rsidR="003B629C" w14:paraId="635FECDE" w14:textId="77777777">
        <w:trPr>
          <w:trHeight w:val="422"/>
        </w:trPr>
        <w:tc>
          <w:tcPr>
            <w:tcW w:w="3102" w:type="dxa"/>
            <w:tcBorders>
              <w:top w:val="single" w:sz="4" w:space="0" w:color="000000"/>
              <w:left w:val="single" w:sz="4" w:space="0" w:color="000000"/>
              <w:bottom w:val="single" w:sz="4" w:space="0" w:color="000000"/>
              <w:right w:val="single" w:sz="4" w:space="0" w:color="000000"/>
            </w:tcBorders>
          </w:tcPr>
          <w:p w14:paraId="63F9CD0F" w14:textId="77777777" w:rsidR="003B629C" w:rsidRDefault="00000000">
            <w:pPr>
              <w:spacing w:after="0" w:line="259" w:lineRule="auto"/>
              <w:ind w:left="5" w:firstLine="0"/>
              <w:jc w:val="left"/>
            </w:pPr>
            <w:r>
              <w:t xml:space="preserve">2024 </w:t>
            </w:r>
          </w:p>
        </w:tc>
        <w:tc>
          <w:tcPr>
            <w:tcW w:w="1498" w:type="dxa"/>
            <w:tcBorders>
              <w:top w:val="single" w:sz="4" w:space="0" w:color="000000"/>
              <w:left w:val="single" w:sz="4" w:space="0" w:color="000000"/>
              <w:bottom w:val="single" w:sz="4" w:space="0" w:color="000000"/>
              <w:right w:val="single" w:sz="4" w:space="0" w:color="000000"/>
            </w:tcBorders>
          </w:tcPr>
          <w:p w14:paraId="013CA3AD" w14:textId="77777777" w:rsidR="003B629C" w:rsidRDefault="00000000">
            <w:pPr>
              <w:spacing w:after="0" w:line="259" w:lineRule="auto"/>
              <w:ind w:left="0" w:firstLine="0"/>
              <w:jc w:val="left"/>
            </w:pPr>
            <w:r>
              <w:t xml:space="preserve">13.7 </w:t>
            </w:r>
          </w:p>
        </w:tc>
        <w:tc>
          <w:tcPr>
            <w:tcW w:w="1906" w:type="dxa"/>
            <w:tcBorders>
              <w:top w:val="single" w:sz="4" w:space="0" w:color="000000"/>
              <w:left w:val="single" w:sz="4" w:space="0" w:color="000000"/>
              <w:bottom w:val="single" w:sz="4" w:space="0" w:color="000000"/>
              <w:right w:val="single" w:sz="4" w:space="0" w:color="000000"/>
            </w:tcBorders>
          </w:tcPr>
          <w:p w14:paraId="0E5FD48E" w14:textId="77777777" w:rsidR="003B629C" w:rsidRDefault="00000000">
            <w:pPr>
              <w:spacing w:after="0" w:line="259" w:lineRule="auto"/>
              <w:ind w:left="0" w:firstLine="0"/>
              <w:jc w:val="left"/>
            </w:pPr>
            <w:r>
              <w:t xml:space="preserve">16.2 </w:t>
            </w:r>
          </w:p>
        </w:tc>
        <w:tc>
          <w:tcPr>
            <w:tcW w:w="1633" w:type="dxa"/>
            <w:tcBorders>
              <w:top w:val="single" w:sz="4" w:space="0" w:color="000000"/>
              <w:left w:val="single" w:sz="4" w:space="0" w:color="000000"/>
              <w:bottom w:val="single" w:sz="4" w:space="0" w:color="000000"/>
              <w:right w:val="single" w:sz="4" w:space="0" w:color="000000"/>
            </w:tcBorders>
          </w:tcPr>
          <w:p w14:paraId="0D6A019D" w14:textId="77777777" w:rsidR="003B629C" w:rsidRDefault="00000000">
            <w:pPr>
              <w:spacing w:after="0" w:line="259" w:lineRule="auto"/>
              <w:ind w:left="5" w:firstLine="0"/>
              <w:jc w:val="left"/>
            </w:pPr>
            <w:r>
              <w:t xml:space="preserve">12.9 </w:t>
            </w:r>
          </w:p>
        </w:tc>
        <w:tc>
          <w:tcPr>
            <w:tcW w:w="1633" w:type="dxa"/>
            <w:tcBorders>
              <w:top w:val="single" w:sz="4" w:space="0" w:color="000000"/>
              <w:left w:val="single" w:sz="4" w:space="0" w:color="000000"/>
              <w:bottom w:val="single" w:sz="4" w:space="0" w:color="000000"/>
              <w:right w:val="single" w:sz="4" w:space="0" w:color="000000"/>
            </w:tcBorders>
          </w:tcPr>
          <w:p w14:paraId="36CCA197" w14:textId="77777777" w:rsidR="003B629C" w:rsidRDefault="00000000">
            <w:pPr>
              <w:spacing w:after="0" w:line="259" w:lineRule="auto"/>
              <w:ind w:left="5" w:firstLine="0"/>
              <w:jc w:val="left"/>
            </w:pPr>
            <w:r>
              <w:t xml:space="preserve">14.5 </w:t>
            </w:r>
          </w:p>
        </w:tc>
      </w:tr>
      <w:tr w:rsidR="003B629C" w14:paraId="0F35D3F8" w14:textId="77777777">
        <w:trPr>
          <w:trHeight w:val="524"/>
        </w:trPr>
        <w:tc>
          <w:tcPr>
            <w:tcW w:w="3102" w:type="dxa"/>
            <w:tcBorders>
              <w:top w:val="single" w:sz="4" w:space="0" w:color="000000"/>
              <w:left w:val="single" w:sz="4" w:space="0" w:color="000000"/>
              <w:bottom w:val="single" w:sz="4" w:space="0" w:color="000000"/>
              <w:right w:val="single" w:sz="4" w:space="0" w:color="000000"/>
            </w:tcBorders>
          </w:tcPr>
          <w:p w14:paraId="720EDC0F" w14:textId="77777777" w:rsidR="003B629C" w:rsidRDefault="00000000">
            <w:pPr>
              <w:spacing w:after="0" w:line="259" w:lineRule="auto"/>
              <w:ind w:left="5" w:firstLine="0"/>
              <w:jc w:val="left"/>
            </w:pPr>
            <w:r>
              <w:t xml:space="preserve">2025 (Forecasted) </w:t>
            </w:r>
          </w:p>
        </w:tc>
        <w:tc>
          <w:tcPr>
            <w:tcW w:w="1498" w:type="dxa"/>
            <w:tcBorders>
              <w:top w:val="single" w:sz="4" w:space="0" w:color="000000"/>
              <w:left w:val="single" w:sz="4" w:space="0" w:color="000000"/>
              <w:bottom w:val="single" w:sz="4" w:space="0" w:color="000000"/>
              <w:right w:val="single" w:sz="4" w:space="0" w:color="000000"/>
            </w:tcBorders>
          </w:tcPr>
          <w:p w14:paraId="3F1D1C5E" w14:textId="77777777" w:rsidR="003B629C" w:rsidRDefault="00000000">
            <w:pPr>
              <w:spacing w:after="0" w:line="259" w:lineRule="auto"/>
              <w:ind w:left="0" w:firstLine="0"/>
              <w:jc w:val="left"/>
            </w:pPr>
            <w:r>
              <w:rPr>
                <w:b/>
              </w:rPr>
              <w:t>21.4</w:t>
            </w:r>
            <w: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5AD611CC" w14:textId="77777777" w:rsidR="003B629C" w:rsidRDefault="00000000">
            <w:pPr>
              <w:spacing w:after="0" w:line="259" w:lineRule="auto"/>
              <w:ind w:left="0" w:firstLine="0"/>
              <w:jc w:val="left"/>
            </w:pPr>
            <w:r>
              <w:rPr>
                <w:b/>
              </w:rPr>
              <w:t>28.1</w:t>
            </w:r>
            <w:r>
              <w:t xml:space="preserve"> </w:t>
            </w:r>
          </w:p>
        </w:tc>
        <w:tc>
          <w:tcPr>
            <w:tcW w:w="1633" w:type="dxa"/>
            <w:tcBorders>
              <w:top w:val="single" w:sz="4" w:space="0" w:color="000000"/>
              <w:left w:val="single" w:sz="4" w:space="0" w:color="000000"/>
              <w:bottom w:val="single" w:sz="4" w:space="0" w:color="000000"/>
              <w:right w:val="single" w:sz="4" w:space="0" w:color="000000"/>
            </w:tcBorders>
          </w:tcPr>
          <w:p w14:paraId="61759C2B" w14:textId="77777777" w:rsidR="003B629C" w:rsidRDefault="00000000">
            <w:pPr>
              <w:spacing w:after="0" w:line="259" w:lineRule="auto"/>
              <w:ind w:left="5" w:firstLine="0"/>
              <w:jc w:val="left"/>
            </w:pPr>
            <w:r>
              <w:rPr>
                <w:b/>
              </w:rPr>
              <w:t>18.7</w:t>
            </w:r>
            <w:r>
              <w:t xml:space="preserve"> </w:t>
            </w:r>
          </w:p>
        </w:tc>
        <w:tc>
          <w:tcPr>
            <w:tcW w:w="1633" w:type="dxa"/>
            <w:tcBorders>
              <w:top w:val="single" w:sz="4" w:space="0" w:color="000000"/>
              <w:left w:val="single" w:sz="4" w:space="0" w:color="000000"/>
              <w:bottom w:val="single" w:sz="4" w:space="0" w:color="000000"/>
              <w:right w:val="single" w:sz="4" w:space="0" w:color="000000"/>
            </w:tcBorders>
          </w:tcPr>
          <w:p w14:paraId="77F50E63" w14:textId="77777777" w:rsidR="003B629C" w:rsidRDefault="00000000">
            <w:pPr>
              <w:spacing w:after="0" w:line="259" w:lineRule="auto"/>
              <w:ind w:left="5" w:firstLine="0"/>
              <w:jc w:val="left"/>
            </w:pPr>
            <w:r>
              <w:rPr>
                <w:b/>
              </w:rPr>
              <w:t>23.0</w:t>
            </w:r>
            <w:r>
              <w:t xml:space="preserve"> </w:t>
            </w:r>
          </w:p>
        </w:tc>
      </w:tr>
      <w:tr w:rsidR="003B629C" w14:paraId="11690074" w14:textId="77777777">
        <w:trPr>
          <w:trHeight w:val="518"/>
        </w:trPr>
        <w:tc>
          <w:tcPr>
            <w:tcW w:w="3102" w:type="dxa"/>
            <w:tcBorders>
              <w:top w:val="single" w:sz="4" w:space="0" w:color="000000"/>
              <w:left w:val="single" w:sz="4" w:space="0" w:color="000000"/>
              <w:bottom w:val="single" w:sz="4" w:space="0" w:color="000000"/>
              <w:right w:val="single" w:sz="4" w:space="0" w:color="000000"/>
            </w:tcBorders>
          </w:tcPr>
          <w:p w14:paraId="1F118911" w14:textId="77777777" w:rsidR="003B629C" w:rsidRDefault="00000000">
            <w:pPr>
              <w:spacing w:after="0" w:line="259" w:lineRule="auto"/>
              <w:ind w:left="5" w:firstLine="0"/>
              <w:jc w:val="left"/>
            </w:pPr>
            <w:r>
              <w:t xml:space="preserve">2026 (Forecasted) </w:t>
            </w:r>
          </w:p>
        </w:tc>
        <w:tc>
          <w:tcPr>
            <w:tcW w:w="1498" w:type="dxa"/>
            <w:tcBorders>
              <w:top w:val="single" w:sz="4" w:space="0" w:color="000000"/>
              <w:left w:val="single" w:sz="4" w:space="0" w:color="000000"/>
              <w:bottom w:val="single" w:sz="4" w:space="0" w:color="000000"/>
              <w:right w:val="single" w:sz="4" w:space="0" w:color="000000"/>
            </w:tcBorders>
          </w:tcPr>
          <w:p w14:paraId="7EC41EF3" w14:textId="77777777" w:rsidR="003B629C" w:rsidRDefault="00000000">
            <w:pPr>
              <w:spacing w:after="0" w:line="259" w:lineRule="auto"/>
              <w:ind w:left="0" w:firstLine="0"/>
              <w:jc w:val="left"/>
            </w:pPr>
            <w:r>
              <w:rPr>
                <w:b/>
              </w:rPr>
              <w:t>22.9</w:t>
            </w:r>
            <w: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44E43EF2" w14:textId="77777777" w:rsidR="003B629C" w:rsidRDefault="00000000">
            <w:pPr>
              <w:spacing w:after="0" w:line="259" w:lineRule="auto"/>
              <w:ind w:left="0" w:firstLine="0"/>
              <w:jc w:val="left"/>
            </w:pPr>
            <w:r>
              <w:rPr>
                <w:b/>
              </w:rPr>
              <w:t>30.5</w:t>
            </w:r>
            <w:r>
              <w:t xml:space="preserve"> </w:t>
            </w:r>
          </w:p>
        </w:tc>
        <w:tc>
          <w:tcPr>
            <w:tcW w:w="1633" w:type="dxa"/>
            <w:tcBorders>
              <w:top w:val="single" w:sz="4" w:space="0" w:color="000000"/>
              <w:left w:val="single" w:sz="4" w:space="0" w:color="000000"/>
              <w:bottom w:val="single" w:sz="4" w:space="0" w:color="000000"/>
              <w:right w:val="single" w:sz="4" w:space="0" w:color="000000"/>
            </w:tcBorders>
          </w:tcPr>
          <w:p w14:paraId="034FAEB2" w14:textId="77777777" w:rsidR="003B629C" w:rsidRDefault="00000000">
            <w:pPr>
              <w:spacing w:after="0" w:line="259" w:lineRule="auto"/>
              <w:ind w:left="5" w:firstLine="0"/>
              <w:jc w:val="left"/>
            </w:pPr>
            <w:r>
              <w:rPr>
                <w:b/>
              </w:rPr>
              <w:t>19.2</w:t>
            </w:r>
            <w:r>
              <w:t xml:space="preserve"> </w:t>
            </w:r>
          </w:p>
        </w:tc>
        <w:tc>
          <w:tcPr>
            <w:tcW w:w="1633" w:type="dxa"/>
            <w:tcBorders>
              <w:top w:val="single" w:sz="4" w:space="0" w:color="000000"/>
              <w:left w:val="single" w:sz="4" w:space="0" w:color="000000"/>
              <w:bottom w:val="single" w:sz="4" w:space="0" w:color="000000"/>
              <w:right w:val="single" w:sz="4" w:space="0" w:color="000000"/>
            </w:tcBorders>
          </w:tcPr>
          <w:p w14:paraId="22EDA1E8" w14:textId="77777777" w:rsidR="003B629C" w:rsidRDefault="00000000">
            <w:pPr>
              <w:spacing w:after="0" w:line="259" w:lineRule="auto"/>
              <w:ind w:left="5" w:firstLine="0"/>
              <w:jc w:val="left"/>
            </w:pPr>
            <w:r>
              <w:rPr>
                <w:b/>
              </w:rPr>
              <w:t>24.8</w:t>
            </w:r>
            <w:r>
              <w:t xml:space="preserve"> </w:t>
            </w:r>
          </w:p>
        </w:tc>
      </w:tr>
      <w:tr w:rsidR="003B629C" w14:paraId="3A01E390" w14:textId="77777777">
        <w:trPr>
          <w:trHeight w:val="518"/>
        </w:trPr>
        <w:tc>
          <w:tcPr>
            <w:tcW w:w="3102" w:type="dxa"/>
            <w:tcBorders>
              <w:top w:val="single" w:sz="4" w:space="0" w:color="000000"/>
              <w:left w:val="single" w:sz="4" w:space="0" w:color="000000"/>
              <w:bottom w:val="single" w:sz="4" w:space="0" w:color="000000"/>
              <w:right w:val="single" w:sz="4" w:space="0" w:color="000000"/>
            </w:tcBorders>
          </w:tcPr>
          <w:p w14:paraId="04430AFB" w14:textId="77777777" w:rsidR="003B629C" w:rsidRDefault="00000000">
            <w:pPr>
              <w:spacing w:after="0" w:line="259" w:lineRule="auto"/>
              <w:ind w:left="5" w:firstLine="0"/>
              <w:jc w:val="left"/>
            </w:pPr>
            <w:r>
              <w:t xml:space="preserve">2027 (Forecasted) </w:t>
            </w:r>
          </w:p>
        </w:tc>
        <w:tc>
          <w:tcPr>
            <w:tcW w:w="1498" w:type="dxa"/>
            <w:tcBorders>
              <w:top w:val="single" w:sz="4" w:space="0" w:color="000000"/>
              <w:left w:val="single" w:sz="4" w:space="0" w:color="000000"/>
              <w:bottom w:val="single" w:sz="4" w:space="0" w:color="000000"/>
              <w:right w:val="single" w:sz="4" w:space="0" w:color="000000"/>
            </w:tcBorders>
          </w:tcPr>
          <w:p w14:paraId="1B08F270" w14:textId="77777777" w:rsidR="003B629C" w:rsidRDefault="00000000">
            <w:pPr>
              <w:spacing w:after="0" w:line="259" w:lineRule="auto"/>
              <w:ind w:left="0" w:firstLine="0"/>
              <w:jc w:val="left"/>
            </w:pPr>
            <w:r>
              <w:rPr>
                <w:b/>
              </w:rPr>
              <w:t>24.3</w:t>
            </w:r>
            <w: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41496F74" w14:textId="77777777" w:rsidR="003B629C" w:rsidRDefault="00000000">
            <w:pPr>
              <w:spacing w:after="0" w:line="259" w:lineRule="auto"/>
              <w:ind w:left="0" w:firstLine="0"/>
              <w:jc w:val="left"/>
            </w:pPr>
            <w:r>
              <w:rPr>
                <w:b/>
              </w:rPr>
              <w:t>33.0</w:t>
            </w:r>
            <w:r>
              <w:t xml:space="preserve"> </w:t>
            </w:r>
          </w:p>
        </w:tc>
        <w:tc>
          <w:tcPr>
            <w:tcW w:w="1633" w:type="dxa"/>
            <w:tcBorders>
              <w:top w:val="single" w:sz="4" w:space="0" w:color="000000"/>
              <w:left w:val="single" w:sz="4" w:space="0" w:color="000000"/>
              <w:bottom w:val="single" w:sz="4" w:space="0" w:color="000000"/>
              <w:right w:val="single" w:sz="4" w:space="0" w:color="000000"/>
            </w:tcBorders>
          </w:tcPr>
          <w:p w14:paraId="39459AE5" w14:textId="77777777" w:rsidR="003B629C" w:rsidRDefault="00000000">
            <w:pPr>
              <w:spacing w:after="0" w:line="259" w:lineRule="auto"/>
              <w:ind w:left="5" w:firstLine="0"/>
              <w:jc w:val="left"/>
            </w:pPr>
            <w:r>
              <w:rPr>
                <w:b/>
              </w:rPr>
              <w:t>19.9</w:t>
            </w:r>
            <w:r>
              <w:t xml:space="preserve"> </w:t>
            </w:r>
          </w:p>
        </w:tc>
        <w:tc>
          <w:tcPr>
            <w:tcW w:w="1633" w:type="dxa"/>
            <w:tcBorders>
              <w:top w:val="single" w:sz="4" w:space="0" w:color="000000"/>
              <w:left w:val="single" w:sz="4" w:space="0" w:color="000000"/>
              <w:bottom w:val="single" w:sz="4" w:space="0" w:color="000000"/>
              <w:right w:val="single" w:sz="4" w:space="0" w:color="000000"/>
            </w:tcBorders>
          </w:tcPr>
          <w:p w14:paraId="3E54104B" w14:textId="77777777" w:rsidR="003B629C" w:rsidRDefault="00000000">
            <w:pPr>
              <w:spacing w:after="0" w:line="259" w:lineRule="auto"/>
              <w:ind w:left="5" w:firstLine="0"/>
              <w:jc w:val="left"/>
            </w:pPr>
            <w:r>
              <w:rPr>
                <w:b/>
              </w:rPr>
              <w:t>26.5</w:t>
            </w:r>
            <w:r>
              <w:t xml:space="preserve"> </w:t>
            </w:r>
          </w:p>
        </w:tc>
      </w:tr>
    </w:tbl>
    <w:p w14:paraId="7583EEBD" w14:textId="77777777" w:rsidR="003B629C" w:rsidRDefault="00000000">
      <w:pPr>
        <w:spacing w:after="396" w:line="259" w:lineRule="auto"/>
        <w:ind w:left="129"/>
      </w:pPr>
      <w:r>
        <w:t xml:space="preserve">Source: NAV as on date February 14 2025  </w:t>
      </w:r>
    </w:p>
    <w:p w14:paraId="616ACA49" w14:textId="77777777" w:rsidR="003B629C" w:rsidRDefault="00000000">
      <w:pPr>
        <w:ind w:left="129"/>
      </w:pPr>
      <w:r>
        <w:t xml:space="preserve">The performance trend from 2017 to 2027 shows consistent growth across all thematic funds, with a dip in 2020 due to the COVID-19 market crash. Post-2020, all funds recovered steadily. The </w:t>
      </w:r>
      <w:r>
        <w:rPr>
          <w:b/>
        </w:rPr>
        <w:t>Infrastructure Fund</w:t>
      </w:r>
      <w:r>
        <w:t xml:space="preserve"> demonstrated the strongest upward trend, especially in the forecast years, indicating continued sectoral strength. The </w:t>
      </w:r>
      <w:r>
        <w:rPr>
          <w:b/>
        </w:rPr>
        <w:t>Financial Services Fund</w:t>
      </w:r>
      <w:r>
        <w:t xml:space="preserve"> also showed a strong recovery and consistent growth. The </w:t>
      </w:r>
      <w:r>
        <w:rPr>
          <w:b/>
        </w:rPr>
        <w:t>Consumption Fund</w:t>
      </w:r>
      <w:r>
        <w:t xml:space="preserve"> maintained stable returns throughout, reflecting steady consumer demand. The </w:t>
      </w:r>
      <w:r>
        <w:rPr>
          <w:b/>
        </w:rPr>
        <w:t>Services Fund</w:t>
      </w:r>
      <w:r>
        <w:t xml:space="preserve">, while slower in early years, is projected to gain momentum by 2027, </w:t>
      </w:r>
      <w:proofErr w:type="spellStart"/>
      <w:r>
        <w:t>signaling</w:t>
      </w:r>
      <w:proofErr w:type="spellEnd"/>
      <w:r>
        <w:t xml:space="preserve"> potential growth ahead </w:t>
      </w:r>
    </w:p>
    <w:p w14:paraId="58DF35A6" w14:textId="77777777" w:rsidR="003B629C" w:rsidRDefault="00000000">
      <w:pPr>
        <w:spacing w:after="0" w:line="259" w:lineRule="auto"/>
        <w:ind w:left="134" w:firstLine="0"/>
        <w:jc w:val="left"/>
      </w:pPr>
      <w:r>
        <w:rPr>
          <w:rFonts w:ascii="Calibri" w:eastAsia="Calibri" w:hAnsi="Calibri" w:cs="Calibri"/>
          <w:b/>
          <w:sz w:val="22"/>
        </w:rPr>
        <w:t xml:space="preserve"> </w:t>
      </w:r>
      <w:r>
        <w:rPr>
          <w:rFonts w:ascii="Calibri" w:eastAsia="Calibri" w:hAnsi="Calibri" w:cs="Calibri"/>
          <w:b/>
          <w:sz w:val="22"/>
        </w:rPr>
        <w:tab/>
      </w:r>
      <w:r>
        <w:rPr>
          <w:b/>
        </w:rPr>
        <w:t xml:space="preserve"> </w:t>
      </w:r>
    </w:p>
    <w:p w14:paraId="061A0710" w14:textId="77777777" w:rsidR="003B629C" w:rsidRDefault="00000000">
      <w:pPr>
        <w:spacing w:after="127" w:line="260" w:lineRule="auto"/>
        <w:ind w:left="129" w:right="5169"/>
        <w:jc w:val="left"/>
      </w:pPr>
      <w:r>
        <w:rPr>
          <w:b/>
        </w:rPr>
        <w:t>Regression Analysis:</w:t>
      </w:r>
      <w:r>
        <w:t xml:space="preserve">  </w:t>
      </w:r>
    </w:p>
    <w:tbl>
      <w:tblPr>
        <w:tblStyle w:val="TableGrid"/>
        <w:tblW w:w="9570" w:type="dxa"/>
        <w:tblInd w:w="34" w:type="dxa"/>
        <w:tblCellMar>
          <w:left w:w="106" w:type="dxa"/>
          <w:right w:w="58" w:type="dxa"/>
        </w:tblCellMar>
        <w:tblLook w:val="04A0" w:firstRow="1" w:lastRow="0" w:firstColumn="1" w:lastColumn="0" w:noHBand="0" w:noVBand="1"/>
      </w:tblPr>
      <w:tblGrid>
        <w:gridCol w:w="1695"/>
        <w:gridCol w:w="1859"/>
        <w:gridCol w:w="1642"/>
        <w:gridCol w:w="1824"/>
        <w:gridCol w:w="1374"/>
        <w:gridCol w:w="1176"/>
      </w:tblGrid>
      <w:tr w:rsidR="003B629C" w14:paraId="3EC6ED7C" w14:textId="77777777">
        <w:trPr>
          <w:trHeight w:val="1177"/>
        </w:trPr>
        <w:tc>
          <w:tcPr>
            <w:tcW w:w="1695" w:type="dxa"/>
            <w:tcBorders>
              <w:top w:val="single" w:sz="4" w:space="0" w:color="000000"/>
              <w:left w:val="single" w:sz="4" w:space="0" w:color="000000"/>
              <w:bottom w:val="single" w:sz="4" w:space="0" w:color="000000"/>
              <w:right w:val="single" w:sz="4" w:space="0" w:color="000000"/>
            </w:tcBorders>
            <w:vAlign w:val="center"/>
          </w:tcPr>
          <w:p w14:paraId="2F8D978D" w14:textId="77777777" w:rsidR="003B629C" w:rsidRDefault="00000000">
            <w:pPr>
              <w:spacing w:after="0" w:line="259" w:lineRule="auto"/>
              <w:ind w:left="0" w:firstLine="0"/>
              <w:jc w:val="left"/>
            </w:pPr>
            <w:r>
              <w:rPr>
                <w:b/>
              </w:rPr>
              <w:t>Variable</w:t>
            </w:r>
            <w:r>
              <w:t xml:space="preserve"> </w:t>
            </w:r>
          </w:p>
        </w:tc>
        <w:tc>
          <w:tcPr>
            <w:tcW w:w="1859" w:type="dxa"/>
            <w:tcBorders>
              <w:top w:val="single" w:sz="4" w:space="0" w:color="000000"/>
              <w:left w:val="single" w:sz="4" w:space="0" w:color="000000"/>
              <w:bottom w:val="single" w:sz="4" w:space="0" w:color="000000"/>
              <w:right w:val="single" w:sz="4" w:space="0" w:color="000000"/>
            </w:tcBorders>
            <w:vAlign w:val="center"/>
          </w:tcPr>
          <w:p w14:paraId="65FBD28A" w14:textId="77777777" w:rsidR="003B629C" w:rsidRDefault="00000000">
            <w:pPr>
              <w:spacing w:after="0" w:line="259" w:lineRule="auto"/>
              <w:ind w:left="0" w:firstLine="0"/>
              <w:jc w:val="center"/>
            </w:pPr>
            <w:r>
              <w:rPr>
                <w:b/>
              </w:rPr>
              <w:t>Unstandardized Coefficients (B)</w:t>
            </w:r>
            <w:r>
              <w:t xml:space="preserve"> </w:t>
            </w:r>
          </w:p>
        </w:tc>
        <w:tc>
          <w:tcPr>
            <w:tcW w:w="1642" w:type="dxa"/>
            <w:tcBorders>
              <w:top w:val="single" w:sz="4" w:space="0" w:color="000000"/>
              <w:left w:val="single" w:sz="4" w:space="0" w:color="000000"/>
              <w:bottom w:val="single" w:sz="4" w:space="0" w:color="000000"/>
              <w:right w:val="single" w:sz="4" w:space="0" w:color="000000"/>
            </w:tcBorders>
            <w:vAlign w:val="center"/>
          </w:tcPr>
          <w:p w14:paraId="08C8DB91" w14:textId="77777777" w:rsidR="003B629C" w:rsidRDefault="00000000">
            <w:pPr>
              <w:spacing w:after="0" w:line="259" w:lineRule="auto"/>
              <w:ind w:left="0" w:firstLine="0"/>
              <w:jc w:val="center"/>
            </w:pPr>
            <w:r>
              <w:rPr>
                <w:b/>
              </w:rPr>
              <w:t>Standard Error</w:t>
            </w:r>
            <w:r>
              <w:t xml:space="preserve"> </w:t>
            </w:r>
          </w:p>
        </w:tc>
        <w:tc>
          <w:tcPr>
            <w:tcW w:w="1824" w:type="dxa"/>
            <w:tcBorders>
              <w:top w:val="single" w:sz="4" w:space="0" w:color="000000"/>
              <w:left w:val="single" w:sz="4" w:space="0" w:color="000000"/>
              <w:bottom w:val="single" w:sz="4" w:space="0" w:color="000000"/>
              <w:right w:val="single" w:sz="4" w:space="0" w:color="000000"/>
            </w:tcBorders>
            <w:vAlign w:val="center"/>
          </w:tcPr>
          <w:p w14:paraId="1C9BFE94" w14:textId="77777777" w:rsidR="003B629C" w:rsidRDefault="00000000">
            <w:pPr>
              <w:spacing w:after="0" w:line="259" w:lineRule="auto"/>
              <w:ind w:left="0" w:right="55" w:firstLine="0"/>
              <w:jc w:val="center"/>
            </w:pPr>
            <w:r>
              <w:rPr>
                <w:b/>
              </w:rPr>
              <w:t xml:space="preserve">Standardized </w:t>
            </w:r>
          </w:p>
          <w:p w14:paraId="27823062" w14:textId="77777777" w:rsidR="003B629C" w:rsidRDefault="00000000">
            <w:pPr>
              <w:spacing w:after="0" w:line="259" w:lineRule="auto"/>
              <w:ind w:left="0" w:right="56" w:firstLine="0"/>
              <w:jc w:val="center"/>
            </w:pPr>
            <w:r>
              <w:rPr>
                <w:b/>
              </w:rPr>
              <w:t xml:space="preserve">Coefficients </w:t>
            </w:r>
          </w:p>
          <w:p w14:paraId="4886F76B" w14:textId="77777777" w:rsidR="003B629C" w:rsidRDefault="00000000">
            <w:pPr>
              <w:spacing w:after="0" w:line="259" w:lineRule="auto"/>
              <w:ind w:left="0" w:right="55" w:firstLine="0"/>
              <w:jc w:val="center"/>
            </w:pPr>
            <w:r>
              <w:rPr>
                <w:b/>
              </w:rPr>
              <w:t>(Beta)</w:t>
            </w:r>
            <w:r>
              <w:t xml:space="preserve"> </w:t>
            </w:r>
          </w:p>
        </w:tc>
        <w:tc>
          <w:tcPr>
            <w:tcW w:w="1374" w:type="dxa"/>
            <w:tcBorders>
              <w:top w:val="single" w:sz="4" w:space="0" w:color="000000"/>
              <w:left w:val="single" w:sz="4" w:space="0" w:color="000000"/>
              <w:bottom w:val="single" w:sz="4" w:space="0" w:color="000000"/>
              <w:right w:val="single" w:sz="4" w:space="0" w:color="000000"/>
            </w:tcBorders>
            <w:vAlign w:val="center"/>
          </w:tcPr>
          <w:p w14:paraId="7CCE9936" w14:textId="77777777" w:rsidR="003B629C" w:rsidRDefault="00000000">
            <w:pPr>
              <w:spacing w:after="0" w:line="259" w:lineRule="auto"/>
              <w:ind w:left="0" w:right="51" w:firstLine="0"/>
              <w:jc w:val="center"/>
            </w:pPr>
            <w:r>
              <w:rPr>
                <w:b/>
              </w:rPr>
              <w:t>T</w:t>
            </w:r>
            <w:r>
              <w:t xml:space="preserve"> </w:t>
            </w:r>
          </w:p>
        </w:tc>
        <w:tc>
          <w:tcPr>
            <w:tcW w:w="1176" w:type="dxa"/>
            <w:tcBorders>
              <w:top w:val="single" w:sz="4" w:space="0" w:color="000000"/>
              <w:left w:val="single" w:sz="4" w:space="0" w:color="000000"/>
              <w:bottom w:val="single" w:sz="4" w:space="0" w:color="000000"/>
              <w:right w:val="single" w:sz="4" w:space="0" w:color="000000"/>
            </w:tcBorders>
            <w:vAlign w:val="center"/>
          </w:tcPr>
          <w:p w14:paraId="1CD8A88D" w14:textId="77777777" w:rsidR="003B629C" w:rsidRDefault="00000000">
            <w:pPr>
              <w:spacing w:after="0" w:line="259" w:lineRule="auto"/>
              <w:ind w:left="0" w:right="56" w:firstLine="0"/>
              <w:jc w:val="center"/>
            </w:pPr>
            <w:r>
              <w:rPr>
                <w:b/>
              </w:rPr>
              <w:t xml:space="preserve">Sig. </w:t>
            </w:r>
          </w:p>
        </w:tc>
      </w:tr>
      <w:tr w:rsidR="003B629C" w14:paraId="1733AB3D" w14:textId="77777777">
        <w:trPr>
          <w:trHeight w:val="610"/>
        </w:trPr>
        <w:tc>
          <w:tcPr>
            <w:tcW w:w="1695" w:type="dxa"/>
            <w:tcBorders>
              <w:top w:val="single" w:sz="4" w:space="0" w:color="000000"/>
              <w:left w:val="single" w:sz="4" w:space="0" w:color="000000"/>
              <w:bottom w:val="single" w:sz="4" w:space="0" w:color="000000"/>
              <w:right w:val="single" w:sz="4" w:space="0" w:color="000000"/>
            </w:tcBorders>
            <w:vAlign w:val="center"/>
          </w:tcPr>
          <w:p w14:paraId="709173BA" w14:textId="77777777" w:rsidR="003B629C" w:rsidRDefault="00000000">
            <w:pPr>
              <w:spacing w:after="0" w:line="259" w:lineRule="auto"/>
              <w:ind w:left="0" w:firstLine="0"/>
              <w:jc w:val="left"/>
            </w:pPr>
            <w:r>
              <w:t xml:space="preserve">Constant </w:t>
            </w:r>
          </w:p>
        </w:tc>
        <w:tc>
          <w:tcPr>
            <w:tcW w:w="1859" w:type="dxa"/>
            <w:tcBorders>
              <w:top w:val="single" w:sz="4" w:space="0" w:color="000000"/>
              <w:left w:val="single" w:sz="4" w:space="0" w:color="000000"/>
              <w:bottom w:val="single" w:sz="4" w:space="0" w:color="000000"/>
              <w:right w:val="single" w:sz="4" w:space="0" w:color="000000"/>
            </w:tcBorders>
            <w:vAlign w:val="center"/>
          </w:tcPr>
          <w:p w14:paraId="1711A3EE" w14:textId="77777777" w:rsidR="003B629C" w:rsidRDefault="00000000">
            <w:pPr>
              <w:spacing w:after="0" w:line="259" w:lineRule="auto"/>
              <w:ind w:left="0" w:right="48" w:firstLine="0"/>
              <w:jc w:val="center"/>
            </w:pPr>
            <w:r>
              <w:t xml:space="preserve">-3.63 </w:t>
            </w:r>
          </w:p>
        </w:tc>
        <w:tc>
          <w:tcPr>
            <w:tcW w:w="1642" w:type="dxa"/>
            <w:tcBorders>
              <w:top w:val="single" w:sz="4" w:space="0" w:color="000000"/>
              <w:left w:val="single" w:sz="4" w:space="0" w:color="000000"/>
              <w:bottom w:val="single" w:sz="4" w:space="0" w:color="000000"/>
              <w:right w:val="single" w:sz="4" w:space="0" w:color="000000"/>
            </w:tcBorders>
            <w:vAlign w:val="center"/>
          </w:tcPr>
          <w:p w14:paraId="1ACA9098" w14:textId="77777777" w:rsidR="003B629C" w:rsidRDefault="00000000">
            <w:pPr>
              <w:spacing w:after="0" w:line="259" w:lineRule="auto"/>
              <w:ind w:left="0" w:right="53" w:firstLine="0"/>
              <w:jc w:val="center"/>
            </w:pPr>
            <w:r>
              <w:t xml:space="preserve">13.68 </w:t>
            </w:r>
          </w:p>
        </w:tc>
        <w:tc>
          <w:tcPr>
            <w:tcW w:w="1824" w:type="dxa"/>
            <w:tcBorders>
              <w:top w:val="single" w:sz="4" w:space="0" w:color="000000"/>
              <w:left w:val="single" w:sz="4" w:space="0" w:color="000000"/>
              <w:bottom w:val="single" w:sz="4" w:space="0" w:color="000000"/>
              <w:right w:val="single" w:sz="4" w:space="0" w:color="000000"/>
            </w:tcBorders>
            <w:vAlign w:val="center"/>
          </w:tcPr>
          <w:p w14:paraId="6819D45C" w14:textId="77777777" w:rsidR="003B629C" w:rsidRDefault="00000000">
            <w:pPr>
              <w:spacing w:after="0" w:line="259" w:lineRule="auto"/>
              <w:ind w:left="3" w:firstLine="0"/>
              <w:jc w:val="center"/>
            </w:pPr>
            <w:r>
              <w:t xml:space="preserve"> </w:t>
            </w:r>
          </w:p>
        </w:tc>
        <w:tc>
          <w:tcPr>
            <w:tcW w:w="1374" w:type="dxa"/>
            <w:tcBorders>
              <w:top w:val="single" w:sz="4" w:space="0" w:color="000000"/>
              <w:left w:val="single" w:sz="4" w:space="0" w:color="000000"/>
              <w:bottom w:val="single" w:sz="4" w:space="0" w:color="000000"/>
              <w:right w:val="single" w:sz="4" w:space="0" w:color="000000"/>
            </w:tcBorders>
            <w:vAlign w:val="center"/>
          </w:tcPr>
          <w:p w14:paraId="41F4AFA7" w14:textId="77777777" w:rsidR="003B629C" w:rsidRDefault="00000000">
            <w:pPr>
              <w:spacing w:after="0" w:line="259" w:lineRule="auto"/>
              <w:ind w:left="0" w:right="48" w:firstLine="0"/>
              <w:jc w:val="center"/>
            </w:pPr>
            <w:r>
              <w:t xml:space="preserve">-0.265 </w:t>
            </w:r>
          </w:p>
        </w:tc>
        <w:tc>
          <w:tcPr>
            <w:tcW w:w="1176" w:type="dxa"/>
            <w:tcBorders>
              <w:top w:val="single" w:sz="4" w:space="0" w:color="000000"/>
              <w:left w:val="single" w:sz="4" w:space="0" w:color="000000"/>
              <w:bottom w:val="single" w:sz="4" w:space="0" w:color="000000"/>
              <w:right w:val="single" w:sz="4" w:space="0" w:color="000000"/>
            </w:tcBorders>
            <w:vAlign w:val="center"/>
          </w:tcPr>
          <w:p w14:paraId="63037886" w14:textId="77777777" w:rsidR="003B629C" w:rsidRDefault="00000000">
            <w:pPr>
              <w:spacing w:after="0" w:line="259" w:lineRule="auto"/>
              <w:ind w:left="0" w:right="48" w:firstLine="0"/>
              <w:jc w:val="center"/>
            </w:pPr>
            <w:r>
              <w:t xml:space="preserve">0.801 </w:t>
            </w:r>
          </w:p>
        </w:tc>
      </w:tr>
      <w:tr w:rsidR="003B629C" w14:paraId="5174A787" w14:textId="77777777">
        <w:trPr>
          <w:trHeight w:val="644"/>
        </w:trPr>
        <w:tc>
          <w:tcPr>
            <w:tcW w:w="1695" w:type="dxa"/>
            <w:tcBorders>
              <w:top w:val="single" w:sz="4" w:space="0" w:color="000000"/>
              <w:left w:val="single" w:sz="4" w:space="0" w:color="000000"/>
              <w:bottom w:val="single" w:sz="4" w:space="0" w:color="000000"/>
              <w:right w:val="single" w:sz="4" w:space="0" w:color="000000"/>
            </w:tcBorders>
            <w:vAlign w:val="center"/>
          </w:tcPr>
          <w:p w14:paraId="343CEE9F" w14:textId="77777777" w:rsidR="003B629C" w:rsidRDefault="00000000">
            <w:pPr>
              <w:spacing w:after="0" w:line="259" w:lineRule="auto"/>
              <w:ind w:left="0" w:firstLine="0"/>
              <w:jc w:val="left"/>
            </w:pPr>
            <w:r>
              <w:t xml:space="preserve">Inflation </w:t>
            </w:r>
          </w:p>
        </w:tc>
        <w:tc>
          <w:tcPr>
            <w:tcW w:w="1859" w:type="dxa"/>
            <w:tcBorders>
              <w:top w:val="single" w:sz="4" w:space="0" w:color="000000"/>
              <w:left w:val="single" w:sz="4" w:space="0" w:color="000000"/>
              <w:bottom w:val="single" w:sz="4" w:space="0" w:color="000000"/>
              <w:right w:val="single" w:sz="4" w:space="0" w:color="000000"/>
            </w:tcBorders>
            <w:vAlign w:val="center"/>
          </w:tcPr>
          <w:p w14:paraId="209B0ABA" w14:textId="77777777" w:rsidR="003B629C" w:rsidRDefault="00000000">
            <w:pPr>
              <w:spacing w:after="0" w:line="259" w:lineRule="auto"/>
              <w:ind w:left="0" w:right="53" w:firstLine="0"/>
              <w:jc w:val="center"/>
            </w:pPr>
            <w:r>
              <w:t xml:space="preserve">1.56 </w:t>
            </w:r>
          </w:p>
        </w:tc>
        <w:tc>
          <w:tcPr>
            <w:tcW w:w="1642" w:type="dxa"/>
            <w:tcBorders>
              <w:top w:val="single" w:sz="4" w:space="0" w:color="000000"/>
              <w:left w:val="single" w:sz="4" w:space="0" w:color="000000"/>
              <w:bottom w:val="single" w:sz="4" w:space="0" w:color="000000"/>
              <w:right w:val="single" w:sz="4" w:space="0" w:color="000000"/>
            </w:tcBorders>
            <w:vAlign w:val="center"/>
          </w:tcPr>
          <w:p w14:paraId="76F7478D" w14:textId="77777777" w:rsidR="003B629C" w:rsidRDefault="00000000">
            <w:pPr>
              <w:spacing w:after="0" w:line="259" w:lineRule="auto"/>
              <w:ind w:left="0" w:right="49" w:firstLine="0"/>
              <w:jc w:val="center"/>
            </w:pPr>
            <w:r>
              <w:t xml:space="preserve">1.42 </w:t>
            </w:r>
          </w:p>
        </w:tc>
        <w:tc>
          <w:tcPr>
            <w:tcW w:w="1824" w:type="dxa"/>
            <w:tcBorders>
              <w:top w:val="single" w:sz="4" w:space="0" w:color="000000"/>
              <w:left w:val="single" w:sz="4" w:space="0" w:color="000000"/>
              <w:bottom w:val="single" w:sz="4" w:space="0" w:color="000000"/>
              <w:right w:val="single" w:sz="4" w:space="0" w:color="000000"/>
            </w:tcBorders>
            <w:vAlign w:val="center"/>
          </w:tcPr>
          <w:p w14:paraId="0780DF17" w14:textId="77777777" w:rsidR="003B629C" w:rsidRDefault="00000000">
            <w:pPr>
              <w:spacing w:after="0" w:line="259" w:lineRule="auto"/>
              <w:ind w:left="0" w:right="53" w:firstLine="0"/>
              <w:jc w:val="center"/>
            </w:pPr>
            <w:r>
              <w:t xml:space="preserve">0.220 </w:t>
            </w:r>
          </w:p>
        </w:tc>
        <w:tc>
          <w:tcPr>
            <w:tcW w:w="1374" w:type="dxa"/>
            <w:tcBorders>
              <w:top w:val="single" w:sz="4" w:space="0" w:color="000000"/>
              <w:left w:val="single" w:sz="4" w:space="0" w:color="000000"/>
              <w:bottom w:val="single" w:sz="4" w:space="0" w:color="000000"/>
              <w:right w:val="single" w:sz="4" w:space="0" w:color="000000"/>
            </w:tcBorders>
            <w:vAlign w:val="center"/>
          </w:tcPr>
          <w:p w14:paraId="75FB3A5D" w14:textId="77777777" w:rsidR="003B629C" w:rsidRDefault="00000000">
            <w:pPr>
              <w:spacing w:after="0" w:line="259" w:lineRule="auto"/>
              <w:ind w:left="0" w:right="53" w:firstLine="0"/>
              <w:jc w:val="center"/>
            </w:pPr>
            <w:r>
              <w:t xml:space="preserve">1.100 </w:t>
            </w:r>
          </w:p>
        </w:tc>
        <w:tc>
          <w:tcPr>
            <w:tcW w:w="1176" w:type="dxa"/>
            <w:tcBorders>
              <w:top w:val="single" w:sz="4" w:space="0" w:color="000000"/>
              <w:left w:val="single" w:sz="4" w:space="0" w:color="000000"/>
              <w:bottom w:val="single" w:sz="4" w:space="0" w:color="000000"/>
              <w:right w:val="single" w:sz="4" w:space="0" w:color="000000"/>
            </w:tcBorders>
            <w:vAlign w:val="center"/>
          </w:tcPr>
          <w:p w14:paraId="41FAE6CA" w14:textId="77777777" w:rsidR="003B629C" w:rsidRDefault="00000000">
            <w:pPr>
              <w:spacing w:after="0" w:line="259" w:lineRule="auto"/>
              <w:ind w:left="0" w:right="48" w:firstLine="0"/>
              <w:jc w:val="center"/>
            </w:pPr>
            <w:r>
              <w:t xml:space="preserve">0.322 </w:t>
            </w:r>
          </w:p>
        </w:tc>
      </w:tr>
      <w:tr w:rsidR="003B629C" w14:paraId="22EAA423" w14:textId="77777777">
        <w:trPr>
          <w:trHeight w:val="610"/>
        </w:trPr>
        <w:tc>
          <w:tcPr>
            <w:tcW w:w="1695" w:type="dxa"/>
            <w:tcBorders>
              <w:top w:val="single" w:sz="4" w:space="0" w:color="000000"/>
              <w:left w:val="single" w:sz="4" w:space="0" w:color="000000"/>
              <w:bottom w:val="single" w:sz="4" w:space="0" w:color="000000"/>
              <w:right w:val="single" w:sz="4" w:space="0" w:color="000000"/>
            </w:tcBorders>
            <w:vAlign w:val="center"/>
          </w:tcPr>
          <w:p w14:paraId="034BBF36" w14:textId="77777777" w:rsidR="003B629C" w:rsidRDefault="00000000">
            <w:pPr>
              <w:spacing w:after="0" w:line="259" w:lineRule="auto"/>
              <w:ind w:left="0" w:firstLine="0"/>
              <w:jc w:val="left"/>
            </w:pPr>
            <w:r>
              <w:t xml:space="preserve">GDP Growth </w:t>
            </w:r>
          </w:p>
        </w:tc>
        <w:tc>
          <w:tcPr>
            <w:tcW w:w="1859" w:type="dxa"/>
            <w:tcBorders>
              <w:top w:val="single" w:sz="4" w:space="0" w:color="000000"/>
              <w:left w:val="single" w:sz="4" w:space="0" w:color="000000"/>
              <w:bottom w:val="single" w:sz="4" w:space="0" w:color="000000"/>
              <w:right w:val="single" w:sz="4" w:space="0" w:color="000000"/>
            </w:tcBorders>
            <w:vAlign w:val="center"/>
          </w:tcPr>
          <w:p w14:paraId="0BF333F1" w14:textId="77777777" w:rsidR="003B629C" w:rsidRDefault="00000000">
            <w:pPr>
              <w:spacing w:after="0" w:line="259" w:lineRule="auto"/>
              <w:ind w:left="0" w:right="53" w:firstLine="0"/>
              <w:jc w:val="center"/>
            </w:pPr>
            <w:r>
              <w:t xml:space="preserve">2.39 </w:t>
            </w:r>
          </w:p>
        </w:tc>
        <w:tc>
          <w:tcPr>
            <w:tcW w:w="1642" w:type="dxa"/>
            <w:tcBorders>
              <w:top w:val="single" w:sz="4" w:space="0" w:color="000000"/>
              <w:left w:val="single" w:sz="4" w:space="0" w:color="000000"/>
              <w:bottom w:val="single" w:sz="4" w:space="0" w:color="000000"/>
              <w:right w:val="single" w:sz="4" w:space="0" w:color="000000"/>
            </w:tcBorders>
            <w:vAlign w:val="center"/>
          </w:tcPr>
          <w:p w14:paraId="0C1C564F" w14:textId="77777777" w:rsidR="003B629C" w:rsidRDefault="00000000">
            <w:pPr>
              <w:spacing w:after="0" w:line="259" w:lineRule="auto"/>
              <w:ind w:left="0" w:right="49" w:firstLine="0"/>
              <w:jc w:val="center"/>
            </w:pPr>
            <w:r>
              <w:t xml:space="preserve">0.49 </w:t>
            </w:r>
          </w:p>
        </w:tc>
        <w:tc>
          <w:tcPr>
            <w:tcW w:w="1824" w:type="dxa"/>
            <w:tcBorders>
              <w:top w:val="single" w:sz="4" w:space="0" w:color="000000"/>
              <w:left w:val="single" w:sz="4" w:space="0" w:color="000000"/>
              <w:bottom w:val="single" w:sz="4" w:space="0" w:color="000000"/>
              <w:right w:val="single" w:sz="4" w:space="0" w:color="000000"/>
            </w:tcBorders>
            <w:vAlign w:val="center"/>
          </w:tcPr>
          <w:p w14:paraId="3627D02F" w14:textId="77777777" w:rsidR="003B629C" w:rsidRDefault="00000000">
            <w:pPr>
              <w:spacing w:after="0" w:line="259" w:lineRule="auto"/>
              <w:ind w:left="0" w:right="53" w:firstLine="0"/>
              <w:jc w:val="center"/>
            </w:pPr>
            <w:r>
              <w:t xml:space="preserve">0.650 </w:t>
            </w:r>
          </w:p>
        </w:tc>
        <w:tc>
          <w:tcPr>
            <w:tcW w:w="1374" w:type="dxa"/>
            <w:tcBorders>
              <w:top w:val="single" w:sz="4" w:space="0" w:color="000000"/>
              <w:left w:val="single" w:sz="4" w:space="0" w:color="000000"/>
              <w:bottom w:val="single" w:sz="4" w:space="0" w:color="000000"/>
              <w:right w:val="single" w:sz="4" w:space="0" w:color="000000"/>
            </w:tcBorders>
            <w:vAlign w:val="center"/>
          </w:tcPr>
          <w:p w14:paraId="306A6E33" w14:textId="77777777" w:rsidR="003B629C" w:rsidRDefault="00000000">
            <w:pPr>
              <w:spacing w:after="0" w:line="259" w:lineRule="auto"/>
              <w:ind w:left="0" w:right="53" w:firstLine="0"/>
              <w:jc w:val="center"/>
            </w:pPr>
            <w:r>
              <w:t xml:space="preserve">4.868 </w:t>
            </w:r>
          </w:p>
        </w:tc>
        <w:tc>
          <w:tcPr>
            <w:tcW w:w="1176" w:type="dxa"/>
            <w:tcBorders>
              <w:top w:val="single" w:sz="4" w:space="0" w:color="000000"/>
              <w:left w:val="single" w:sz="4" w:space="0" w:color="000000"/>
              <w:bottom w:val="single" w:sz="4" w:space="0" w:color="000000"/>
              <w:right w:val="single" w:sz="4" w:space="0" w:color="000000"/>
            </w:tcBorders>
            <w:vAlign w:val="center"/>
          </w:tcPr>
          <w:p w14:paraId="7E126647" w14:textId="77777777" w:rsidR="003B629C" w:rsidRDefault="00000000">
            <w:pPr>
              <w:spacing w:after="0" w:line="259" w:lineRule="auto"/>
              <w:ind w:left="0" w:right="48" w:firstLine="0"/>
              <w:jc w:val="center"/>
            </w:pPr>
            <w:r>
              <w:t xml:space="preserve">0.005 </w:t>
            </w:r>
          </w:p>
        </w:tc>
      </w:tr>
      <w:tr w:rsidR="003B629C" w14:paraId="3276E1BB" w14:textId="77777777">
        <w:trPr>
          <w:trHeight w:val="610"/>
        </w:trPr>
        <w:tc>
          <w:tcPr>
            <w:tcW w:w="1695" w:type="dxa"/>
            <w:tcBorders>
              <w:top w:val="single" w:sz="4" w:space="0" w:color="000000"/>
              <w:left w:val="single" w:sz="4" w:space="0" w:color="000000"/>
              <w:bottom w:val="single" w:sz="4" w:space="0" w:color="000000"/>
              <w:right w:val="single" w:sz="4" w:space="0" w:color="000000"/>
            </w:tcBorders>
            <w:vAlign w:val="center"/>
          </w:tcPr>
          <w:p w14:paraId="1EA78D63" w14:textId="77777777" w:rsidR="003B629C" w:rsidRDefault="00000000">
            <w:pPr>
              <w:spacing w:after="0" w:line="259" w:lineRule="auto"/>
              <w:ind w:left="0" w:firstLine="0"/>
              <w:jc w:val="left"/>
            </w:pPr>
            <w:r>
              <w:t>Interest Rates</w:t>
            </w:r>
            <w:r>
              <w:rPr>
                <w:b/>
              </w:rPr>
              <w:t xml:space="preserve"> </w:t>
            </w:r>
          </w:p>
        </w:tc>
        <w:tc>
          <w:tcPr>
            <w:tcW w:w="1859" w:type="dxa"/>
            <w:tcBorders>
              <w:top w:val="single" w:sz="4" w:space="0" w:color="000000"/>
              <w:left w:val="single" w:sz="4" w:space="0" w:color="000000"/>
              <w:bottom w:val="single" w:sz="4" w:space="0" w:color="000000"/>
              <w:right w:val="single" w:sz="4" w:space="0" w:color="000000"/>
            </w:tcBorders>
            <w:vAlign w:val="center"/>
          </w:tcPr>
          <w:p w14:paraId="1CE7CB0F" w14:textId="77777777" w:rsidR="003B629C" w:rsidRDefault="00000000">
            <w:pPr>
              <w:spacing w:after="0" w:line="259" w:lineRule="auto"/>
              <w:ind w:left="0" w:right="48" w:firstLine="0"/>
              <w:jc w:val="center"/>
            </w:pPr>
            <w:r>
              <w:t xml:space="preserve">-2.19 </w:t>
            </w:r>
          </w:p>
        </w:tc>
        <w:tc>
          <w:tcPr>
            <w:tcW w:w="1642" w:type="dxa"/>
            <w:tcBorders>
              <w:top w:val="single" w:sz="4" w:space="0" w:color="000000"/>
              <w:left w:val="single" w:sz="4" w:space="0" w:color="000000"/>
              <w:bottom w:val="single" w:sz="4" w:space="0" w:color="000000"/>
              <w:right w:val="single" w:sz="4" w:space="0" w:color="000000"/>
            </w:tcBorders>
            <w:vAlign w:val="center"/>
          </w:tcPr>
          <w:p w14:paraId="0365CBDB" w14:textId="77777777" w:rsidR="003B629C" w:rsidRDefault="00000000">
            <w:pPr>
              <w:spacing w:after="0" w:line="259" w:lineRule="auto"/>
              <w:ind w:left="0" w:right="49" w:firstLine="0"/>
              <w:jc w:val="center"/>
            </w:pPr>
            <w:r>
              <w:t xml:space="preserve">1.59 </w:t>
            </w:r>
          </w:p>
        </w:tc>
        <w:tc>
          <w:tcPr>
            <w:tcW w:w="1824" w:type="dxa"/>
            <w:tcBorders>
              <w:top w:val="single" w:sz="4" w:space="0" w:color="000000"/>
              <w:left w:val="single" w:sz="4" w:space="0" w:color="000000"/>
              <w:bottom w:val="single" w:sz="4" w:space="0" w:color="000000"/>
              <w:right w:val="single" w:sz="4" w:space="0" w:color="000000"/>
            </w:tcBorders>
            <w:vAlign w:val="center"/>
          </w:tcPr>
          <w:p w14:paraId="734A3605" w14:textId="77777777" w:rsidR="003B629C" w:rsidRDefault="00000000">
            <w:pPr>
              <w:spacing w:after="0" w:line="259" w:lineRule="auto"/>
              <w:ind w:left="0" w:right="48" w:firstLine="0"/>
              <w:jc w:val="center"/>
            </w:pPr>
            <w:r>
              <w:t xml:space="preserve">-0.310 </w:t>
            </w:r>
          </w:p>
        </w:tc>
        <w:tc>
          <w:tcPr>
            <w:tcW w:w="1374" w:type="dxa"/>
            <w:tcBorders>
              <w:top w:val="single" w:sz="4" w:space="0" w:color="000000"/>
              <w:left w:val="single" w:sz="4" w:space="0" w:color="000000"/>
              <w:bottom w:val="single" w:sz="4" w:space="0" w:color="000000"/>
              <w:right w:val="single" w:sz="4" w:space="0" w:color="000000"/>
            </w:tcBorders>
            <w:vAlign w:val="center"/>
          </w:tcPr>
          <w:p w14:paraId="01075721" w14:textId="77777777" w:rsidR="003B629C" w:rsidRDefault="00000000">
            <w:pPr>
              <w:spacing w:after="0" w:line="259" w:lineRule="auto"/>
              <w:ind w:left="0" w:right="48" w:firstLine="0"/>
              <w:jc w:val="center"/>
            </w:pPr>
            <w:r>
              <w:t xml:space="preserve">-1.377 </w:t>
            </w:r>
          </w:p>
        </w:tc>
        <w:tc>
          <w:tcPr>
            <w:tcW w:w="1176" w:type="dxa"/>
            <w:tcBorders>
              <w:top w:val="single" w:sz="4" w:space="0" w:color="000000"/>
              <w:left w:val="single" w:sz="4" w:space="0" w:color="000000"/>
              <w:bottom w:val="single" w:sz="4" w:space="0" w:color="000000"/>
              <w:right w:val="single" w:sz="4" w:space="0" w:color="000000"/>
            </w:tcBorders>
            <w:vAlign w:val="center"/>
          </w:tcPr>
          <w:p w14:paraId="11A64377" w14:textId="77777777" w:rsidR="003B629C" w:rsidRDefault="00000000">
            <w:pPr>
              <w:spacing w:after="0" w:line="259" w:lineRule="auto"/>
              <w:ind w:left="0" w:right="48" w:firstLine="0"/>
              <w:jc w:val="center"/>
            </w:pPr>
            <w:r>
              <w:t xml:space="preserve">0.227 </w:t>
            </w:r>
          </w:p>
        </w:tc>
      </w:tr>
      <w:tr w:rsidR="003B629C" w14:paraId="7D77FEFC" w14:textId="77777777">
        <w:trPr>
          <w:trHeight w:val="610"/>
        </w:trPr>
        <w:tc>
          <w:tcPr>
            <w:tcW w:w="1695" w:type="dxa"/>
            <w:tcBorders>
              <w:top w:val="single" w:sz="4" w:space="0" w:color="000000"/>
              <w:left w:val="single" w:sz="4" w:space="0" w:color="000000"/>
              <w:bottom w:val="single" w:sz="4" w:space="0" w:color="000000"/>
              <w:right w:val="single" w:sz="4" w:space="0" w:color="000000"/>
            </w:tcBorders>
            <w:vAlign w:val="center"/>
          </w:tcPr>
          <w:p w14:paraId="15BE9C70" w14:textId="77777777" w:rsidR="003B629C" w:rsidRDefault="00000000">
            <w:pPr>
              <w:spacing w:after="0" w:line="259" w:lineRule="auto"/>
              <w:ind w:left="0" w:firstLine="0"/>
              <w:jc w:val="left"/>
            </w:pPr>
            <w:r>
              <w:t>Expense Ratio</w:t>
            </w:r>
            <w:r>
              <w:rPr>
                <w:b/>
              </w:rPr>
              <w:t xml:space="preserve"> </w:t>
            </w:r>
          </w:p>
        </w:tc>
        <w:tc>
          <w:tcPr>
            <w:tcW w:w="1859" w:type="dxa"/>
            <w:tcBorders>
              <w:top w:val="single" w:sz="4" w:space="0" w:color="000000"/>
              <w:left w:val="single" w:sz="4" w:space="0" w:color="000000"/>
              <w:bottom w:val="single" w:sz="4" w:space="0" w:color="000000"/>
              <w:right w:val="single" w:sz="4" w:space="0" w:color="000000"/>
            </w:tcBorders>
            <w:vAlign w:val="center"/>
          </w:tcPr>
          <w:p w14:paraId="4C843A2F" w14:textId="77777777" w:rsidR="003B629C" w:rsidRDefault="00000000">
            <w:pPr>
              <w:spacing w:after="0" w:line="259" w:lineRule="auto"/>
              <w:ind w:left="0" w:right="53" w:firstLine="0"/>
              <w:jc w:val="center"/>
            </w:pPr>
            <w:r>
              <w:t xml:space="preserve">4.07 </w:t>
            </w:r>
          </w:p>
        </w:tc>
        <w:tc>
          <w:tcPr>
            <w:tcW w:w="1642" w:type="dxa"/>
            <w:tcBorders>
              <w:top w:val="single" w:sz="4" w:space="0" w:color="000000"/>
              <w:left w:val="single" w:sz="4" w:space="0" w:color="000000"/>
              <w:bottom w:val="single" w:sz="4" w:space="0" w:color="000000"/>
              <w:right w:val="single" w:sz="4" w:space="0" w:color="000000"/>
            </w:tcBorders>
            <w:vAlign w:val="center"/>
          </w:tcPr>
          <w:p w14:paraId="07B8F5D5" w14:textId="77777777" w:rsidR="003B629C" w:rsidRDefault="00000000">
            <w:pPr>
              <w:spacing w:after="0" w:line="259" w:lineRule="auto"/>
              <w:ind w:left="0" w:right="49" w:firstLine="0"/>
              <w:jc w:val="center"/>
            </w:pPr>
            <w:r>
              <w:t xml:space="preserve">2.46 </w:t>
            </w:r>
          </w:p>
        </w:tc>
        <w:tc>
          <w:tcPr>
            <w:tcW w:w="1824" w:type="dxa"/>
            <w:tcBorders>
              <w:top w:val="single" w:sz="4" w:space="0" w:color="000000"/>
              <w:left w:val="single" w:sz="4" w:space="0" w:color="000000"/>
              <w:bottom w:val="single" w:sz="4" w:space="0" w:color="000000"/>
              <w:right w:val="single" w:sz="4" w:space="0" w:color="000000"/>
            </w:tcBorders>
            <w:vAlign w:val="center"/>
          </w:tcPr>
          <w:p w14:paraId="5DBB9297" w14:textId="77777777" w:rsidR="003B629C" w:rsidRDefault="00000000">
            <w:pPr>
              <w:spacing w:after="0" w:line="259" w:lineRule="auto"/>
              <w:ind w:left="0" w:right="53" w:firstLine="0"/>
              <w:jc w:val="center"/>
            </w:pPr>
            <w:r>
              <w:t xml:space="preserve">0.290 </w:t>
            </w:r>
          </w:p>
        </w:tc>
        <w:tc>
          <w:tcPr>
            <w:tcW w:w="1374" w:type="dxa"/>
            <w:tcBorders>
              <w:top w:val="single" w:sz="4" w:space="0" w:color="000000"/>
              <w:left w:val="single" w:sz="4" w:space="0" w:color="000000"/>
              <w:bottom w:val="single" w:sz="4" w:space="0" w:color="000000"/>
              <w:right w:val="single" w:sz="4" w:space="0" w:color="000000"/>
            </w:tcBorders>
            <w:vAlign w:val="center"/>
          </w:tcPr>
          <w:p w14:paraId="7FF39D1E" w14:textId="77777777" w:rsidR="003B629C" w:rsidRDefault="00000000">
            <w:pPr>
              <w:spacing w:after="0" w:line="259" w:lineRule="auto"/>
              <w:ind w:left="0" w:right="53" w:firstLine="0"/>
              <w:jc w:val="center"/>
            </w:pPr>
            <w:r>
              <w:t xml:space="preserve">1.653 </w:t>
            </w:r>
          </w:p>
        </w:tc>
        <w:tc>
          <w:tcPr>
            <w:tcW w:w="1176" w:type="dxa"/>
            <w:tcBorders>
              <w:top w:val="single" w:sz="4" w:space="0" w:color="000000"/>
              <w:left w:val="single" w:sz="4" w:space="0" w:color="000000"/>
              <w:bottom w:val="single" w:sz="4" w:space="0" w:color="000000"/>
              <w:right w:val="single" w:sz="4" w:space="0" w:color="000000"/>
            </w:tcBorders>
            <w:vAlign w:val="center"/>
          </w:tcPr>
          <w:p w14:paraId="3FDF882D" w14:textId="77777777" w:rsidR="003B629C" w:rsidRDefault="00000000">
            <w:pPr>
              <w:spacing w:after="0" w:line="259" w:lineRule="auto"/>
              <w:ind w:left="0" w:right="48" w:firstLine="0"/>
              <w:jc w:val="center"/>
            </w:pPr>
            <w:r>
              <w:t xml:space="preserve">0.159 </w:t>
            </w:r>
          </w:p>
        </w:tc>
      </w:tr>
    </w:tbl>
    <w:p w14:paraId="7F7E052D" w14:textId="77777777" w:rsidR="003B629C" w:rsidRDefault="00000000">
      <w:pPr>
        <w:spacing w:after="396" w:line="259" w:lineRule="auto"/>
        <w:ind w:left="129"/>
      </w:pPr>
      <w:r>
        <w:t xml:space="preserve">Source: NAV as on date February 18 2025  </w:t>
      </w:r>
    </w:p>
    <w:p w14:paraId="20998476" w14:textId="77777777" w:rsidR="003B629C" w:rsidRDefault="00000000">
      <w:pPr>
        <w:ind w:left="129"/>
      </w:pPr>
      <w:r>
        <w:lastRenderedPageBreak/>
        <w:t xml:space="preserve">The regression results show that </w:t>
      </w:r>
      <w:r>
        <w:rPr>
          <w:b/>
        </w:rPr>
        <w:t>GDP Growth</w:t>
      </w:r>
      <w:r>
        <w:t xml:space="preserve"> has a significant positive impact on SIP returns (</w:t>
      </w:r>
      <w:r>
        <w:rPr>
          <w:b/>
        </w:rPr>
        <w:t>p = 0.005</w:t>
      </w:r>
      <w:r>
        <w:t xml:space="preserve">), indicating strong influence. While </w:t>
      </w:r>
      <w:r>
        <w:rPr>
          <w:b/>
        </w:rPr>
        <w:t>Inflation</w:t>
      </w:r>
      <w:r>
        <w:t xml:space="preserve"> and </w:t>
      </w:r>
      <w:r>
        <w:rPr>
          <w:b/>
        </w:rPr>
        <w:t>Expense Ratio</w:t>
      </w:r>
      <w:r>
        <w:t xml:space="preserve"> show positive effects, and </w:t>
      </w:r>
      <w:r>
        <w:rPr>
          <w:b/>
        </w:rPr>
        <w:t>Interest Rates</w:t>
      </w:r>
      <w:r>
        <w:t xml:space="preserve"> a negative one, none of them are statistically significant (</w:t>
      </w:r>
      <w:r>
        <w:rPr>
          <w:b/>
        </w:rPr>
        <w:t>p &gt; 0.05</w:t>
      </w:r>
      <w:r>
        <w:t xml:space="preserve">). This suggests that among the variables studied, </w:t>
      </w:r>
      <w:r>
        <w:rPr>
          <w:b/>
        </w:rPr>
        <w:t>GDP Growth</w:t>
      </w:r>
      <w:r>
        <w:t xml:space="preserve"> is the most reliable predictor of SIP performance in thematic funds. </w:t>
      </w:r>
    </w:p>
    <w:p w14:paraId="3C7B791C" w14:textId="77777777" w:rsidR="003B629C" w:rsidRDefault="00000000">
      <w:pPr>
        <w:spacing w:after="0" w:line="260" w:lineRule="auto"/>
        <w:ind w:left="129" w:right="5169"/>
        <w:jc w:val="left"/>
      </w:pPr>
      <w:r>
        <w:rPr>
          <w:b/>
        </w:rPr>
        <w:t>Annualized Returns:</w:t>
      </w:r>
      <w:r>
        <w:t xml:space="preserve"> </w:t>
      </w:r>
      <w:r>
        <w:rPr>
          <w:b/>
        </w:rPr>
        <w:t xml:space="preserve"> </w:t>
      </w:r>
    </w:p>
    <w:tbl>
      <w:tblPr>
        <w:tblStyle w:val="TableGrid"/>
        <w:tblW w:w="9488" w:type="dxa"/>
        <w:tblInd w:w="139" w:type="dxa"/>
        <w:tblCellMar>
          <w:top w:w="7" w:type="dxa"/>
          <w:left w:w="110" w:type="dxa"/>
          <w:right w:w="110" w:type="dxa"/>
        </w:tblCellMar>
        <w:tblLook w:val="04A0" w:firstRow="1" w:lastRow="0" w:firstColumn="1" w:lastColumn="0" w:noHBand="0" w:noVBand="1"/>
      </w:tblPr>
      <w:tblGrid>
        <w:gridCol w:w="1887"/>
        <w:gridCol w:w="1777"/>
        <w:gridCol w:w="2060"/>
        <w:gridCol w:w="1949"/>
        <w:gridCol w:w="1815"/>
      </w:tblGrid>
      <w:tr w:rsidR="003B629C" w14:paraId="77808FC7" w14:textId="77777777">
        <w:trPr>
          <w:trHeight w:val="1042"/>
        </w:trPr>
        <w:tc>
          <w:tcPr>
            <w:tcW w:w="1887" w:type="dxa"/>
            <w:tcBorders>
              <w:top w:val="single" w:sz="4" w:space="0" w:color="000000"/>
              <w:left w:val="single" w:sz="4" w:space="0" w:color="000000"/>
              <w:bottom w:val="single" w:sz="4" w:space="0" w:color="000000"/>
              <w:right w:val="single" w:sz="4" w:space="0" w:color="000000"/>
            </w:tcBorders>
            <w:vAlign w:val="center"/>
          </w:tcPr>
          <w:p w14:paraId="67E203A2" w14:textId="77777777" w:rsidR="003B629C" w:rsidRDefault="00000000">
            <w:pPr>
              <w:spacing w:after="0" w:line="259" w:lineRule="auto"/>
              <w:ind w:left="0" w:firstLine="0"/>
              <w:jc w:val="left"/>
            </w:pPr>
            <w:r>
              <w:rPr>
                <w:b/>
              </w:rPr>
              <w:t>Fund Name</w:t>
            </w:r>
            <w:r>
              <w:t xml:space="preserve"> </w:t>
            </w:r>
          </w:p>
        </w:tc>
        <w:tc>
          <w:tcPr>
            <w:tcW w:w="1777" w:type="dxa"/>
            <w:tcBorders>
              <w:top w:val="single" w:sz="4" w:space="0" w:color="000000"/>
              <w:left w:val="single" w:sz="4" w:space="0" w:color="000000"/>
              <w:bottom w:val="single" w:sz="4" w:space="0" w:color="000000"/>
              <w:right w:val="single" w:sz="4" w:space="0" w:color="000000"/>
            </w:tcBorders>
            <w:vAlign w:val="center"/>
          </w:tcPr>
          <w:p w14:paraId="64B23D3C" w14:textId="77777777" w:rsidR="003B629C" w:rsidRDefault="00000000">
            <w:pPr>
              <w:spacing w:after="0" w:line="259" w:lineRule="auto"/>
              <w:ind w:left="0" w:firstLine="0"/>
            </w:pPr>
            <w:r>
              <w:rPr>
                <w:b/>
              </w:rPr>
              <w:t xml:space="preserve">1-Year Return </w:t>
            </w:r>
          </w:p>
          <w:p w14:paraId="24E40968" w14:textId="77777777" w:rsidR="003B629C" w:rsidRDefault="00000000">
            <w:pPr>
              <w:spacing w:after="0" w:line="259" w:lineRule="auto"/>
              <w:ind w:left="0" w:firstLine="0"/>
              <w:jc w:val="left"/>
            </w:pPr>
            <w:r>
              <w:rPr>
                <w:b/>
              </w:rPr>
              <w:t>(%)</w:t>
            </w:r>
            <w:r>
              <w:t xml:space="preserve"> </w:t>
            </w:r>
          </w:p>
        </w:tc>
        <w:tc>
          <w:tcPr>
            <w:tcW w:w="2060" w:type="dxa"/>
            <w:tcBorders>
              <w:top w:val="single" w:sz="4" w:space="0" w:color="000000"/>
              <w:left w:val="single" w:sz="4" w:space="0" w:color="000000"/>
              <w:bottom w:val="single" w:sz="4" w:space="0" w:color="000000"/>
              <w:right w:val="single" w:sz="4" w:space="0" w:color="000000"/>
            </w:tcBorders>
            <w:vAlign w:val="center"/>
          </w:tcPr>
          <w:p w14:paraId="5B498FC1" w14:textId="77777777" w:rsidR="003B629C" w:rsidRDefault="00000000">
            <w:pPr>
              <w:spacing w:after="0" w:line="259" w:lineRule="auto"/>
              <w:ind w:left="0" w:firstLine="0"/>
              <w:jc w:val="left"/>
            </w:pPr>
            <w:r>
              <w:rPr>
                <w:b/>
              </w:rPr>
              <w:t xml:space="preserve">3-Year CAGR </w:t>
            </w:r>
          </w:p>
          <w:p w14:paraId="301CC910" w14:textId="77777777" w:rsidR="003B629C" w:rsidRDefault="00000000">
            <w:pPr>
              <w:spacing w:after="0" w:line="259" w:lineRule="auto"/>
              <w:ind w:left="0" w:firstLine="0"/>
              <w:jc w:val="left"/>
            </w:pPr>
            <w:r>
              <w:rPr>
                <w:b/>
              </w:rPr>
              <w:t>(%)</w:t>
            </w:r>
            <w:r>
              <w:t xml:space="preserve"> </w:t>
            </w:r>
          </w:p>
        </w:tc>
        <w:tc>
          <w:tcPr>
            <w:tcW w:w="1949" w:type="dxa"/>
            <w:tcBorders>
              <w:top w:val="single" w:sz="4" w:space="0" w:color="000000"/>
              <w:left w:val="single" w:sz="4" w:space="0" w:color="000000"/>
              <w:bottom w:val="single" w:sz="4" w:space="0" w:color="000000"/>
              <w:right w:val="single" w:sz="4" w:space="0" w:color="000000"/>
            </w:tcBorders>
            <w:vAlign w:val="center"/>
          </w:tcPr>
          <w:p w14:paraId="5B5A3E82" w14:textId="77777777" w:rsidR="003B629C" w:rsidRDefault="00000000">
            <w:pPr>
              <w:spacing w:after="0" w:line="259" w:lineRule="auto"/>
              <w:ind w:left="0" w:firstLine="0"/>
              <w:jc w:val="left"/>
            </w:pPr>
            <w:r>
              <w:rPr>
                <w:b/>
              </w:rPr>
              <w:t xml:space="preserve">5-Year CAGR </w:t>
            </w:r>
          </w:p>
          <w:p w14:paraId="301CD6F2" w14:textId="77777777" w:rsidR="003B629C" w:rsidRDefault="00000000">
            <w:pPr>
              <w:spacing w:after="0" w:line="259" w:lineRule="auto"/>
              <w:ind w:left="0" w:firstLine="0"/>
              <w:jc w:val="left"/>
            </w:pPr>
            <w:r>
              <w:rPr>
                <w:b/>
              </w:rPr>
              <w:t>(%)</w:t>
            </w:r>
            <w:r>
              <w:t xml:space="preserve"> </w:t>
            </w:r>
          </w:p>
        </w:tc>
        <w:tc>
          <w:tcPr>
            <w:tcW w:w="1815" w:type="dxa"/>
            <w:tcBorders>
              <w:top w:val="single" w:sz="4" w:space="0" w:color="000000"/>
              <w:left w:val="single" w:sz="4" w:space="0" w:color="000000"/>
              <w:bottom w:val="single" w:sz="4" w:space="0" w:color="000000"/>
              <w:right w:val="single" w:sz="4" w:space="0" w:color="000000"/>
            </w:tcBorders>
            <w:vAlign w:val="center"/>
          </w:tcPr>
          <w:p w14:paraId="5D6ED3F6" w14:textId="77777777" w:rsidR="003B629C" w:rsidRDefault="00000000">
            <w:pPr>
              <w:spacing w:after="0" w:line="240" w:lineRule="auto"/>
              <w:ind w:left="0" w:firstLine="0"/>
              <w:jc w:val="left"/>
            </w:pPr>
            <w:r>
              <w:rPr>
                <w:b/>
              </w:rPr>
              <w:t xml:space="preserve">Benchmark 5Year CAGR </w:t>
            </w:r>
          </w:p>
          <w:p w14:paraId="7FC65A3B" w14:textId="77777777" w:rsidR="003B629C" w:rsidRDefault="00000000">
            <w:pPr>
              <w:spacing w:after="0" w:line="259" w:lineRule="auto"/>
              <w:ind w:left="0" w:firstLine="0"/>
              <w:jc w:val="left"/>
            </w:pPr>
            <w:r>
              <w:rPr>
                <w:b/>
              </w:rPr>
              <w:t>(%)</w:t>
            </w:r>
            <w:r>
              <w:t xml:space="preserve"> </w:t>
            </w:r>
          </w:p>
        </w:tc>
      </w:tr>
      <w:tr w:rsidR="003B629C" w14:paraId="0CF52B89" w14:textId="77777777">
        <w:trPr>
          <w:trHeight w:val="562"/>
        </w:trPr>
        <w:tc>
          <w:tcPr>
            <w:tcW w:w="1887" w:type="dxa"/>
            <w:tcBorders>
              <w:top w:val="single" w:sz="4" w:space="0" w:color="000000"/>
              <w:left w:val="single" w:sz="4" w:space="0" w:color="000000"/>
              <w:bottom w:val="single" w:sz="4" w:space="0" w:color="000000"/>
              <w:right w:val="single" w:sz="4" w:space="0" w:color="000000"/>
            </w:tcBorders>
          </w:tcPr>
          <w:p w14:paraId="1A18B95C" w14:textId="77777777" w:rsidR="003B629C" w:rsidRDefault="00000000">
            <w:pPr>
              <w:spacing w:after="0" w:line="259" w:lineRule="auto"/>
              <w:ind w:left="0" w:firstLine="0"/>
              <w:jc w:val="left"/>
            </w:pPr>
            <w:r>
              <w:t xml:space="preserve">Sundaram </w:t>
            </w:r>
          </w:p>
          <w:p w14:paraId="418BBFD6" w14:textId="77777777" w:rsidR="003B629C" w:rsidRDefault="00000000">
            <w:pPr>
              <w:spacing w:after="0" w:line="259" w:lineRule="auto"/>
              <w:ind w:left="0" w:firstLine="0"/>
              <w:jc w:val="left"/>
            </w:pPr>
            <w:r>
              <w:t xml:space="preserve">Services Fund </w:t>
            </w:r>
          </w:p>
        </w:tc>
        <w:tc>
          <w:tcPr>
            <w:tcW w:w="1777" w:type="dxa"/>
            <w:tcBorders>
              <w:top w:val="single" w:sz="4" w:space="0" w:color="000000"/>
              <w:left w:val="single" w:sz="4" w:space="0" w:color="000000"/>
              <w:bottom w:val="single" w:sz="4" w:space="0" w:color="000000"/>
              <w:right w:val="single" w:sz="4" w:space="0" w:color="000000"/>
            </w:tcBorders>
            <w:vAlign w:val="center"/>
          </w:tcPr>
          <w:p w14:paraId="294B3E2C" w14:textId="77777777" w:rsidR="003B629C" w:rsidRDefault="00000000">
            <w:pPr>
              <w:spacing w:after="0" w:line="259" w:lineRule="auto"/>
              <w:ind w:left="0" w:firstLine="0"/>
              <w:jc w:val="left"/>
            </w:pPr>
            <w:r>
              <w:t xml:space="preserve">13.8 </w:t>
            </w:r>
          </w:p>
        </w:tc>
        <w:tc>
          <w:tcPr>
            <w:tcW w:w="2060" w:type="dxa"/>
            <w:tcBorders>
              <w:top w:val="single" w:sz="4" w:space="0" w:color="000000"/>
              <w:left w:val="single" w:sz="4" w:space="0" w:color="000000"/>
              <w:bottom w:val="single" w:sz="4" w:space="0" w:color="000000"/>
              <w:right w:val="single" w:sz="4" w:space="0" w:color="000000"/>
            </w:tcBorders>
            <w:vAlign w:val="center"/>
          </w:tcPr>
          <w:p w14:paraId="469CF81F" w14:textId="77777777" w:rsidR="003B629C" w:rsidRDefault="00000000">
            <w:pPr>
              <w:spacing w:after="0" w:line="259" w:lineRule="auto"/>
              <w:ind w:left="0" w:firstLine="0"/>
              <w:jc w:val="left"/>
            </w:pPr>
            <w:r>
              <w:t xml:space="preserve">15.1 </w:t>
            </w:r>
          </w:p>
        </w:tc>
        <w:tc>
          <w:tcPr>
            <w:tcW w:w="1949" w:type="dxa"/>
            <w:tcBorders>
              <w:top w:val="single" w:sz="4" w:space="0" w:color="000000"/>
              <w:left w:val="single" w:sz="4" w:space="0" w:color="000000"/>
              <w:bottom w:val="single" w:sz="4" w:space="0" w:color="000000"/>
              <w:right w:val="single" w:sz="4" w:space="0" w:color="000000"/>
            </w:tcBorders>
            <w:vAlign w:val="center"/>
          </w:tcPr>
          <w:p w14:paraId="0EE7AACF" w14:textId="77777777" w:rsidR="003B629C" w:rsidRDefault="00000000">
            <w:pPr>
              <w:spacing w:after="0" w:line="259" w:lineRule="auto"/>
              <w:ind w:left="0" w:firstLine="0"/>
              <w:jc w:val="left"/>
            </w:pPr>
            <w:r>
              <w:t xml:space="preserve">19.5 </w:t>
            </w:r>
          </w:p>
        </w:tc>
        <w:tc>
          <w:tcPr>
            <w:tcW w:w="1815" w:type="dxa"/>
            <w:tcBorders>
              <w:top w:val="single" w:sz="4" w:space="0" w:color="000000"/>
              <w:left w:val="single" w:sz="4" w:space="0" w:color="000000"/>
              <w:bottom w:val="single" w:sz="4" w:space="0" w:color="000000"/>
              <w:right w:val="single" w:sz="4" w:space="0" w:color="000000"/>
            </w:tcBorders>
            <w:vAlign w:val="center"/>
          </w:tcPr>
          <w:p w14:paraId="6890901A" w14:textId="77777777" w:rsidR="003B629C" w:rsidRDefault="00000000">
            <w:pPr>
              <w:spacing w:after="0" w:line="259" w:lineRule="auto"/>
              <w:ind w:left="0" w:firstLine="0"/>
              <w:jc w:val="left"/>
            </w:pPr>
            <w:r>
              <w:t xml:space="preserve">13.5 </w:t>
            </w:r>
          </w:p>
        </w:tc>
      </w:tr>
      <w:tr w:rsidR="003B629C" w14:paraId="695A7D46" w14:textId="77777777">
        <w:trPr>
          <w:trHeight w:val="835"/>
        </w:trPr>
        <w:tc>
          <w:tcPr>
            <w:tcW w:w="1887" w:type="dxa"/>
            <w:tcBorders>
              <w:top w:val="single" w:sz="4" w:space="0" w:color="000000"/>
              <w:left w:val="single" w:sz="4" w:space="0" w:color="000000"/>
              <w:bottom w:val="single" w:sz="4" w:space="0" w:color="000000"/>
              <w:right w:val="single" w:sz="4" w:space="0" w:color="000000"/>
            </w:tcBorders>
          </w:tcPr>
          <w:p w14:paraId="3493E470" w14:textId="77777777" w:rsidR="003B629C" w:rsidRDefault="00000000">
            <w:pPr>
              <w:spacing w:after="0" w:line="259" w:lineRule="auto"/>
              <w:ind w:left="0" w:firstLine="0"/>
              <w:jc w:val="left"/>
            </w:pPr>
            <w:r>
              <w:t xml:space="preserve">Sundaram </w:t>
            </w:r>
          </w:p>
          <w:p w14:paraId="28AF62F9" w14:textId="77777777" w:rsidR="003B629C" w:rsidRDefault="00000000">
            <w:pPr>
              <w:spacing w:after="0" w:line="259" w:lineRule="auto"/>
              <w:ind w:left="0" w:firstLine="0"/>
              <w:jc w:val="left"/>
            </w:pPr>
            <w:r>
              <w:t xml:space="preserve">Infrastructure Fund </w:t>
            </w:r>
          </w:p>
        </w:tc>
        <w:tc>
          <w:tcPr>
            <w:tcW w:w="1777" w:type="dxa"/>
            <w:tcBorders>
              <w:top w:val="single" w:sz="4" w:space="0" w:color="000000"/>
              <w:left w:val="single" w:sz="4" w:space="0" w:color="000000"/>
              <w:bottom w:val="single" w:sz="4" w:space="0" w:color="000000"/>
              <w:right w:val="single" w:sz="4" w:space="0" w:color="000000"/>
            </w:tcBorders>
            <w:vAlign w:val="center"/>
          </w:tcPr>
          <w:p w14:paraId="6B74AC77" w14:textId="77777777" w:rsidR="003B629C" w:rsidRDefault="00000000">
            <w:pPr>
              <w:spacing w:after="0" w:line="259" w:lineRule="auto"/>
              <w:ind w:left="0" w:firstLine="0"/>
              <w:jc w:val="left"/>
            </w:pPr>
            <w:r>
              <w:t xml:space="preserve">11.1 </w:t>
            </w:r>
          </w:p>
        </w:tc>
        <w:tc>
          <w:tcPr>
            <w:tcW w:w="2060" w:type="dxa"/>
            <w:tcBorders>
              <w:top w:val="single" w:sz="4" w:space="0" w:color="000000"/>
              <w:left w:val="single" w:sz="4" w:space="0" w:color="000000"/>
              <w:bottom w:val="single" w:sz="4" w:space="0" w:color="000000"/>
              <w:right w:val="single" w:sz="4" w:space="0" w:color="000000"/>
            </w:tcBorders>
            <w:vAlign w:val="center"/>
          </w:tcPr>
          <w:p w14:paraId="76095267" w14:textId="77777777" w:rsidR="003B629C" w:rsidRDefault="00000000">
            <w:pPr>
              <w:spacing w:after="0" w:line="259" w:lineRule="auto"/>
              <w:ind w:left="0" w:firstLine="0"/>
              <w:jc w:val="left"/>
            </w:pPr>
            <w:r>
              <w:t xml:space="preserve">18.5 </w:t>
            </w:r>
          </w:p>
        </w:tc>
        <w:tc>
          <w:tcPr>
            <w:tcW w:w="1949" w:type="dxa"/>
            <w:tcBorders>
              <w:top w:val="single" w:sz="4" w:space="0" w:color="000000"/>
              <w:left w:val="single" w:sz="4" w:space="0" w:color="000000"/>
              <w:bottom w:val="single" w:sz="4" w:space="0" w:color="000000"/>
              <w:right w:val="single" w:sz="4" w:space="0" w:color="000000"/>
            </w:tcBorders>
            <w:vAlign w:val="center"/>
          </w:tcPr>
          <w:p w14:paraId="5EAB3F50" w14:textId="77777777" w:rsidR="003B629C" w:rsidRDefault="00000000">
            <w:pPr>
              <w:spacing w:after="0" w:line="259" w:lineRule="auto"/>
              <w:ind w:left="0" w:firstLine="0"/>
              <w:jc w:val="left"/>
            </w:pPr>
            <w:r>
              <w:t xml:space="preserve">21.6 </w:t>
            </w:r>
          </w:p>
        </w:tc>
        <w:tc>
          <w:tcPr>
            <w:tcW w:w="1815" w:type="dxa"/>
            <w:tcBorders>
              <w:top w:val="single" w:sz="4" w:space="0" w:color="000000"/>
              <w:left w:val="single" w:sz="4" w:space="0" w:color="000000"/>
              <w:bottom w:val="single" w:sz="4" w:space="0" w:color="000000"/>
              <w:right w:val="single" w:sz="4" w:space="0" w:color="000000"/>
            </w:tcBorders>
            <w:vAlign w:val="center"/>
          </w:tcPr>
          <w:p w14:paraId="6AA8D0AD" w14:textId="77777777" w:rsidR="003B629C" w:rsidRDefault="00000000">
            <w:pPr>
              <w:spacing w:after="0" w:line="259" w:lineRule="auto"/>
              <w:ind w:left="0" w:firstLine="0"/>
              <w:jc w:val="left"/>
            </w:pPr>
            <w:r>
              <w:t xml:space="preserve">22.3 </w:t>
            </w:r>
          </w:p>
        </w:tc>
      </w:tr>
      <w:tr w:rsidR="003B629C" w14:paraId="67A5592F" w14:textId="77777777">
        <w:trPr>
          <w:trHeight w:val="840"/>
        </w:trPr>
        <w:tc>
          <w:tcPr>
            <w:tcW w:w="1887" w:type="dxa"/>
            <w:tcBorders>
              <w:top w:val="single" w:sz="4" w:space="0" w:color="000000"/>
              <w:left w:val="single" w:sz="4" w:space="0" w:color="000000"/>
              <w:bottom w:val="single" w:sz="4" w:space="0" w:color="000000"/>
              <w:right w:val="single" w:sz="4" w:space="0" w:color="000000"/>
            </w:tcBorders>
          </w:tcPr>
          <w:p w14:paraId="4F84CD02" w14:textId="77777777" w:rsidR="003B629C" w:rsidRDefault="00000000">
            <w:pPr>
              <w:spacing w:after="0" w:line="259" w:lineRule="auto"/>
              <w:ind w:left="0" w:firstLine="0"/>
              <w:jc w:val="left"/>
            </w:pPr>
            <w:r>
              <w:t xml:space="preserve">Sundaram </w:t>
            </w:r>
          </w:p>
          <w:p w14:paraId="34B992C1" w14:textId="77777777" w:rsidR="003B629C" w:rsidRDefault="00000000">
            <w:pPr>
              <w:spacing w:after="0" w:line="259" w:lineRule="auto"/>
              <w:ind w:left="0" w:firstLine="0"/>
              <w:jc w:val="left"/>
            </w:pPr>
            <w:r>
              <w:t xml:space="preserve">Consumption Fund </w:t>
            </w:r>
          </w:p>
        </w:tc>
        <w:tc>
          <w:tcPr>
            <w:tcW w:w="1777" w:type="dxa"/>
            <w:tcBorders>
              <w:top w:val="single" w:sz="4" w:space="0" w:color="000000"/>
              <w:left w:val="single" w:sz="4" w:space="0" w:color="000000"/>
              <w:bottom w:val="single" w:sz="4" w:space="0" w:color="000000"/>
              <w:right w:val="single" w:sz="4" w:space="0" w:color="000000"/>
            </w:tcBorders>
            <w:vAlign w:val="center"/>
          </w:tcPr>
          <w:p w14:paraId="4E3FC576" w14:textId="77777777" w:rsidR="003B629C" w:rsidRDefault="00000000">
            <w:pPr>
              <w:spacing w:after="0" w:line="259" w:lineRule="auto"/>
              <w:ind w:left="0" w:firstLine="0"/>
              <w:jc w:val="left"/>
            </w:pPr>
            <w:r>
              <w:t xml:space="preserve">17.0 </w:t>
            </w:r>
          </w:p>
        </w:tc>
        <w:tc>
          <w:tcPr>
            <w:tcW w:w="2060" w:type="dxa"/>
            <w:tcBorders>
              <w:top w:val="single" w:sz="4" w:space="0" w:color="000000"/>
              <w:left w:val="single" w:sz="4" w:space="0" w:color="000000"/>
              <w:bottom w:val="single" w:sz="4" w:space="0" w:color="000000"/>
              <w:right w:val="single" w:sz="4" w:space="0" w:color="000000"/>
            </w:tcBorders>
            <w:vAlign w:val="center"/>
          </w:tcPr>
          <w:p w14:paraId="7F87276A" w14:textId="77777777" w:rsidR="003B629C" w:rsidRDefault="00000000">
            <w:pPr>
              <w:spacing w:after="0" w:line="259" w:lineRule="auto"/>
              <w:ind w:left="0" w:firstLine="0"/>
              <w:jc w:val="left"/>
            </w:pPr>
            <w:r>
              <w:t xml:space="preserve">18.1 </w:t>
            </w:r>
          </w:p>
        </w:tc>
        <w:tc>
          <w:tcPr>
            <w:tcW w:w="1949" w:type="dxa"/>
            <w:tcBorders>
              <w:top w:val="single" w:sz="4" w:space="0" w:color="000000"/>
              <w:left w:val="single" w:sz="4" w:space="0" w:color="000000"/>
              <w:bottom w:val="single" w:sz="4" w:space="0" w:color="000000"/>
              <w:right w:val="single" w:sz="4" w:space="0" w:color="000000"/>
            </w:tcBorders>
            <w:vAlign w:val="center"/>
          </w:tcPr>
          <w:p w14:paraId="7F000EC1" w14:textId="77777777" w:rsidR="003B629C" w:rsidRDefault="00000000">
            <w:pPr>
              <w:spacing w:after="0" w:line="259" w:lineRule="auto"/>
              <w:ind w:left="0" w:firstLine="0"/>
              <w:jc w:val="left"/>
            </w:pPr>
            <w:r>
              <w:t xml:space="preserve">16.3 </w:t>
            </w:r>
          </w:p>
        </w:tc>
        <w:tc>
          <w:tcPr>
            <w:tcW w:w="1815" w:type="dxa"/>
            <w:tcBorders>
              <w:top w:val="single" w:sz="4" w:space="0" w:color="000000"/>
              <w:left w:val="single" w:sz="4" w:space="0" w:color="000000"/>
              <w:bottom w:val="single" w:sz="4" w:space="0" w:color="000000"/>
              <w:right w:val="single" w:sz="4" w:space="0" w:color="000000"/>
            </w:tcBorders>
            <w:vAlign w:val="center"/>
          </w:tcPr>
          <w:p w14:paraId="40430F0E" w14:textId="77777777" w:rsidR="003B629C" w:rsidRDefault="00000000">
            <w:pPr>
              <w:spacing w:after="0" w:line="259" w:lineRule="auto"/>
              <w:ind w:left="0" w:firstLine="0"/>
              <w:jc w:val="left"/>
            </w:pPr>
            <w:r>
              <w:t xml:space="preserve">18.3 </w:t>
            </w:r>
          </w:p>
        </w:tc>
      </w:tr>
      <w:tr w:rsidR="003B629C" w14:paraId="5E353947" w14:textId="77777777">
        <w:trPr>
          <w:trHeight w:val="840"/>
        </w:trPr>
        <w:tc>
          <w:tcPr>
            <w:tcW w:w="1887" w:type="dxa"/>
            <w:tcBorders>
              <w:top w:val="single" w:sz="4" w:space="0" w:color="000000"/>
              <w:left w:val="single" w:sz="4" w:space="0" w:color="000000"/>
              <w:bottom w:val="single" w:sz="4" w:space="0" w:color="000000"/>
              <w:right w:val="single" w:sz="4" w:space="0" w:color="000000"/>
            </w:tcBorders>
          </w:tcPr>
          <w:p w14:paraId="4D5B5CC1" w14:textId="77777777" w:rsidR="003B629C" w:rsidRDefault="00000000">
            <w:pPr>
              <w:spacing w:after="0" w:line="259" w:lineRule="auto"/>
              <w:ind w:left="0" w:firstLine="0"/>
              <w:jc w:val="left"/>
            </w:pPr>
            <w:r>
              <w:t xml:space="preserve">Sundaram </w:t>
            </w:r>
          </w:p>
          <w:p w14:paraId="45023B8B" w14:textId="77777777" w:rsidR="003B629C" w:rsidRDefault="00000000">
            <w:pPr>
              <w:spacing w:after="0" w:line="259" w:lineRule="auto"/>
              <w:ind w:left="0" w:firstLine="0"/>
              <w:jc w:val="left"/>
            </w:pPr>
            <w:r>
              <w:t xml:space="preserve">Financial </w:t>
            </w:r>
          </w:p>
          <w:p w14:paraId="01B31EC3" w14:textId="77777777" w:rsidR="003B629C" w:rsidRDefault="00000000">
            <w:pPr>
              <w:spacing w:after="0" w:line="259" w:lineRule="auto"/>
              <w:ind w:left="0" w:firstLine="0"/>
              <w:jc w:val="left"/>
            </w:pPr>
            <w:r>
              <w:t>Services Fund</w:t>
            </w:r>
            <w:r>
              <w:rPr>
                <w:b/>
              </w:rPr>
              <w:t xml:space="preserve"> </w:t>
            </w:r>
          </w:p>
        </w:tc>
        <w:tc>
          <w:tcPr>
            <w:tcW w:w="1777" w:type="dxa"/>
            <w:tcBorders>
              <w:top w:val="single" w:sz="4" w:space="0" w:color="000000"/>
              <w:left w:val="single" w:sz="4" w:space="0" w:color="000000"/>
              <w:bottom w:val="single" w:sz="4" w:space="0" w:color="000000"/>
              <w:right w:val="single" w:sz="4" w:space="0" w:color="000000"/>
            </w:tcBorders>
            <w:vAlign w:val="center"/>
          </w:tcPr>
          <w:p w14:paraId="4FAFDB75" w14:textId="77777777" w:rsidR="003B629C" w:rsidRDefault="00000000">
            <w:pPr>
              <w:spacing w:after="0" w:line="259" w:lineRule="auto"/>
              <w:ind w:left="0" w:firstLine="0"/>
              <w:jc w:val="left"/>
            </w:pPr>
            <w:r>
              <w:t xml:space="preserve">6.1 </w:t>
            </w:r>
          </w:p>
        </w:tc>
        <w:tc>
          <w:tcPr>
            <w:tcW w:w="2060" w:type="dxa"/>
            <w:tcBorders>
              <w:top w:val="single" w:sz="4" w:space="0" w:color="000000"/>
              <w:left w:val="single" w:sz="4" w:space="0" w:color="000000"/>
              <w:bottom w:val="single" w:sz="4" w:space="0" w:color="000000"/>
              <w:right w:val="single" w:sz="4" w:space="0" w:color="000000"/>
            </w:tcBorders>
            <w:vAlign w:val="center"/>
          </w:tcPr>
          <w:p w14:paraId="2882EF53" w14:textId="77777777" w:rsidR="003B629C" w:rsidRDefault="00000000">
            <w:pPr>
              <w:spacing w:after="0" w:line="259" w:lineRule="auto"/>
              <w:ind w:left="0" w:firstLine="0"/>
              <w:jc w:val="left"/>
            </w:pPr>
            <w:r>
              <w:t xml:space="preserve">15.8 </w:t>
            </w:r>
          </w:p>
        </w:tc>
        <w:tc>
          <w:tcPr>
            <w:tcW w:w="1949" w:type="dxa"/>
            <w:tcBorders>
              <w:top w:val="single" w:sz="4" w:space="0" w:color="000000"/>
              <w:left w:val="single" w:sz="4" w:space="0" w:color="000000"/>
              <w:bottom w:val="single" w:sz="4" w:space="0" w:color="000000"/>
              <w:right w:val="single" w:sz="4" w:space="0" w:color="000000"/>
            </w:tcBorders>
            <w:vAlign w:val="center"/>
          </w:tcPr>
          <w:p w14:paraId="42240923" w14:textId="77777777" w:rsidR="003B629C" w:rsidRDefault="00000000">
            <w:pPr>
              <w:spacing w:after="0" w:line="259" w:lineRule="auto"/>
              <w:ind w:left="0" w:firstLine="0"/>
              <w:jc w:val="left"/>
            </w:pPr>
            <w:r>
              <w:t xml:space="preserve">14.2 </w:t>
            </w:r>
          </w:p>
        </w:tc>
        <w:tc>
          <w:tcPr>
            <w:tcW w:w="1815" w:type="dxa"/>
            <w:tcBorders>
              <w:top w:val="single" w:sz="4" w:space="0" w:color="000000"/>
              <w:left w:val="single" w:sz="4" w:space="0" w:color="000000"/>
              <w:bottom w:val="single" w:sz="4" w:space="0" w:color="000000"/>
              <w:right w:val="single" w:sz="4" w:space="0" w:color="000000"/>
            </w:tcBorders>
            <w:vAlign w:val="center"/>
          </w:tcPr>
          <w:p w14:paraId="7B7F5037" w14:textId="77777777" w:rsidR="003B629C" w:rsidRDefault="00000000">
            <w:pPr>
              <w:spacing w:after="0" w:line="259" w:lineRule="auto"/>
              <w:ind w:left="0" w:firstLine="0"/>
              <w:jc w:val="left"/>
            </w:pPr>
            <w:r>
              <w:t xml:space="preserve">10.9 </w:t>
            </w:r>
          </w:p>
        </w:tc>
      </w:tr>
    </w:tbl>
    <w:p w14:paraId="3AE336D4" w14:textId="77777777" w:rsidR="003B629C" w:rsidRDefault="00000000">
      <w:pPr>
        <w:spacing w:line="259" w:lineRule="auto"/>
        <w:ind w:left="129"/>
      </w:pPr>
      <w:r>
        <w:t xml:space="preserve">Source: NAV as on date February 18 2025  </w:t>
      </w:r>
    </w:p>
    <w:p w14:paraId="39BB3B48" w14:textId="77777777" w:rsidR="003B629C" w:rsidRDefault="00000000">
      <w:pPr>
        <w:ind w:left="129"/>
      </w:pPr>
      <w:r>
        <w:t xml:space="preserve">The analysis of annualized returns showed that the </w:t>
      </w:r>
      <w:r>
        <w:rPr>
          <w:b/>
        </w:rPr>
        <w:t>Infrastructure Fund</w:t>
      </w:r>
      <w:r>
        <w:t xml:space="preserve"> had the highest CAGR (21.6%) but slightly underperformed its benchmark (22.3%). The </w:t>
      </w:r>
      <w:r>
        <w:rPr>
          <w:b/>
        </w:rPr>
        <w:t>Services Fund</w:t>
      </w:r>
      <w:r>
        <w:t xml:space="preserve"> outperformed its benchmark significantly (19.5% vs. 13.5%), indicating strong fund management. The </w:t>
      </w:r>
      <w:r>
        <w:rPr>
          <w:b/>
        </w:rPr>
        <w:t>Consumption Fund</w:t>
      </w:r>
      <w:r>
        <w:t xml:space="preserve"> showed stable returns, though slightly below its benchmark. The </w:t>
      </w:r>
      <w:r>
        <w:rPr>
          <w:b/>
        </w:rPr>
        <w:t>Financial Services Fund</w:t>
      </w:r>
      <w:r>
        <w:t xml:space="preserve"> consistently outperformed its benchmark across all time frames, making it a reliable long-term option. </w:t>
      </w:r>
    </w:p>
    <w:p w14:paraId="5EDE11F2" w14:textId="77777777" w:rsidR="003B629C" w:rsidRDefault="00000000">
      <w:pPr>
        <w:spacing w:after="118" w:line="260" w:lineRule="auto"/>
        <w:ind w:left="129" w:right="5169"/>
        <w:jc w:val="left"/>
      </w:pPr>
      <w:r>
        <w:rPr>
          <w:b/>
        </w:rPr>
        <w:t xml:space="preserve">ANOVA: </w:t>
      </w:r>
    </w:p>
    <w:tbl>
      <w:tblPr>
        <w:tblStyle w:val="TableGrid"/>
        <w:tblW w:w="9354" w:type="dxa"/>
        <w:tblInd w:w="139" w:type="dxa"/>
        <w:tblCellMar>
          <w:top w:w="7" w:type="dxa"/>
          <w:left w:w="106" w:type="dxa"/>
          <w:right w:w="115" w:type="dxa"/>
        </w:tblCellMar>
        <w:tblLook w:val="04A0" w:firstRow="1" w:lastRow="0" w:firstColumn="1" w:lastColumn="0" w:noHBand="0" w:noVBand="1"/>
      </w:tblPr>
      <w:tblGrid>
        <w:gridCol w:w="1561"/>
        <w:gridCol w:w="1556"/>
        <w:gridCol w:w="1560"/>
        <w:gridCol w:w="1556"/>
        <w:gridCol w:w="1561"/>
        <w:gridCol w:w="1560"/>
      </w:tblGrid>
      <w:tr w:rsidR="003B629C" w14:paraId="65A8F879" w14:textId="77777777">
        <w:trPr>
          <w:trHeight w:val="562"/>
        </w:trPr>
        <w:tc>
          <w:tcPr>
            <w:tcW w:w="1561" w:type="dxa"/>
            <w:tcBorders>
              <w:top w:val="single" w:sz="4" w:space="0" w:color="000000"/>
              <w:left w:val="single" w:sz="4" w:space="0" w:color="000000"/>
              <w:bottom w:val="single" w:sz="4" w:space="0" w:color="000000"/>
              <w:right w:val="single" w:sz="4" w:space="0" w:color="000000"/>
            </w:tcBorders>
            <w:vAlign w:val="center"/>
          </w:tcPr>
          <w:p w14:paraId="0863541F" w14:textId="77777777" w:rsidR="003B629C" w:rsidRDefault="00000000">
            <w:pPr>
              <w:spacing w:after="0" w:line="259" w:lineRule="auto"/>
              <w:ind w:left="5" w:firstLine="0"/>
              <w:jc w:val="left"/>
            </w:pPr>
            <w:r>
              <w:rPr>
                <w:b/>
              </w:rPr>
              <w:t xml:space="preserve">Source </w:t>
            </w:r>
          </w:p>
        </w:tc>
        <w:tc>
          <w:tcPr>
            <w:tcW w:w="1556" w:type="dxa"/>
            <w:tcBorders>
              <w:top w:val="single" w:sz="4" w:space="0" w:color="000000"/>
              <w:left w:val="single" w:sz="4" w:space="0" w:color="000000"/>
              <w:bottom w:val="single" w:sz="4" w:space="0" w:color="000000"/>
              <w:right w:val="single" w:sz="4" w:space="0" w:color="000000"/>
            </w:tcBorders>
          </w:tcPr>
          <w:p w14:paraId="659EEF9E" w14:textId="77777777" w:rsidR="003B629C" w:rsidRDefault="00000000">
            <w:pPr>
              <w:spacing w:after="0" w:line="259" w:lineRule="auto"/>
              <w:ind w:left="0" w:firstLine="0"/>
              <w:jc w:val="left"/>
            </w:pPr>
            <w:r>
              <w:rPr>
                <w:b/>
              </w:rPr>
              <w:t xml:space="preserve">Sum of Squares </w:t>
            </w:r>
          </w:p>
        </w:tc>
        <w:tc>
          <w:tcPr>
            <w:tcW w:w="1560" w:type="dxa"/>
            <w:tcBorders>
              <w:top w:val="single" w:sz="4" w:space="0" w:color="000000"/>
              <w:left w:val="single" w:sz="4" w:space="0" w:color="000000"/>
              <w:bottom w:val="single" w:sz="4" w:space="0" w:color="000000"/>
              <w:right w:val="single" w:sz="4" w:space="0" w:color="000000"/>
            </w:tcBorders>
            <w:vAlign w:val="center"/>
          </w:tcPr>
          <w:p w14:paraId="1D5B6FBF" w14:textId="77777777" w:rsidR="003B629C" w:rsidRDefault="00000000">
            <w:pPr>
              <w:spacing w:after="0" w:line="259" w:lineRule="auto"/>
              <w:ind w:left="5" w:firstLine="0"/>
              <w:jc w:val="left"/>
            </w:pPr>
            <w:proofErr w:type="spellStart"/>
            <w:r>
              <w:rPr>
                <w:b/>
              </w:rPr>
              <w:t>Df</w:t>
            </w:r>
            <w:proofErr w:type="spellEnd"/>
            <w:r>
              <w:rPr>
                <w:b/>
              </w:rP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57DAA2B7" w14:textId="77777777" w:rsidR="003B629C" w:rsidRDefault="00000000">
            <w:pPr>
              <w:spacing w:after="0" w:line="259" w:lineRule="auto"/>
              <w:ind w:left="0" w:firstLine="0"/>
              <w:jc w:val="left"/>
            </w:pPr>
            <w:r>
              <w:rPr>
                <w:b/>
              </w:rPr>
              <w:t xml:space="preserve">Mean Square </w:t>
            </w:r>
          </w:p>
        </w:tc>
        <w:tc>
          <w:tcPr>
            <w:tcW w:w="1561" w:type="dxa"/>
            <w:tcBorders>
              <w:top w:val="single" w:sz="4" w:space="0" w:color="000000"/>
              <w:left w:val="single" w:sz="4" w:space="0" w:color="000000"/>
              <w:bottom w:val="single" w:sz="4" w:space="0" w:color="000000"/>
              <w:right w:val="single" w:sz="4" w:space="0" w:color="000000"/>
            </w:tcBorders>
            <w:vAlign w:val="center"/>
          </w:tcPr>
          <w:p w14:paraId="79A12663" w14:textId="77777777" w:rsidR="003B629C" w:rsidRDefault="00000000">
            <w:pPr>
              <w:spacing w:after="0" w:line="259" w:lineRule="auto"/>
              <w:ind w:left="5" w:firstLine="0"/>
              <w:jc w:val="left"/>
            </w:pPr>
            <w:r>
              <w:rPr>
                <w:b/>
              </w:rPr>
              <w:t xml:space="preserve">F </w:t>
            </w:r>
          </w:p>
        </w:tc>
        <w:tc>
          <w:tcPr>
            <w:tcW w:w="1560" w:type="dxa"/>
            <w:tcBorders>
              <w:top w:val="single" w:sz="4" w:space="0" w:color="000000"/>
              <w:left w:val="single" w:sz="4" w:space="0" w:color="000000"/>
              <w:bottom w:val="single" w:sz="4" w:space="0" w:color="000000"/>
              <w:right w:val="single" w:sz="4" w:space="0" w:color="000000"/>
            </w:tcBorders>
          </w:tcPr>
          <w:p w14:paraId="364A90FD" w14:textId="77777777" w:rsidR="003B629C" w:rsidRDefault="00000000">
            <w:pPr>
              <w:spacing w:after="0" w:line="259" w:lineRule="auto"/>
              <w:ind w:left="5" w:firstLine="0"/>
              <w:jc w:val="left"/>
            </w:pPr>
            <w:r>
              <w:rPr>
                <w:b/>
              </w:rPr>
              <w:t>Sig. (</w:t>
            </w:r>
            <w:proofErr w:type="spellStart"/>
            <w:r>
              <w:rPr>
                <w:b/>
              </w:rPr>
              <w:t>pvalue</w:t>
            </w:r>
            <w:proofErr w:type="spellEnd"/>
            <w:r>
              <w:rPr>
                <w:b/>
              </w:rPr>
              <w:t xml:space="preserve">) </w:t>
            </w:r>
          </w:p>
        </w:tc>
      </w:tr>
      <w:tr w:rsidR="003B629C" w14:paraId="45566855" w14:textId="77777777">
        <w:trPr>
          <w:trHeight w:val="567"/>
        </w:trPr>
        <w:tc>
          <w:tcPr>
            <w:tcW w:w="1561" w:type="dxa"/>
            <w:tcBorders>
              <w:top w:val="single" w:sz="4" w:space="0" w:color="000000"/>
              <w:left w:val="single" w:sz="4" w:space="0" w:color="000000"/>
              <w:bottom w:val="single" w:sz="4" w:space="0" w:color="000000"/>
              <w:right w:val="single" w:sz="4" w:space="0" w:color="000000"/>
            </w:tcBorders>
          </w:tcPr>
          <w:p w14:paraId="1E512D80" w14:textId="77777777" w:rsidR="003B629C" w:rsidRDefault="00000000">
            <w:pPr>
              <w:spacing w:after="0" w:line="259" w:lineRule="auto"/>
              <w:ind w:left="5" w:firstLine="0"/>
              <w:jc w:val="left"/>
            </w:pPr>
            <w:r>
              <w:t xml:space="preserve">Between Groups </w:t>
            </w:r>
          </w:p>
        </w:tc>
        <w:tc>
          <w:tcPr>
            <w:tcW w:w="1556" w:type="dxa"/>
            <w:tcBorders>
              <w:top w:val="single" w:sz="4" w:space="0" w:color="000000"/>
              <w:left w:val="single" w:sz="4" w:space="0" w:color="000000"/>
              <w:bottom w:val="single" w:sz="4" w:space="0" w:color="000000"/>
              <w:right w:val="single" w:sz="4" w:space="0" w:color="000000"/>
            </w:tcBorders>
            <w:vAlign w:val="center"/>
          </w:tcPr>
          <w:p w14:paraId="2B4B3E6D" w14:textId="77777777" w:rsidR="003B629C" w:rsidRDefault="00000000">
            <w:pPr>
              <w:spacing w:after="0" w:line="259" w:lineRule="auto"/>
              <w:ind w:left="0" w:firstLine="0"/>
              <w:jc w:val="left"/>
            </w:pPr>
            <w:r>
              <w:t xml:space="preserve">22.343 </w:t>
            </w:r>
          </w:p>
        </w:tc>
        <w:tc>
          <w:tcPr>
            <w:tcW w:w="1560" w:type="dxa"/>
            <w:tcBorders>
              <w:top w:val="single" w:sz="4" w:space="0" w:color="000000"/>
              <w:left w:val="single" w:sz="4" w:space="0" w:color="000000"/>
              <w:bottom w:val="single" w:sz="4" w:space="0" w:color="000000"/>
              <w:right w:val="single" w:sz="4" w:space="0" w:color="000000"/>
            </w:tcBorders>
            <w:vAlign w:val="center"/>
          </w:tcPr>
          <w:p w14:paraId="00A6948C" w14:textId="77777777" w:rsidR="003B629C" w:rsidRDefault="00000000">
            <w:pPr>
              <w:spacing w:after="0" w:line="259" w:lineRule="auto"/>
              <w:ind w:left="5" w:firstLine="0"/>
              <w:jc w:val="left"/>
            </w:pPr>
            <w:r>
              <w:t xml:space="preserve">3 </w:t>
            </w:r>
          </w:p>
        </w:tc>
        <w:tc>
          <w:tcPr>
            <w:tcW w:w="1556" w:type="dxa"/>
            <w:tcBorders>
              <w:top w:val="single" w:sz="4" w:space="0" w:color="000000"/>
              <w:left w:val="single" w:sz="4" w:space="0" w:color="000000"/>
              <w:bottom w:val="single" w:sz="4" w:space="0" w:color="000000"/>
              <w:right w:val="single" w:sz="4" w:space="0" w:color="000000"/>
            </w:tcBorders>
            <w:vAlign w:val="center"/>
          </w:tcPr>
          <w:p w14:paraId="119D7423" w14:textId="77777777" w:rsidR="003B629C" w:rsidRDefault="00000000">
            <w:pPr>
              <w:spacing w:after="0" w:line="259" w:lineRule="auto"/>
              <w:ind w:left="0" w:firstLine="0"/>
              <w:jc w:val="left"/>
            </w:pPr>
            <w:r>
              <w:t xml:space="preserve">7.448 </w:t>
            </w:r>
          </w:p>
        </w:tc>
        <w:tc>
          <w:tcPr>
            <w:tcW w:w="1561" w:type="dxa"/>
            <w:tcBorders>
              <w:top w:val="single" w:sz="4" w:space="0" w:color="000000"/>
              <w:left w:val="single" w:sz="4" w:space="0" w:color="000000"/>
              <w:bottom w:val="single" w:sz="4" w:space="0" w:color="000000"/>
              <w:right w:val="single" w:sz="4" w:space="0" w:color="000000"/>
            </w:tcBorders>
            <w:vAlign w:val="center"/>
          </w:tcPr>
          <w:p w14:paraId="607D1BCF" w14:textId="77777777" w:rsidR="003B629C" w:rsidRDefault="00000000">
            <w:pPr>
              <w:spacing w:after="0" w:line="259" w:lineRule="auto"/>
              <w:ind w:left="5" w:firstLine="0"/>
              <w:jc w:val="left"/>
            </w:pPr>
            <w:r>
              <w:t xml:space="preserve">0.152 </w:t>
            </w:r>
          </w:p>
        </w:tc>
        <w:tc>
          <w:tcPr>
            <w:tcW w:w="1560" w:type="dxa"/>
            <w:tcBorders>
              <w:top w:val="single" w:sz="4" w:space="0" w:color="000000"/>
              <w:left w:val="single" w:sz="4" w:space="0" w:color="000000"/>
              <w:bottom w:val="single" w:sz="4" w:space="0" w:color="000000"/>
              <w:right w:val="single" w:sz="4" w:space="0" w:color="000000"/>
            </w:tcBorders>
            <w:vAlign w:val="center"/>
          </w:tcPr>
          <w:p w14:paraId="3AA0C946" w14:textId="77777777" w:rsidR="003B629C" w:rsidRDefault="00000000">
            <w:pPr>
              <w:spacing w:after="0" w:line="259" w:lineRule="auto"/>
              <w:ind w:left="5" w:firstLine="0"/>
              <w:jc w:val="left"/>
            </w:pPr>
            <w:r>
              <w:t xml:space="preserve">0.927 </w:t>
            </w:r>
          </w:p>
        </w:tc>
      </w:tr>
      <w:tr w:rsidR="003B629C" w14:paraId="14DACAB0" w14:textId="77777777">
        <w:trPr>
          <w:trHeight w:val="562"/>
        </w:trPr>
        <w:tc>
          <w:tcPr>
            <w:tcW w:w="1561" w:type="dxa"/>
            <w:tcBorders>
              <w:top w:val="single" w:sz="4" w:space="0" w:color="000000"/>
              <w:left w:val="single" w:sz="4" w:space="0" w:color="000000"/>
              <w:bottom w:val="single" w:sz="4" w:space="0" w:color="000000"/>
              <w:right w:val="single" w:sz="4" w:space="0" w:color="000000"/>
            </w:tcBorders>
          </w:tcPr>
          <w:p w14:paraId="1EED5FEB" w14:textId="77777777" w:rsidR="003B629C" w:rsidRDefault="00000000">
            <w:pPr>
              <w:spacing w:after="0" w:line="259" w:lineRule="auto"/>
              <w:ind w:left="5" w:firstLine="0"/>
              <w:jc w:val="left"/>
            </w:pPr>
            <w:r>
              <w:t xml:space="preserve">Within Groups </w:t>
            </w:r>
          </w:p>
        </w:tc>
        <w:tc>
          <w:tcPr>
            <w:tcW w:w="1556" w:type="dxa"/>
            <w:tcBorders>
              <w:top w:val="single" w:sz="4" w:space="0" w:color="000000"/>
              <w:left w:val="single" w:sz="4" w:space="0" w:color="000000"/>
              <w:bottom w:val="single" w:sz="4" w:space="0" w:color="000000"/>
              <w:right w:val="single" w:sz="4" w:space="0" w:color="000000"/>
            </w:tcBorders>
            <w:vAlign w:val="center"/>
          </w:tcPr>
          <w:p w14:paraId="13858873" w14:textId="77777777" w:rsidR="003B629C" w:rsidRDefault="00000000">
            <w:pPr>
              <w:spacing w:after="0" w:line="259" w:lineRule="auto"/>
              <w:ind w:left="0" w:firstLine="0"/>
              <w:jc w:val="left"/>
            </w:pPr>
            <w:r>
              <w:t xml:space="preserve">1368.149 </w:t>
            </w:r>
          </w:p>
        </w:tc>
        <w:tc>
          <w:tcPr>
            <w:tcW w:w="1560" w:type="dxa"/>
            <w:tcBorders>
              <w:top w:val="single" w:sz="4" w:space="0" w:color="000000"/>
              <w:left w:val="single" w:sz="4" w:space="0" w:color="000000"/>
              <w:bottom w:val="single" w:sz="4" w:space="0" w:color="000000"/>
              <w:right w:val="single" w:sz="4" w:space="0" w:color="000000"/>
            </w:tcBorders>
            <w:vAlign w:val="center"/>
          </w:tcPr>
          <w:p w14:paraId="04D06199" w14:textId="77777777" w:rsidR="003B629C" w:rsidRDefault="00000000">
            <w:pPr>
              <w:spacing w:after="0" w:line="259" w:lineRule="auto"/>
              <w:ind w:left="5" w:firstLine="0"/>
              <w:jc w:val="left"/>
            </w:pPr>
            <w:r>
              <w:t xml:space="preserve">28 </w:t>
            </w:r>
          </w:p>
        </w:tc>
        <w:tc>
          <w:tcPr>
            <w:tcW w:w="1556" w:type="dxa"/>
            <w:tcBorders>
              <w:top w:val="single" w:sz="4" w:space="0" w:color="000000"/>
              <w:left w:val="single" w:sz="4" w:space="0" w:color="000000"/>
              <w:bottom w:val="single" w:sz="4" w:space="0" w:color="000000"/>
              <w:right w:val="single" w:sz="4" w:space="0" w:color="000000"/>
            </w:tcBorders>
            <w:vAlign w:val="center"/>
          </w:tcPr>
          <w:p w14:paraId="493CD870" w14:textId="77777777" w:rsidR="003B629C" w:rsidRDefault="00000000">
            <w:pPr>
              <w:spacing w:after="0" w:line="259" w:lineRule="auto"/>
              <w:ind w:left="0" w:firstLine="0"/>
              <w:jc w:val="left"/>
            </w:pPr>
            <w:r>
              <w:t xml:space="preserve">48.862 </w:t>
            </w:r>
          </w:p>
        </w:tc>
        <w:tc>
          <w:tcPr>
            <w:tcW w:w="1561" w:type="dxa"/>
            <w:tcBorders>
              <w:top w:val="single" w:sz="4" w:space="0" w:color="000000"/>
              <w:left w:val="single" w:sz="4" w:space="0" w:color="000000"/>
              <w:bottom w:val="single" w:sz="4" w:space="0" w:color="000000"/>
              <w:right w:val="single" w:sz="4" w:space="0" w:color="000000"/>
            </w:tcBorders>
            <w:vAlign w:val="center"/>
          </w:tcPr>
          <w:p w14:paraId="3E4820D2" w14:textId="77777777" w:rsidR="003B629C" w:rsidRDefault="00000000">
            <w:pPr>
              <w:spacing w:after="0" w:line="259" w:lineRule="auto"/>
              <w:ind w:left="5"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701FF3D9" w14:textId="77777777" w:rsidR="003B629C" w:rsidRDefault="00000000">
            <w:pPr>
              <w:spacing w:after="0" w:line="259" w:lineRule="auto"/>
              <w:ind w:left="5" w:firstLine="0"/>
              <w:jc w:val="left"/>
            </w:pPr>
            <w:r>
              <w:t xml:space="preserve">- </w:t>
            </w:r>
          </w:p>
        </w:tc>
      </w:tr>
      <w:tr w:rsidR="003B629C" w14:paraId="1AE11C77" w14:textId="77777777">
        <w:trPr>
          <w:trHeight w:val="283"/>
        </w:trPr>
        <w:tc>
          <w:tcPr>
            <w:tcW w:w="1561" w:type="dxa"/>
            <w:tcBorders>
              <w:top w:val="single" w:sz="4" w:space="0" w:color="000000"/>
              <w:left w:val="single" w:sz="4" w:space="0" w:color="000000"/>
              <w:bottom w:val="single" w:sz="4" w:space="0" w:color="000000"/>
              <w:right w:val="single" w:sz="4" w:space="0" w:color="000000"/>
            </w:tcBorders>
          </w:tcPr>
          <w:p w14:paraId="289E8959" w14:textId="77777777" w:rsidR="003B629C" w:rsidRDefault="00000000">
            <w:pPr>
              <w:spacing w:after="0" w:line="259" w:lineRule="auto"/>
              <w:ind w:left="5" w:firstLine="0"/>
              <w:jc w:val="left"/>
            </w:pPr>
            <w:r>
              <w:lastRenderedPageBreak/>
              <w:t xml:space="preserve">Total </w:t>
            </w:r>
          </w:p>
        </w:tc>
        <w:tc>
          <w:tcPr>
            <w:tcW w:w="1556" w:type="dxa"/>
            <w:tcBorders>
              <w:top w:val="single" w:sz="4" w:space="0" w:color="000000"/>
              <w:left w:val="single" w:sz="4" w:space="0" w:color="000000"/>
              <w:bottom w:val="single" w:sz="4" w:space="0" w:color="000000"/>
              <w:right w:val="single" w:sz="4" w:space="0" w:color="000000"/>
            </w:tcBorders>
          </w:tcPr>
          <w:p w14:paraId="6507D2C7" w14:textId="77777777" w:rsidR="003B629C" w:rsidRDefault="00000000">
            <w:pPr>
              <w:spacing w:after="0" w:line="259" w:lineRule="auto"/>
              <w:ind w:left="0" w:firstLine="0"/>
              <w:jc w:val="left"/>
            </w:pPr>
            <w:r>
              <w:t xml:space="preserve">1390.492 </w:t>
            </w:r>
          </w:p>
        </w:tc>
        <w:tc>
          <w:tcPr>
            <w:tcW w:w="1560" w:type="dxa"/>
            <w:tcBorders>
              <w:top w:val="single" w:sz="4" w:space="0" w:color="000000"/>
              <w:left w:val="single" w:sz="4" w:space="0" w:color="000000"/>
              <w:bottom w:val="single" w:sz="4" w:space="0" w:color="000000"/>
              <w:right w:val="single" w:sz="4" w:space="0" w:color="000000"/>
            </w:tcBorders>
          </w:tcPr>
          <w:p w14:paraId="782E0604" w14:textId="77777777" w:rsidR="003B629C" w:rsidRDefault="00000000">
            <w:pPr>
              <w:spacing w:after="0" w:line="259" w:lineRule="auto"/>
              <w:ind w:left="5" w:firstLine="0"/>
              <w:jc w:val="left"/>
            </w:pPr>
            <w:r>
              <w:t xml:space="preserve">31 </w:t>
            </w:r>
          </w:p>
        </w:tc>
        <w:tc>
          <w:tcPr>
            <w:tcW w:w="1556" w:type="dxa"/>
            <w:tcBorders>
              <w:top w:val="single" w:sz="4" w:space="0" w:color="000000"/>
              <w:left w:val="single" w:sz="4" w:space="0" w:color="000000"/>
              <w:bottom w:val="single" w:sz="4" w:space="0" w:color="000000"/>
              <w:right w:val="single" w:sz="4" w:space="0" w:color="000000"/>
            </w:tcBorders>
          </w:tcPr>
          <w:p w14:paraId="18A9AC9C" w14:textId="77777777" w:rsidR="003B629C" w:rsidRDefault="00000000">
            <w:pPr>
              <w:spacing w:after="0" w:line="259" w:lineRule="auto"/>
              <w:ind w:lef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404F988A" w14:textId="77777777" w:rsidR="003B629C" w:rsidRDefault="00000000">
            <w:pPr>
              <w:spacing w:after="0" w:line="259" w:lineRule="auto"/>
              <w:ind w:left="5"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89BC4FE" w14:textId="77777777" w:rsidR="003B629C" w:rsidRDefault="00000000">
            <w:pPr>
              <w:spacing w:after="0" w:line="259" w:lineRule="auto"/>
              <w:ind w:left="5" w:firstLine="0"/>
              <w:jc w:val="left"/>
            </w:pPr>
            <w:r>
              <w:t xml:space="preserve"> </w:t>
            </w:r>
          </w:p>
        </w:tc>
      </w:tr>
    </w:tbl>
    <w:p w14:paraId="490DD30D" w14:textId="77777777" w:rsidR="003B629C" w:rsidRDefault="00000000">
      <w:pPr>
        <w:spacing w:after="396" w:line="259" w:lineRule="auto"/>
        <w:ind w:left="129"/>
      </w:pPr>
      <w:r>
        <w:t xml:space="preserve">Source: NAV as on date February 25 2025  </w:t>
      </w:r>
    </w:p>
    <w:p w14:paraId="3266810D" w14:textId="77777777" w:rsidR="003B629C" w:rsidRDefault="00000000">
      <w:pPr>
        <w:ind w:left="129"/>
      </w:pPr>
      <w:r>
        <w:t xml:space="preserve">The ANOVA result shows a </w:t>
      </w:r>
      <w:r>
        <w:rPr>
          <w:b/>
        </w:rPr>
        <w:t>p-value of 0.927</w:t>
      </w:r>
      <w:r>
        <w:t xml:space="preserve">, which is much greater than 0.05. This indicates that there is </w:t>
      </w:r>
      <w:r>
        <w:rPr>
          <w:b/>
        </w:rPr>
        <w:t>no significant difference</w:t>
      </w:r>
      <w:r>
        <w:t xml:space="preserve"> in mean returns among the thematic funds </w:t>
      </w:r>
      <w:proofErr w:type="spellStart"/>
      <w:r>
        <w:t>analyzed</w:t>
      </w:r>
      <w:proofErr w:type="spellEnd"/>
      <w:r>
        <w:t xml:space="preserve">. Hence, the variation in performance is statistically insignificant. </w:t>
      </w:r>
    </w:p>
    <w:p w14:paraId="217195B5" w14:textId="77777777" w:rsidR="003B629C" w:rsidRDefault="00000000">
      <w:pPr>
        <w:spacing w:after="118" w:line="260" w:lineRule="auto"/>
        <w:ind w:left="129" w:right="5169"/>
        <w:jc w:val="left"/>
      </w:pPr>
      <w:r>
        <w:rPr>
          <w:b/>
        </w:rPr>
        <w:t>Risk-Return Analysis:</w:t>
      </w:r>
      <w:r>
        <w:t xml:space="preserve">  </w:t>
      </w:r>
    </w:p>
    <w:tbl>
      <w:tblPr>
        <w:tblStyle w:val="TableGrid"/>
        <w:tblW w:w="9536" w:type="dxa"/>
        <w:tblInd w:w="48" w:type="dxa"/>
        <w:tblCellMar>
          <w:left w:w="110" w:type="dxa"/>
          <w:right w:w="70" w:type="dxa"/>
        </w:tblCellMar>
        <w:tblLook w:val="04A0" w:firstRow="1" w:lastRow="0" w:firstColumn="1" w:lastColumn="0" w:noHBand="0" w:noVBand="1"/>
      </w:tblPr>
      <w:tblGrid>
        <w:gridCol w:w="2689"/>
        <w:gridCol w:w="1431"/>
        <w:gridCol w:w="1138"/>
        <w:gridCol w:w="1277"/>
        <w:gridCol w:w="1277"/>
        <w:gridCol w:w="1724"/>
      </w:tblGrid>
      <w:tr w:rsidR="003B629C" w14:paraId="505C8598" w14:textId="77777777">
        <w:trPr>
          <w:trHeight w:val="1138"/>
        </w:trPr>
        <w:tc>
          <w:tcPr>
            <w:tcW w:w="2689" w:type="dxa"/>
            <w:tcBorders>
              <w:top w:val="single" w:sz="4" w:space="0" w:color="000000"/>
              <w:left w:val="single" w:sz="4" w:space="0" w:color="000000"/>
              <w:bottom w:val="single" w:sz="4" w:space="0" w:color="000000"/>
              <w:right w:val="single" w:sz="4" w:space="0" w:color="000000"/>
            </w:tcBorders>
            <w:vAlign w:val="center"/>
          </w:tcPr>
          <w:p w14:paraId="1D890D42" w14:textId="77777777" w:rsidR="003B629C" w:rsidRDefault="00000000">
            <w:pPr>
              <w:spacing w:after="0" w:line="259" w:lineRule="auto"/>
              <w:ind w:left="0" w:firstLine="0"/>
              <w:jc w:val="left"/>
            </w:pPr>
            <w:r>
              <w:rPr>
                <w:b/>
              </w:rPr>
              <w:t>Fund</w:t>
            </w:r>
            <w:r>
              <w:t xml:space="preserve"> </w:t>
            </w:r>
          </w:p>
        </w:tc>
        <w:tc>
          <w:tcPr>
            <w:tcW w:w="1431" w:type="dxa"/>
            <w:tcBorders>
              <w:top w:val="single" w:sz="4" w:space="0" w:color="000000"/>
              <w:left w:val="single" w:sz="4" w:space="0" w:color="000000"/>
              <w:bottom w:val="single" w:sz="4" w:space="0" w:color="000000"/>
              <w:right w:val="single" w:sz="4" w:space="0" w:color="000000"/>
            </w:tcBorders>
            <w:vAlign w:val="center"/>
          </w:tcPr>
          <w:p w14:paraId="2DCE61E9" w14:textId="77777777" w:rsidR="003B629C" w:rsidRDefault="00000000">
            <w:pPr>
              <w:spacing w:after="0" w:line="259" w:lineRule="auto"/>
              <w:ind w:left="0" w:firstLine="0"/>
              <w:jc w:val="center"/>
            </w:pPr>
            <w:r>
              <w:rPr>
                <w:b/>
              </w:rPr>
              <w:t>Sharpe Ratio</w:t>
            </w:r>
            <w: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14:paraId="618F05AE" w14:textId="77777777" w:rsidR="003B629C" w:rsidRDefault="00000000">
            <w:pPr>
              <w:spacing w:after="0" w:line="259" w:lineRule="auto"/>
              <w:ind w:left="0" w:right="36" w:firstLine="0"/>
              <w:jc w:val="center"/>
            </w:pPr>
            <w:r>
              <w:rPr>
                <w:b/>
              </w:rPr>
              <w:t>Beta</w:t>
            </w: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46D9BC7A" w14:textId="77777777" w:rsidR="003B629C" w:rsidRDefault="00000000">
            <w:pPr>
              <w:spacing w:after="0" w:line="259" w:lineRule="auto"/>
              <w:ind w:left="0" w:right="51" w:firstLine="0"/>
              <w:jc w:val="center"/>
            </w:pPr>
            <w:r>
              <w:rPr>
                <w:b/>
              </w:rPr>
              <w:t>Alpha</w:t>
            </w: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2A206D1D" w14:textId="77777777" w:rsidR="003B629C" w:rsidRDefault="00000000">
            <w:pPr>
              <w:spacing w:after="0" w:line="259" w:lineRule="auto"/>
              <w:ind w:left="0" w:firstLine="0"/>
              <w:jc w:val="center"/>
            </w:pPr>
            <w:r>
              <w:rPr>
                <w:b/>
              </w:rPr>
              <w:t>Expense Ratio (%)</w:t>
            </w:r>
            <w:r>
              <w:t xml:space="preserve"> </w:t>
            </w:r>
          </w:p>
        </w:tc>
        <w:tc>
          <w:tcPr>
            <w:tcW w:w="1724" w:type="dxa"/>
            <w:tcBorders>
              <w:top w:val="single" w:sz="4" w:space="0" w:color="000000"/>
              <w:left w:val="single" w:sz="4" w:space="0" w:color="000000"/>
              <w:bottom w:val="single" w:sz="4" w:space="0" w:color="000000"/>
              <w:right w:val="single" w:sz="4" w:space="0" w:color="000000"/>
            </w:tcBorders>
            <w:vAlign w:val="center"/>
          </w:tcPr>
          <w:p w14:paraId="3906AE61" w14:textId="77777777" w:rsidR="003B629C" w:rsidRDefault="00000000">
            <w:pPr>
              <w:spacing w:after="0" w:line="259" w:lineRule="auto"/>
              <w:ind w:left="0" w:firstLine="0"/>
              <w:jc w:val="center"/>
            </w:pPr>
            <w:r>
              <w:rPr>
                <w:b/>
              </w:rPr>
              <w:t>Return After Expenses (%)</w:t>
            </w:r>
            <w:r>
              <w:t xml:space="preserve"> </w:t>
            </w:r>
          </w:p>
        </w:tc>
      </w:tr>
      <w:tr w:rsidR="003B629C" w14:paraId="08921442" w14:textId="77777777">
        <w:trPr>
          <w:trHeight w:val="677"/>
        </w:trPr>
        <w:tc>
          <w:tcPr>
            <w:tcW w:w="2689" w:type="dxa"/>
            <w:tcBorders>
              <w:top w:val="single" w:sz="4" w:space="0" w:color="000000"/>
              <w:left w:val="single" w:sz="4" w:space="0" w:color="000000"/>
              <w:bottom w:val="single" w:sz="4" w:space="0" w:color="000000"/>
              <w:right w:val="single" w:sz="4" w:space="0" w:color="000000"/>
            </w:tcBorders>
            <w:vAlign w:val="center"/>
          </w:tcPr>
          <w:p w14:paraId="087E0791" w14:textId="77777777" w:rsidR="003B629C" w:rsidRDefault="00000000">
            <w:pPr>
              <w:spacing w:after="0" w:line="259" w:lineRule="auto"/>
              <w:ind w:left="0" w:firstLine="0"/>
              <w:jc w:val="left"/>
            </w:pPr>
            <w:r>
              <w:t xml:space="preserve">Services Fund </w:t>
            </w:r>
          </w:p>
        </w:tc>
        <w:tc>
          <w:tcPr>
            <w:tcW w:w="1431" w:type="dxa"/>
            <w:tcBorders>
              <w:top w:val="single" w:sz="4" w:space="0" w:color="000000"/>
              <w:left w:val="single" w:sz="4" w:space="0" w:color="000000"/>
              <w:bottom w:val="single" w:sz="4" w:space="0" w:color="000000"/>
              <w:right w:val="single" w:sz="4" w:space="0" w:color="000000"/>
            </w:tcBorders>
            <w:vAlign w:val="center"/>
          </w:tcPr>
          <w:p w14:paraId="65F4F601" w14:textId="77777777" w:rsidR="003B629C" w:rsidRDefault="00000000">
            <w:pPr>
              <w:spacing w:after="0" w:line="259" w:lineRule="auto"/>
              <w:ind w:left="0" w:right="36" w:firstLine="0"/>
              <w:jc w:val="center"/>
            </w:pPr>
            <w:r>
              <w:t xml:space="preserve">0.6 </w:t>
            </w:r>
          </w:p>
        </w:tc>
        <w:tc>
          <w:tcPr>
            <w:tcW w:w="1138" w:type="dxa"/>
            <w:tcBorders>
              <w:top w:val="single" w:sz="4" w:space="0" w:color="000000"/>
              <w:left w:val="single" w:sz="4" w:space="0" w:color="000000"/>
              <w:bottom w:val="single" w:sz="4" w:space="0" w:color="000000"/>
              <w:right w:val="single" w:sz="4" w:space="0" w:color="000000"/>
            </w:tcBorders>
            <w:vAlign w:val="center"/>
          </w:tcPr>
          <w:p w14:paraId="018E6447" w14:textId="77777777" w:rsidR="003B629C" w:rsidRDefault="00000000">
            <w:pPr>
              <w:spacing w:after="0" w:line="259" w:lineRule="auto"/>
              <w:ind w:left="0" w:right="31" w:firstLine="0"/>
              <w:jc w:val="center"/>
            </w:pPr>
            <w:r>
              <w:t xml:space="preserve">0.9 </w:t>
            </w:r>
          </w:p>
        </w:tc>
        <w:tc>
          <w:tcPr>
            <w:tcW w:w="1277" w:type="dxa"/>
            <w:tcBorders>
              <w:top w:val="single" w:sz="4" w:space="0" w:color="000000"/>
              <w:left w:val="single" w:sz="4" w:space="0" w:color="000000"/>
              <w:bottom w:val="single" w:sz="4" w:space="0" w:color="000000"/>
              <w:right w:val="single" w:sz="4" w:space="0" w:color="000000"/>
            </w:tcBorders>
            <w:vAlign w:val="center"/>
          </w:tcPr>
          <w:p w14:paraId="4EA99816" w14:textId="77777777" w:rsidR="003B629C" w:rsidRDefault="00000000">
            <w:pPr>
              <w:spacing w:after="0" w:line="259" w:lineRule="auto"/>
              <w:ind w:left="0" w:right="45" w:firstLine="0"/>
              <w:jc w:val="center"/>
            </w:pPr>
            <w:r>
              <w:t xml:space="preserve">6.3 </w:t>
            </w:r>
          </w:p>
        </w:tc>
        <w:tc>
          <w:tcPr>
            <w:tcW w:w="1277" w:type="dxa"/>
            <w:tcBorders>
              <w:top w:val="single" w:sz="4" w:space="0" w:color="000000"/>
              <w:left w:val="single" w:sz="4" w:space="0" w:color="000000"/>
              <w:bottom w:val="single" w:sz="4" w:space="0" w:color="000000"/>
              <w:right w:val="single" w:sz="4" w:space="0" w:color="000000"/>
            </w:tcBorders>
            <w:vAlign w:val="center"/>
          </w:tcPr>
          <w:p w14:paraId="5B3C68D8" w14:textId="77777777" w:rsidR="003B629C" w:rsidRDefault="00000000">
            <w:pPr>
              <w:spacing w:after="0" w:line="259" w:lineRule="auto"/>
              <w:ind w:left="0" w:right="32" w:firstLine="0"/>
              <w:jc w:val="center"/>
            </w:pPr>
            <w:r>
              <w:t xml:space="preserve">1.25 </w:t>
            </w:r>
          </w:p>
        </w:tc>
        <w:tc>
          <w:tcPr>
            <w:tcW w:w="1724" w:type="dxa"/>
            <w:tcBorders>
              <w:top w:val="single" w:sz="4" w:space="0" w:color="000000"/>
              <w:left w:val="single" w:sz="4" w:space="0" w:color="000000"/>
              <w:bottom w:val="single" w:sz="4" w:space="0" w:color="000000"/>
              <w:right w:val="single" w:sz="4" w:space="0" w:color="000000"/>
            </w:tcBorders>
            <w:vAlign w:val="center"/>
          </w:tcPr>
          <w:p w14:paraId="378F1E81" w14:textId="77777777" w:rsidR="003B629C" w:rsidRDefault="00000000">
            <w:pPr>
              <w:spacing w:after="0" w:line="259" w:lineRule="auto"/>
              <w:ind w:left="0" w:right="31" w:firstLine="0"/>
              <w:jc w:val="center"/>
            </w:pPr>
            <w:r>
              <w:t xml:space="preserve">12.45 </w:t>
            </w:r>
          </w:p>
        </w:tc>
      </w:tr>
      <w:tr w:rsidR="003B629C" w14:paraId="0DF15EA3" w14:textId="77777777">
        <w:trPr>
          <w:trHeight w:val="754"/>
        </w:trPr>
        <w:tc>
          <w:tcPr>
            <w:tcW w:w="2689" w:type="dxa"/>
            <w:tcBorders>
              <w:top w:val="single" w:sz="4" w:space="0" w:color="000000"/>
              <w:left w:val="single" w:sz="4" w:space="0" w:color="000000"/>
              <w:bottom w:val="single" w:sz="4" w:space="0" w:color="000000"/>
              <w:right w:val="single" w:sz="4" w:space="0" w:color="000000"/>
            </w:tcBorders>
            <w:vAlign w:val="center"/>
          </w:tcPr>
          <w:p w14:paraId="671FCFD6" w14:textId="77777777" w:rsidR="003B629C" w:rsidRDefault="00000000">
            <w:pPr>
              <w:spacing w:after="0" w:line="259" w:lineRule="auto"/>
              <w:ind w:left="0" w:firstLine="0"/>
              <w:jc w:val="left"/>
            </w:pPr>
            <w:r>
              <w:t xml:space="preserve">Infrastructure Fund </w:t>
            </w:r>
          </w:p>
        </w:tc>
        <w:tc>
          <w:tcPr>
            <w:tcW w:w="1431" w:type="dxa"/>
            <w:tcBorders>
              <w:top w:val="single" w:sz="4" w:space="0" w:color="000000"/>
              <w:left w:val="single" w:sz="4" w:space="0" w:color="000000"/>
              <w:bottom w:val="single" w:sz="4" w:space="0" w:color="000000"/>
              <w:right w:val="single" w:sz="4" w:space="0" w:color="000000"/>
            </w:tcBorders>
            <w:vAlign w:val="center"/>
          </w:tcPr>
          <w:p w14:paraId="4A7536DC" w14:textId="77777777" w:rsidR="003B629C" w:rsidRDefault="00000000">
            <w:pPr>
              <w:spacing w:after="0" w:line="259" w:lineRule="auto"/>
              <w:ind w:left="0" w:right="36" w:firstLine="0"/>
              <w:jc w:val="center"/>
            </w:pPr>
            <w:r>
              <w:t xml:space="preserve">0.8 </w:t>
            </w:r>
          </w:p>
        </w:tc>
        <w:tc>
          <w:tcPr>
            <w:tcW w:w="1138" w:type="dxa"/>
            <w:tcBorders>
              <w:top w:val="single" w:sz="4" w:space="0" w:color="000000"/>
              <w:left w:val="single" w:sz="4" w:space="0" w:color="000000"/>
              <w:bottom w:val="single" w:sz="4" w:space="0" w:color="000000"/>
              <w:right w:val="single" w:sz="4" w:space="0" w:color="000000"/>
            </w:tcBorders>
            <w:vAlign w:val="center"/>
          </w:tcPr>
          <w:p w14:paraId="0DC661E7" w14:textId="77777777" w:rsidR="003B629C" w:rsidRDefault="00000000">
            <w:pPr>
              <w:spacing w:after="0" w:line="259" w:lineRule="auto"/>
              <w:ind w:left="0" w:right="31" w:firstLine="0"/>
              <w:jc w:val="center"/>
            </w:pPr>
            <w:r>
              <w:t xml:space="preserve">0.9 </w:t>
            </w:r>
          </w:p>
        </w:tc>
        <w:tc>
          <w:tcPr>
            <w:tcW w:w="1277" w:type="dxa"/>
            <w:tcBorders>
              <w:top w:val="single" w:sz="4" w:space="0" w:color="000000"/>
              <w:left w:val="single" w:sz="4" w:space="0" w:color="000000"/>
              <w:bottom w:val="single" w:sz="4" w:space="0" w:color="000000"/>
              <w:right w:val="single" w:sz="4" w:space="0" w:color="000000"/>
            </w:tcBorders>
            <w:vAlign w:val="center"/>
          </w:tcPr>
          <w:p w14:paraId="0EA69571" w14:textId="77777777" w:rsidR="003B629C" w:rsidRDefault="00000000">
            <w:pPr>
              <w:spacing w:after="0" w:line="259" w:lineRule="auto"/>
              <w:ind w:left="0" w:right="46" w:firstLine="0"/>
              <w:jc w:val="center"/>
            </w:pPr>
            <w:r>
              <w:t xml:space="preserve">- 0.7 </w:t>
            </w:r>
          </w:p>
        </w:tc>
        <w:tc>
          <w:tcPr>
            <w:tcW w:w="1277" w:type="dxa"/>
            <w:tcBorders>
              <w:top w:val="single" w:sz="4" w:space="0" w:color="000000"/>
              <w:left w:val="single" w:sz="4" w:space="0" w:color="000000"/>
              <w:bottom w:val="single" w:sz="4" w:space="0" w:color="000000"/>
              <w:right w:val="single" w:sz="4" w:space="0" w:color="000000"/>
            </w:tcBorders>
            <w:vAlign w:val="center"/>
          </w:tcPr>
          <w:p w14:paraId="27BFBE35" w14:textId="77777777" w:rsidR="003B629C" w:rsidRDefault="00000000">
            <w:pPr>
              <w:spacing w:after="0" w:line="259" w:lineRule="auto"/>
              <w:ind w:left="0" w:right="32" w:firstLine="0"/>
              <w:jc w:val="center"/>
            </w:pPr>
            <w:r>
              <w:t xml:space="preserve">1.50 </w:t>
            </w:r>
          </w:p>
        </w:tc>
        <w:tc>
          <w:tcPr>
            <w:tcW w:w="1724" w:type="dxa"/>
            <w:tcBorders>
              <w:top w:val="single" w:sz="4" w:space="0" w:color="000000"/>
              <w:left w:val="single" w:sz="4" w:space="0" w:color="000000"/>
              <w:bottom w:val="single" w:sz="4" w:space="0" w:color="000000"/>
              <w:right w:val="single" w:sz="4" w:space="0" w:color="000000"/>
            </w:tcBorders>
            <w:vAlign w:val="center"/>
          </w:tcPr>
          <w:p w14:paraId="01F0CCE7" w14:textId="77777777" w:rsidR="003B629C" w:rsidRDefault="00000000">
            <w:pPr>
              <w:spacing w:after="0" w:line="259" w:lineRule="auto"/>
              <w:ind w:left="0" w:right="31" w:firstLine="0"/>
              <w:jc w:val="center"/>
            </w:pPr>
            <w:r>
              <w:t xml:space="preserve">14.70 </w:t>
            </w:r>
          </w:p>
        </w:tc>
      </w:tr>
      <w:tr w:rsidR="003B629C" w14:paraId="7533537C" w14:textId="77777777">
        <w:trPr>
          <w:trHeight w:val="759"/>
        </w:trPr>
        <w:tc>
          <w:tcPr>
            <w:tcW w:w="2689" w:type="dxa"/>
            <w:tcBorders>
              <w:top w:val="single" w:sz="4" w:space="0" w:color="000000"/>
              <w:left w:val="single" w:sz="4" w:space="0" w:color="000000"/>
              <w:bottom w:val="single" w:sz="4" w:space="0" w:color="000000"/>
              <w:right w:val="single" w:sz="4" w:space="0" w:color="000000"/>
            </w:tcBorders>
            <w:vAlign w:val="center"/>
          </w:tcPr>
          <w:p w14:paraId="7FC846D7" w14:textId="77777777" w:rsidR="003B629C" w:rsidRDefault="00000000">
            <w:pPr>
              <w:spacing w:after="0" w:line="259" w:lineRule="auto"/>
              <w:ind w:left="0" w:firstLine="0"/>
              <w:jc w:val="left"/>
            </w:pPr>
            <w:r>
              <w:t xml:space="preserve">Consumption Fund </w:t>
            </w:r>
          </w:p>
        </w:tc>
        <w:tc>
          <w:tcPr>
            <w:tcW w:w="1431" w:type="dxa"/>
            <w:tcBorders>
              <w:top w:val="single" w:sz="4" w:space="0" w:color="000000"/>
              <w:left w:val="single" w:sz="4" w:space="0" w:color="000000"/>
              <w:bottom w:val="single" w:sz="4" w:space="0" w:color="000000"/>
              <w:right w:val="single" w:sz="4" w:space="0" w:color="000000"/>
            </w:tcBorders>
            <w:vAlign w:val="center"/>
          </w:tcPr>
          <w:p w14:paraId="41529CB8" w14:textId="77777777" w:rsidR="003B629C" w:rsidRDefault="00000000">
            <w:pPr>
              <w:spacing w:after="0" w:line="259" w:lineRule="auto"/>
              <w:ind w:left="0" w:right="36" w:firstLine="0"/>
              <w:jc w:val="center"/>
            </w:pPr>
            <w:r>
              <w:t xml:space="preserve">0.8 </w:t>
            </w:r>
          </w:p>
        </w:tc>
        <w:tc>
          <w:tcPr>
            <w:tcW w:w="1138" w:type="dxa"/>
            <w:tcBorders>
              <w:top w:val="single" w:sz="4" w:space="0" w:color="000000"/>
              <w:left w:val="single" w:sz="4" w:space="0" w:color="000000"/>
              <w:bottom w:val="single" w:sz="4" w:space="0" w:color="000000"/>
              <w:right w:val="single" w:sz="4" w:space="0" w:color="000000"/>
            </w:tcBorders>
            <w:vAlign w:val="center"/>
          </w:tcPr>
          <w:p w14:paraId="19530701" w14:textId="77777777" w:rsidR="003B629C" w:rsidRDefault="00000000">
            <w:pPr>
              <w:spacing w:after="0" w:line="259" w:lineRule="auto"/>
              <w:ind w:left="0" w:right="31" w:firstLine="0"/>
              <w:jc w:val="center"/>
            </w:pPr>
            <w:r>
              <w:t xml:space="preserve">0.9 </w:t>
            </w:r>
          </w:p>
        </w:tc>
        <w:tc>
          <w:tcPr>
            <w:tcW w:w="1277" w:type="dxa"/>
            <w:tcBorders>
              <w:top w:val="single" w:sz="4" w:space="0" w:color="000000"/>
              <w:left w:val="single" w:sz="4" w:space="0" w:color="000000"/>
              <w:bottom w:val="single" w:sz="4" w:space="0" w:color="000000"/>
              <w:right w:val="single" w:sz="4" w:space="0" w:color="000000"/>
            </w:tcBorders>
            <w:vAlign w:val="center"/>
          </w:tcPr>
          <w:p w14:paraId="214061C5" w14:textId="77777777" w:rsidR="003B629C" w:rsidRDefault="00000000">
            <w:pPr>
              <w:spacing w:after="0" w:line="259" w:lineRule="auto"/>
              <w:ind w:left="0" w:right="46" w:firstLine="0"/>
              <w:jc w:val="center"/>
            </w:pPr>
            <w:r>
              <w:t xml:space="preserve">- 0.3 </w:t>
            </w:r>
          </w:p>
        </w:tc>
        <w:tc>
          <w:tcPr>
            <w:tcW w:w="1277" w:type="dxa"/>
            <w:tcBorders>
              <w:top w:val="single" w:sz="4" w:space="0" w:color="000000"/>
              <w:left w:val="single" w:sz="4" w:space="0" w:color="000000"/>
              <w:bottom w:val="single" w:sz="4" w:space="0" w:color="000000"/>
              <w:right w:val="single" w:sz="4" w:space="0" w:color="000000"/>
            </w:tcBorders>
            <w:vAlign w:val="center"/>
          </w:tcPr>
          <w:p w14:paraId="3DF38315" w14:textId="77777777" w:rsidR="003B629C" w:rsidRDefault="00000000">
            <w:pPr>
              <w:spacing w:after="0" w:line="259" w:lineRule="auto"/>
              <w:ind w:left="0" w:right="32" w:firstLine="0"/>
              <w:jc w:val="center"/>
            </w:pPr>
            <w:r>
              <w:t xml:space="preserve">1.30 </w:t>
            </w:r>
          </w:p>
        </w:tc>
        <w:tc>
          <w:tcPr>
            <w:tcW w:w="1724" w:type="dxa"/>
            <w:tcBorders>
              <w:top w:val="single" w:sz="4" w:space="0" w:color="000000"/>
              <w:left w:val="single" w:sz="4" w:space="0" w:color="000000"/>
              <w:bottom w:val="single" w:sz="4" w:space="0" w:color="000000"/>
              <w:right w:val="single" w:sz="4" w:space="0" w:color="000000"/>
            </w:tcBorders>
            <w:vAlign w:val="center"/>
          </w:tcPr>
          <w:p w14:paraId="41F87F2A" w14:textId="77777777" w:rsidR="003B629C" w:rsidRDefault="00000000">
            <w:pPr>
              <w:spacing w:after="0" w:line="259" w:lineRule="auto"/>
              <w:ind w:left="0" w:right="31" w:firstLine="0"/>
              <w:jc w:val="center"/>
            </w:pPr>
            <w:r>
              <w:t xml:space="preserve">11.60 </w:t>
            </w:r>
          </w:p>
        </w:tc>
      </w:tr>
      <w:tr w:rsidR="003B629C" w14:paraId="0098A0FE" w14:textId="77777777">
        <w:trPr>
          <w:trHeight w:val="754"/>
        </w:trPr>
        <w:tc>
          <w:tcPr>
            <w:tcW w:w="2689" w:type="dxa"/>
            <w:tcBorders>
              <w:top w:val="single" w:sz="4" w:space="0" w:color="000000"/>
              <w:left w:val="single" w:sz="4" w:space="0" w:color="000000"/>
              <w:bottom w:val="single" w:sz="4" w:space="0" w:color="000000"/>
              <w:right w:val="single" w:sz="4" w:space="0" w:color="000000"/>
            </w:tcBorders>
            <w:vAlign w:val="center"/>
          </w:tcPr>
          <w:p w14:paraId="4D16A519" w14:textId="77777777" w:rsidR="003B629C" w:rsidRDefault="00000000">
            <w:pPr>
              <w:spacing w:after="0" w:line="259" w:lineRule="auto"/>
              <w:ind w:left="0" w:firstLine="0"/>
              <w:jc w:val="left"/>
            </w:pPr>
            <w:r>
              <w:t xml:space="preserve">Financial Services Fund </w:t>
            </w:r>
          </w:p>
        </w:tc>
        <w:tc>
          <w:tcPr>
            <w:tcW w:w="1431" w:type="dxa"/>
            <w:tcBorders>
              <w:top w:val="single" w:sz="4" w:space="0" w:color="000000"/>
              <w:left w:val="single" w:sz="4" w:space="0" w:color="000000"/>
              <w:bottom w:val="single" w:sz="4" w:space="0" w:color="000000"/>
              <w:right w:val="single" w:sz="4" w:space="0" w:color="000000"/>
            </w:tcBorders>
            <w:vAlign w:val="center"/>
          </w:tcPr>
          <w:p w14:paraId="78C87D08" w14:textId="77777777" w:rsidR="003B629C" w:rsidRDefault="00000000">
            <w:pPr>
              <w:spacing w:after="0" w:line="259" w:lineRule="auto"/>
              <w:ind w:left="0" w:right="36" w:firstLine="0"/>
              <w:jc w:val="center"/>
            </w:pPr>
            <w:r>
              <w:t xml:space="preserve">0.6 </w:t>
            </w:r>
          </w:p>
        </w:tc>
        <w:tc>
          <w:tcPr>
            <w:tcW w:w="1138" w:type="dxa"/>
            <w:tcBorders>
              <w:top w:val="single" w:sz="4" w:space="0" w:color="000000"/>
              <w:left w:val="single" w:sz="4" w:space="0" w:color="000000"/>
              <w:bottom w:val="single" w:sz="4" w:space="0" w:color="000000"/>
              <w:right w:val="single" w:sz="4" w:space="0" w:color="000000"/>
            </w:tcBorders>
            <w:vAlign w:val="center"/>
          </w:tcPr>
          <w:p w14:paraId="3E718AA7" w14:textId="77777777" w:rsidR="003B629C" w:rsidRDefault="00000000">
            <w:pPr>
              <w:spacing w:after="0" w:line="259" w:lineRule="auto"/>
              <w:ind w:left="0" w:right="31" w:firstLine="0"/>
              <w:jc w:val="center"/>
            </w:pPr>
            <w:r>
              <w:t xml:space="preserve">0.9 </w:t>
            </w:r>
          </w:p>
        </w:tc>
        <w:tc>
          <w:tcPr>
            <w:tcW w:w="1277" w:type="dxa"/>
            <w:tcBorders>
              <w:top w:val="single" w:sz="4" w:space="0" w:color="000000"/>
              <w:left w:val="single" w:sz="4" w:space="0" w:color="000000"/>
              <w:bottom w:val="single" w:sz="4" w:space="0" w:color="000000"/>
              <w:right w:val="single" w:sz="4" w:space="0" w:color="000000"/>
            </w:tcBorders>
            <w:vAlign w:val="center"/>
          </w:tcPr>
          <w:p w14:paraId="24E0EE21" w14:textId="77777777" w:rsidR="003B629C" w:rsidRDefault="00000000">
            <w:pPr>
              <w:spacing w:after="0" w:line="259" w:lineRule="auto"/>
              <w:ind w:left="0" w:right="45" w:firstLine="0"/>
              <w:jc w:val="center"/>
            </w:pPr>
            <w:r>
              <w:t xml:space="preserve">1.1 </w:t>
            </w:r>
          </w:p>
        </w:tc>
        <w:tc>
          <w:tcPr>
            <w:tcW w:w="1277" w:type="dxa"/>
            <w:tcBorders>
              <w:top w:val="single" w:sz="4" w:space="0" w:color="000000"/>
              <w:left w:val="single" w:sz="4" w:space="0" w:color="000000"/>
              <w:bottom w:val="single" w:sz="4" w:space="0" w:color="000000"/>
              <w:right w:val="single" w:sz="4" w:space="0" w:color="000000"/>
            </w:tcBorders>
            <w:vAlign w:val="center"/>
          </w:tcPr>
          <w:p w14:paraId="641C2A13" w14:textId="77777777" w:rsidR="003B629C" w:rsidRDefault="00000000">
            <w:pPr>
              <w:spacing w:after="0" w:line="259" w:lineRule="auto"/>
              <w:ind w:left="0" w:right="32" w:firstLine="0"/>
              <w:jc w:val="center"/>
            </w:pPr>
            <w:r>
              <w:t xml:space="preserve">1.40 </w:t>
            </w:r>
          </w:p>
        </w:tc>
        <w:tc>
          <w:tcPr>
            <w:tcW w:w="1724" w:type="dxa"/>
            <w:tcBorders>
              <w:top w:val="single" w:sz="4" w:space="0" w:color="000000"/>
              <w:left w:val="single" w:sz="4" w:space="0" w:color="000000"/>
              <w:bottom w:val="single" w:sz="4" w:space="0" w:color="000000"/>
              <w:right w:val="single" w:sz="4" w:space="0" w:color="000000"/>
            </w:tcBorders>
            <w:vAlign w:val="center"/>
          </w:tcPr>
          <w:p w14:paraId="2786FCB0" w14:textId="77777777" w:rsidR="003B629C" w:rsidRDefault="00000000">
            <w:pPr>
              <w:spacing w:after="0" w:line="259" w:lineRule="auto"/>
              <w:ind w:left="0" w:right="31" w:firstLine="0"/>
              <w:jc w:val="center"/>
            </w:pPr>
            <w:r>
              <w:t xml:space="preserve">13.10 </w:t>
            </w:r>
          </w:p>
        </w:tc>
      </w:tr>
    </w:tbl>
    <w:p w14:paraId="7A64D476" w14:textId="77777777" w:rsidR="003B629C" w:rsidRDefault="00000000">
      <w:pPr>
        <w:spacing w:line="259" w:lineRule="auto"/>
        <w:ind w:left="129"/>
      </w:pPr>
      <w:r>
        <w:t xml:space="preserve">Source: NAV as on date February 20 2025  </w:t>
      </w:r>
    </w:p>
    <w:p w14:paraId="0937A8CF" w14:textId="77777777" w:rsidR="003B629C" w:rsidRDefault="00000000">
      <w:pPr>
        <w:ind w:left="129"/>
      </w:pPr>
      <w:r>
        <w:t xml:space="preserve">The </w:t>
      </w:r>
      <w:r>
        <w:rPr>
          <w:b/>
        </w:rPr>
        <w:t>Infrastructure and Consumption Funds</w:t>
      </w:r>
      <w:r>
        <w:t xml:space="preserve"> had the highest Sharpe ratios (0.8), indicating better risk-adjusted returns. All funds had a </w:t>
      </w:r>
      <w:r>
        <w:rPr>
          <w:b/>
        </w:rPr>
        <w:t>Beta of 0.9</w:t>
      </w:r>
      <w:r>
        <w:t xml:space="preserve">, showing slightly lower volatility than the market. The </w:t>
      </w:r>
      <w:r>
        <w:rPr>
          <w:b/>
        </w:rPr>
        <w:t>Services Fund</w:t>
      </w:r>
      <w:r>
        <w:t xml:space="preserve"> had the highest positive Alpha (6.3), reflecting strong outperformance. Despite higher expense ratios, all funds delivered solid </w:t>
      </w:r>
      <w:r>
        <w:rPr>
          <w:b/>
        </w:rPr>
        <w:t>returns after expenses</w:t>
      </w:r>
      <w:r>
        <w:t xml:space="preserve">, with the Infrastructure Fund leading at </w:t>
      </w:r>
      <w:r>
        <w:rPr>
          <w:b/>
        </w:rPr>
        <w:t>14.7%</w:t>
      </w:r>
      <w:r>
        <w:t xml:space="preserve">. </w:t>
      </w:r>
    </w:p>
    <w:p w14:paraId="3753C878" w14:textId="77777777" w:rsidR="003B629C" w:rsidRDefault="00000000">
      <w:pPr>
        <w:pStyle w:val="Heading1"/>
        <w:ind w:left="129" w:right="5169"/>
      </w:pPr>
      <w:r>
        <w:t>VIII. DISCUSSION</w:t>
      </w:r>
      <w:r>
        <w:rPr>
          <w:b w:val="0"/>
        </w:rPr>
        <w:t xml:space="preserve"> </w:t>
      </w:r>
    </w:p>
    <w:p w14:paraId="243E7112" w14:textId="77777777" w:rsidR="003B629C" w:rsidRDefault="00000000">
      <w:pPr>
        <w:ind w:left="129"/>
      </w:pPr>
      <w:r>
        <w:t xml:space="preserve">The analysis highlights that SIP investments in thematic funds, though subject to volatility, have the potential to offer superior long-term returns. Funds like Financial Services and Services Fund outperform benchmarks, demonstrating the benefit of consistent investments in sector-focused funds. Market conditions, macroeconomic factors, and expense ratios influence fund performance, underscoring the need for strategic diversification and periodic performance reviews. The </w:t>
      </w:r>
      <w:r>
        <w:lastRenderedPageBreak/>
        <w:t xml:space="preserve">Consumption Fund offers stability, making it suitable for conservative investors, while infrastructure and financial services funds are ideal for investors with higher risk tolerance. </w:t>
      </w:r>
    </w:p>
    <w:p w14:paraId="0A849257" w14:textId="77777777" w:rsidR="003B629C" w:rsidRDefault="00000000">
      <w:pPr>
        <w:pStyle w:val="Heading1"/>
        <w:ind w:left="129" w:right="5169"/>
      </w:pPr>
      <w:r>
        <w:t>IX.</w:t>
      </w:r>
      <w:r>
        <w:rPr>
          <w:rFonts w:ascii="Arial" w:eastAsia="Arial" w:hAnsi="Arial" w:cs="Arial"/>
        </w:rPr>
        <w:t xml:space="preserve"> </w:t>
      </w:r>
      <w:r>
        <w:t xml:space="preserve">RESULTS  </w:t>
      </w:r>
    </w:p>
    <w:p w14:paraId="1AEEBC12" w14:textId="77777777" w:rsidR="003B629C" w:rsidRDefault="00000000">
      <w:pPr>
        <w:ind w:left="129"/>
      </w:pPr>
      <w:r>
        <w:t xml:space="preserve">The performance evaluation of SIPs in thematic funds under Sundaram Mutual Funds yielded insightful outcomes across several statistical and financial parameters: </w:t>
      </w:r>
    </w:p>
    <w:p w14:paraId="53B1B550" w14:textId="77777777" w:rsidR="003B629C" w:rsidRDefault="00000000">
      <w:pPr>
        <w:pStyle w:val="Heading1"/>
        <w:ind w:left="129" w:right="5169"/>
      </w:pPr>
      <w:r>
        <w:t xml:space="preserve">Descriptive Statistics </w:t>
      </w:r>
    </w:p>
    <w:p w14:paraId="63858F6F" w14:textId="77777777" w:rsidR="003B629C" w:rsidRDefault="00000000">
      <w:pPr>
        <w:ind w:left="129"/>
      </w:pPr>
      <w:r>
        <w:t xml:space="preserve">Among the funds </w:t>
      </w:r>
      <w:proofErr w:type="spellStart"/>
      <w:r>
        <w:t>analyzed</w:t>
      </w:r>
      <w:proofErr w:type="spellEnd"/>
      <w:r>
        <w:t xml:space="preserve">, the Financial Services Fund recorded the highest average return (17.5%), albeit with the highest standard deviation (6.0%), indicating increased volatility. The Consumption Fund, on the other hand, exhibited strong returns (16.7%) with the lowest risk (standard deviation of 3.9%), making it the most stable and consistent performer. The Infrastructure Fund had lower average returns (14.3%) and relatively high variance, suggesting higher risk without proportionate returns. </w:t>
      </w:r>
    </w:p>
    <w:p w14:paraId="15DC7935" w14:textId="77777777" w:rsidR="003B629C" w:rsidRDefault="00000000">
      <w:pPr>
        <w:pStyle w:val="Heading1"/>
        <w:ind w:left="129" w:right="5169"/>
      </w:pPr>
      <w:r>
        <w:t xml:space="preserve">CAGR Analysis </w:t>
      </w:r>
    </w:p>
    <w:p w14:paraId="46229E9A" w14:textId="77777777" w:rsidR="003B629C" w:rsidRDefault="00000000">
      <w:pPr>
        <w:ind w:left="129"/>
      </w:pPr>
      <w:r>
        <w:t xml:space="preserve">Over a five-year period, the Infrastructure Fund outperformed with a CAGR of 20.62%, supported by consistent sectoral growth and </w:t>
      </w:r>
      <w:proofErr w:type="spellStart"/>
      <w:r>
        <w:t>favorable</w:t>
      </w:r>
      <w:proofErr w:type="spellEnd"/>
      <w:r>
        <w:t xml:space="preserve"> macroeconomic conditions. The Consumption Fund (16.35%) and Financial Services Fund (15.26%) followed with steady growth. Notably, the Services Fund displayed a negative CAGR (-1.58%), indicating underperformance, which might discourage long-term SIP investor</w:t>
      </w:r>
      <w:r>
        <w:rPr>
          <w:b/>
        </w:rPr>
        <w:t xml:space="preserve">s. </w:t>
      </w:r>
    </w:p>
    <w:p w14:paraId="392B4433" w14:textId="77777777" w:rsidR="003B629C" w:rsidRDefault="00000000">
      <w:pPr>
        <w:pStyle w:val="Heading1"/>
        <w:ind w:left="129" w:right="5169"/>
      </w:pPr>
      <w:r>
        <w:t xml:space="preserve">Trend Analysis &amp; Forecasting </w:t>
      </w:r>
    </w:p>
    <w:p w14:paraId="4BE43297" w14:textId="77777777" w:rsidR="003B629C" w:rsidRDefault="00000000">
      <w:pPr>
        <w:ind w:left="129"/>
      </w:pPr>
      <w:r>
        <w:t xml:space="preserve">From 2017 to the forecasted period in 2027, all funds demonstrated a strong rebound post-COVID19 market crash in 2020. The Infrastructure Fund showed the most robust upward trend, followed by Financial Services, driven by economic recovery and sectoral investments. The Consumption Fund displayed consistent performance, indicating demand stability. Although the Services Fund lagged earlier, it is projected to gain momentum by 2027. </w:t>
      </w:r>
    </w:p>
    <w:p w14:paraId="0C75B170" w14:textId="77777777" w:rsidR="003B629C" w:rsidRDefault="00000000">
      <w:pPr>
        <w:pStyle w:val="Heading1"/>
        <w:ind w:left="129" w:right="5169"/>
      </w:pPr>
      <w:r>
        <w:lastRenderedPageBreak/>
        <w:t xml:space="preserve">Regression Analysis </w:t>
      </w:r>
    </w:p>
    <w:p w14:paraId="1A24BC5A" w14:textId="77777777" w:rsidR="003B629C" w:rsidRDefault="00000000">
      <w:pPr>
        <w:ind w:left="129"/>
      </w:pPr>
      <w:r>
        <w:t xml:space="preserve">GDP growth emerged as the only statistically significant variable (p = 0.005) influencing SIP returns in thematic funds, suggesting that economic expansion plays a crucial role in fund performance. While inflation, interest rates, and expense ratios showed directional effects, they were statistically insignificant. </w:t>
      </w:r>
    </w:p>
    <w:p w14:paraId="0E5A980C" w14:textId="77777777" w:rsidR="003B629C" w:rsidRDefault="00000000">
      <w:pPr>
        <w:pStyle w:val="Heading1"/>
        <w:ind w:left="129" w:right="5169"/>
      </w:pPr>
      <w:r>
        <w:t xml:space="preserve">Annualized Returns </w:t>
      </w:r>
    </w:p>
    <w:p w14:paraId="4487C58C" w14:textId="77777777" w:rsidR="003B629C" w:rsidRDefault="00000000">
      <w:pPr>
        <w:ind w:left="129"/>
      </w:pPr>
      <w:r>
        <w:t xml:space="preserve">The Infrastructure Fund recorded the highest 5-year CAGR (21.6%), closely tracking its benchmark. The Services Fund significantly outperformed its benchmark (19.5% vs. 13.5%), highlighting strong active management. The Financial Services Fund also consistently surpassed its benchmark, making it a reliable long-term SIP option. </w:t>
      </w:r>
    </w:p>
    <w:p w14:paraId="27B266C0" w14:textId="77777777" w:rsidR="003B629C" w:rsidRDefault="00000000">
      <w:pPr>
        <w:pStyle w:val="Heading1"/>
        <w:ind w:left="129" w:right="5169"/>
      </w:pPr>
      <w:r>
        <w:t xml:space="preserve">ANOVA Test </w:t>
      </w:r>
    </w:p>
    <w:p w14:paraId="021C93E5" w14:textId="77777777" w:rsidR="003B629C" w:rsidRDefault="00000000">
      <w:pPr>
        <w:ind w:left="129"/>
      </w:pPr>
      <w:r>
        <w:t xml:space="preserve">The ANOVA results (p = 0.927) indicated no statistically significant differences in mean returns among the funds, implying that while returns vary in value, the differences are not statistically impactful. </w:t>
      </w:r>
    </w:p>
    <w:p w14:paraId="1D6257E3" w14:textId="77777777" w:rsidR="003B629C" w:rsidRDefault="00000000">
      <w:pPr>
        <w:spacing w:after="0" w:line="259" w:lineRule="auto"/>
        <w:ind w:left="134" w:firstLine="0"/>
        <w:jc w:val="left"/>
      </w:pPr>
      <w:r>
        <w:rPr>
          <w:rFonts w:ascii="Calibri" w:eastAsia="Calibri" w:hAnsi="Calibri" w:cs="Calibri"/>
          <w:b/>
          <w:sz w:val="22"/>
        </w:rPr>
        <w:t xml:space="preserve"> </w:t>
      </w:r>
      <w:r>
        <w:rPr>
          <w:rFonts w:ascii="Calibri" w:eastAsia="Calibri" w:hAnsi="Calibri" w:cs="Calibri"/>
          <w:b/>
          <w:sz w:val="22"/>
        </w:rPr>
        <w:tab/>
      </w:r>
      <w:r>
        <w:rPr>
          <w:b/>
        </w:rPr>
        <w:t xml:space="preserve"> </w:t>
      </w:r>
    </w:p>
    <w:p w14:paraId="60D272F0" w14:textId="77777777" w:rsidR="003B629C" w:rsidRDefault="00000000">
      <w:pPr>
        <w:pStyle w:val="Heading1"/>
        <w:ind w:left="129" w:right="5169"/>
      </w:pPr>
      <w:r>
        <w:t xml:space="preserve">Risk-Return Analysis </w:t>
      </w:r>
    </w:p>
    <w:p w14:paraId="04903902" w14:textId="77777777" w:rsidR="003B629C" w:rsidRDefault="00000000">
      <w:pPr>
        <w:ind w:left="129"/>
      </w:pPr>
      <w:r>
        <w:t xml:space="preserve">Both the Infrastructure and Consumption Funds had the highest Sharpe ratios (0.8), indicating superior risk-adjusted returns. All funds maintained a Beta of 0.9, reflecting slightly less volatility than the market. The Services Fund had the highest Alpha (6.3%), </w:t>
      </w:r>
      <w:proofErr w:type="spellStart"/>
      <w:r>
        <w:t>signaling</w:t>
      </w:r>
      <w:proofErr w:type="spellEnd"/>
      <w:r>
        <w:t xml:space="preserve"> strong fund management. Despite varying expense ratios, the funds yielded positive net returns, led by the Infrastructure Fund (14.7%). </w:t>
      </w:r>
    </w:p>
    <w:p w14:paraId="2BE7B0B5" w14:textId="77777777" w:rsidR="003B629C" w:rsidRDefault="00000000">
      <w:pPr>
        <w:spacing w:after="386" w:line="260" w:lineRule="auto"/>
        <w:ind w:left="269" w:right="5169"/>
        <w:jc w:val="left"/>
      </w:pPr>
      <w:r>
        <w:rPr>
          <w:b/>
        </w:rPr>
        <w:t>X.</w:t>
      </w:r>
      <w:r>
        <w:rPr>
          <w:rFonts w:ascii="Arial" w:eastAsia="Arial" w:hAnsi="Arial" w:cs="Arial"/>
          <w:b/>
        </w:rPr>
        <w:t xml:space="preserve"> </w:t>
      </w:r>
      <w:proofErr w:type="gramStart"/>
      <w:r>
        <w:rPr>
          <w:b/>
        </w:rPr>
        <w:t xml:space="preserve">SUGGESTIONS </w:t>
      </w:r>
      <w:r>
        <w:t>:</w:t>
      </w:r>
      <w:proofErr w:type="gramEnd"/>
      <w:r>
        <w:t xml:space="preserve"> </w:t>
      </w:r>
    </w:p>
    <w:p w14:paraId="7272E552" w14:textId="77777777" w:rsidR="003B629C" w:rsidRDefault="00000000">
      <w:pPr>
        <w:numPr>
          <w:ilvl w:val="0"/>
          <w:numId w:val="3"/>
        </w:numPr>
        <w:spacing w:after="0"/>
        <w:ind w:hanging="361"/>
      </w:pPr>
      <w:r>
        <w:t xml:space="preserve">Focus on Infrastructure and Services Funds for Long-Term SIPs – High CAGR and stable returns. </w:t>
      </w:r>
    </w:p>
    <w:p w14:paraId="3CD46543" w14:textId="77777777" w:rsidR="003B629C" w:rsidRDefault="00000000">
      <w:pPr>
        <w:numPr>
          <w:ilvl w:val="0"/>
          <w:numId w:val="3"/>
        </w:numPr>
        <w:spacing w:after="117" w:line="259" w:lineRule="auto"/>
        <w:ind w:hanging="361"/>
      </w:pPr>
      <w:r>
        <w:t xml:space="preserve">Monitor GDP Trends for Better SIP Timing – GDP growth positively affects SIP returns. </w:t>
      </w:r>
    </w:p>
    <w:p w14:paraId="3B3D9986" w14:textId="77777777" w:rsidR="003B629C" w:rsidRDefault="00000000">
      <w:pPr>
        <w:numPr>
          <w:ilvl w:val="0"/>
          <w:numId w:val="3"/>
        </w:numPr>
        <w:spacing w:after="122" w:line="259" w:lineRule="auto"/>
        <w:ind w:hanging="361"/>
      </w:pPr>
      <w:r>
        <w:lastRenderedPageBreak/>
        <w:t xml:space="preserve">Limit Exposure to Underperforming Themes – Watch underperforming themes closely. </w:t>
      </w:r>
    </w:p>
    <w:p w14:paraId="45378FE2" w14:textId="77777777" w:rsidR="003B629C" w:rsidRDefault="00000000">
      <w:pPr>
        <w:numPr>
          <w:ilvl w:val="0"/>
          <w:numId w:val="3"/>
        </w:numPr>
        <w:spacing w:after="1"/>
        <w:ind w:hanging="361"/>
      </w:pPr>
      <w:r>
        <w:t xml:space="preserve">Choose Funds with Strong Risk-Adjusted Metrics – Prioritize funds with high Sharpe ratios. </w:t>
      </w:r>
    </w:p>
    <w:p w14:paraId="7F97A1A5" w14:textId="77777777" w:rsidR="003B629C" w:rsidRDefault="00000000">
      <w:pPr>
        <w:numPr>
          <w:ilvl w:val="0"/>
          <w:numId w:val="3"/>
        </w:numPr>
        <w:spacing w:after="117" w:line="259" w:lineRule="auto"/>
        <w:ind w:hanging="361"/>
      </w:pPr>
      <w:r>
        <w:t xml:space="preserve">Pay Attention to Expense Ratios – Lower expense ratios enhance returns. </w:t>
      </w:r>
    </w:p>
    <w:p w14:paraId="77214142" w14:textId="77777777" w:rsidR="003B629C" w:rsidRDefault="00000000">
      <w:pPr>
        <w:numPr>
          <w:ilvl w:val="0"/>
          <w:numId w:val="3"/>
        </w:numPr>
        <w:spacing w:after="5"/>
        <w:ind w:hanging="361"/>
      </w:pPr>
      <w:r>
        <w:t xml:space="preserve">Diversify Across Thematic Funds – Diversification reduces risk without sacrificing returns. </w:t>
      </w:r>
    </w:p>
    <w:p w14:paraId="51D166CE" w14:textId="77777777" w:rsidR="003B629C" w:rsidRDefault="00000000">
      <w:pPr>
        <w:numPr>
          <w:ilvl w:val="0"/>
          <w:numId w:val="3"/>
        </w:numPr>
        <w:spacing w:after="396" w:line="259" w:lineRule="auto"/>
        <w:ind w:hanging="361"/>
      </w:pPr>
      <w:r>
        <w:t xml:space="preserve">Use SIPs to Navigate Volatility – SIPs smooth out market fluctuations over time. </w:t>
      </w:r>
    </w:p>
    <w:p w14:paraId="6961C0FA" w14:textId="77777777" w:rsidR="003B629C" w:rsidRDefault="00000000">
      <w:pPr>
        <w:pStyle w:val="Heading1"/>
        <w:ind w:left="129" w:right="5169"/>
      </w:pPr>
      <w:r>
        <w:t>XI. CONCLUSION</w:t>
      </w:r>
      <w:r>
        <w:rPr>
          <w:b w:val="0"/>
        </w:rPr>
        <w:t xml:space="preserve"> </w:t>
      </w:r>
    </w:p>
    <w:p w14:paraId="66353659" w14:textId="77777777" w:rsidR="003B629C" w:rsidRDefault="00000000">
      <w:pPr>
        <w:ind w:left="129"/>
      </w:pPr>
      <w:r>
        <w:t xml:space="preserve">This study underscores the importance of SIP investments in thematic funds as a viable strategy for long-term wealth creation. The research reveals that while thematic funds exhibit higher volatility, they deliver superior risk-adjusted returns over time. Sectoral trends, economic indicators, and expense ratios significantly influence fund performance. By employing diversification, continuous evaluation, and sector monitoring, investors can optimize their returns and manage risks effectively. Sundaram Mutual Funds' thematic funds demonstrate resilience and growth potential, validating the strategic integration of SIPs with sector-specific investment avenues. </w:t>
      </w:r>
    </w:p>
    <w:p w14:paraId="2272D405" w14:textId="77777777" w:rsidR="003B629C" w:rsidRDefault="00000000">
      <w:pPr>
        <w:spacing w:after="0" w:line="259" w:lineRule="auto"/>
        <w:ind w:left="134" w:firstLine="0"/>
        <w:jc w:val="left"/>
      </w:pPr>
      <w:r>
        <w:rPr>
          <w:rFonts w:ascii="Calibri" w:eastAsia="Calibri" w:hAnsi="Calibri" w:cs="Calibri"/>
          <w:b/>
          <w:sz w:val="22"/>
        </w:rPr>
        <w:t xml:space="preserve"> </w:t>
      </w:r>
      <w:r>
        <w:rPr>
          <w:rFonts w:ascii="Calibri" w:eastAsia="Calibri" w:hAnsi="Calibri" w:cs="Calibri"/>
          <w:b/>
          <w:sz w:val="22"/>
        </w:rPr>
        <w:tab/>
      </w:r>
      <w:r>
        <w:rPr>
          <w:b/>
        </w:rPr>
        <w:t xml:space="preserve"> </w:t>
      </w:r>
    </w:p>
    <w:p w14:paraId="2A3C7592" w14:textId="77777777" w:rsidR="003B629C" w:rsidRDefault="00000000">
      <w:pPr>
        <w:spacing w:after="386" w:line="260" w:lineRule="auto"/>
        <w:ind w:left="129" w:right="5169"/>
        <w:jc w:val="left"/>
      </w:pPr>
      <w:r>
        <w:rPr>
          <w:b/>
        </w:rPr>
        <w:t>REFERENCES</w:t>
      </w:r>
      <w:r>
        <w:t xml:space="preserve"> </w:t>
      </w:r>
    </w:p>
    <w:p w14:paraId="6989244B" w14:textId="77777777" w:rsidR="0099062D" w:rsidRPr="003F04F1" w:rsidRDefault="0099062D" w:rsidP="0099062D">
      <w:pPr>
        <w:rPr>
          <w:b/>
          <w:bCs/>
        </w:rPr>
      </w:pPr>
      <w:r w:rsidRPr="003F04F1">
        <w:rPr>
          <w:b/>
          <w:bCs/>
        </w:rPr>
        <w:t xml:space="preserve">JOURNAL </w:t>
      </w:r>
    </w:p>
    <w:p w14:paraId="4D422FE1" w14:textId="77777777" w:rsidR="0099062D" w:rsidRPr="00171AA4" w:rsidRDefault="0099062D" w:rsidP="0099062D">
      <w:r w:rsidRPr="00171AA4">
        <w:t xml:space="preserve">Banerjee, S. (2020). Systematic investment plan in emerging markets. </w:t>
      </w:r>
      <w:r w:rsidRPr="00171AA4">
        <w:rPr>
          <w:i/>
          <w:iCs/>
        </w:rPr>
        <w:t>Global Journal of Emerging Market Finance</w:t>
      </w:r>
      <w:r w:rsidRPr="00171AA4">
        <w:t>, 15(3), 150–164.</w:t>
      </w:r>
    </w:p>
    <w:p w14:paraId="7F33B462" w14:textId="77777777" w:rsidR="0099062D" w:rsidRPr="00171AA4" w:rsidRDefault="0099062D" w:rsidP="0099062D">
      <w:r w:rsidRPr="00171AA4">
        <w:t xml:space="preserve">Bank, C. R., Khan, S. A., &amp; Shaikh, S. M. (2022). Risk and return analysis of mutual fund. </w:t>
      </w:r>
      <w:r w:rsidRPr="00171AA4">
        <w:rPr>
          <w:i/>
          <w:iCs/>
        </w:rPr>
        <w:t>International Journal of Financial Research</w:t>
      </w:r>
      <w:r w:rsidRPr="00171AA4">
        <w:t>, 13(1), 77–89</w:t>
      </w:r>
    </w:p>
    <w:p w14:paraId="7D9C1825" w14:textId="77777777" w:rsidR="0099062D" w:rsidRPr="00171AA4" w:rsidRDefault="0099062D" w:rsidP="0099062D">
      <w:r w:rsidRPr="00171AA4">
        <w:t xml:space="preserve">Bansal, A., &amp; Kaur, P. (2011). </w:t>
      </w:r>
      <w:r w:rsidRPr="00171AA4">
        <w:rPr>
          <w:i/>
          <w:iCs/>
        </w:rPr>
        <w:t>Systematic investment plans: A tool for financial inclusion</w:t>
      </w:r>
      <w:r w:rsidRPr="00171AA4">
        <w:t xml:space="preserve">. </w:t>
      </w:r>
      <w:r w:rsidRPr="00171AA4">
        <w:rPr>
          <w:i/>
          <w:iCs/>
        </w:rPr>
        <w:t>Journal of Financial Inclusion</w:t>
      </w:r>
      <w:r w:rsidRPr="00171AA4">
        <w:t>, 4(2), 41-58.</w:t>
      </w:r>
    </w:p>
    <w:p w14:paraId="68575014" w14:textId="77777777" w:rsidR="0099062D" w:rsidRPr="00171AA4" w:rsidRDefault="0099062D" w:rsidP="0099062D">
      <w:r w:rsidRPr="00171AA4">
        <w:t xml:space="preserve">Chahal, P. S. (2018). </w:t>
      </w:r>
      <w:r w:rsidRPr="00171AA4">
        <w:rPr>
          <w:i/>
          <w:iCs/>
        </w:rPr>
        <w:t>Study of risk and return regarding some selected equity mutual fund schemes (with special reference to SBI Mutual Funds)</w:t>
      </w:r>
      <w:r w:rsidRPr="00171AA4">
        <w:t xml:space="preserve">. </w:t>
      </w:r>
      <w:r w:rsidRPr="00171AA4">
        <w:rPr>
          <w:i/>
          <w:iCs/>
        </w:rPr>
        <w:t>Journal of Financial Analysis</w:t>
      </w:r>
      <w:r w:rsidRPr="00171AA4">
        <w:t>, 15(2), 67-82.</w:t>
      </w:r>
    </w:p>
    <w:p w14:paraId="78A80D38" w14:textId="77777777" w:rsidR="0099062D" w:rsidRPr="00171AA4" w:rsidRDefault="0099062D" w:rsidP="0099062D">
      <w:r w:rsidRPr="00171AA4">
        <w:lastRenderedPageBreak/>
        <w:t xml:space="preserve">Chaudhary, K., &amp; Kumar, V. (2018). </w:t>
      </w:r>
      <w:r w:rsidRPr="00171AA4">
        <w:rPr>
          <w:i/>
          <w:iCs/>
        </w:rPr>
        <w:t>Effect of SIP on long-term investment growth</w:t>
      </w:r>
      <w:r w:rsidRPr="00171AA4">
        <w:t xml:space="preserve">. </w:t>
      </w:r>
      <w:r w:rsidRPr="00171AA4">
        <w:rPr>
          <w:i/>
          <w:iCs/>
        </w:rPr>
        <w:t>International Journal of Financial Management</w:t>
      </w:r>
      <w:r w:rsidRPr="00171AA4">
        <w:t>, 23(1), 77-91.</w:t>
      </w:r>
    </w:p>
    <w:p w14:paraId="2832D642" w14:textId="77777777" w:rsidR="0099062D" w:rsidRPr="00EA76CC" w:rsidRDefault="0099062D" w:rsidP="0099062D">
      <w:pPr>
        <w:rPr>
          <w:b/>
          <w:bCs/>
        </w:rPr>
      </w:pPr>
      <w:r w:rsidRPr="00EA76CC">
        <w:rPr>
          <w:b/>
          <w:bCs/>
        </w:rPr>
        <w:t>BOOK</w:t>
      </w:r>
      <w:r>
        <w:rPr>
          <w:b/>
          <w:bCs/>
        </w:rPr>
        <w:t>S</w:t>
      </w:r>
    </w:p>
    <w:p w14:paraId="415271ED" w14:textId="77777777" w:rsidR="0099062D" w:rsidRDefault="0099062D" w:rsidP="0099062D">
      <w:r w:rsidRPr="000619BE">
        <w:t>Bogle, J. C. (2000). </w:t>
      </w:r>
      <w:r w:rsidRPr="000619BE">
        <w:rPr>
          <w:i/>
          <w:iCs/>
        </w:rPr>
        <w:t>Common sense on mutual funds: New imperatives for the intelligent investor</w:t>
      </w:r>
      <w:r w:rsidRPr="000619BE">
        <w:t>. John Wiley &amp; Sons.</w:t>
      </w:r>
    </w:p>
    <w:p w14:paraId="12E963AC" w14:textId="77777777" w:rsidR="0099062D" w:rsidRDefault="0099062D" w:rsidP="0099062D">
      <w:r w:rsidRPr="00381938">
        <w:t>Tripathy, N. P. (2007). </w:t>
      </w:r>
      <w:r w:rsidRPr="00381938">
        <w:rPr>
          <w:i/>
          <w:iCs/>
        </w:rPr>
        <w:t>Mutual funds in India: emerging issues</w:t>
      </w:r>
      <w:r w:rsidRPr="00381938">
        <w:t>. Excel Books India.</w:t>
      </w:r>
    </w:p>
    <w:p w14:paraId="1EA17768" w14:textId="77777777" w:rsidR="0099062D" w:rsidRDefault="0099062D" w:rsidP="0099062D">
      <w:proofErr w:type="spellStart"/>
      <w:r w:rsidRPr="0054661A">
        <w:rPr>
          <w:b/>
          <w:bCs/>
        </w:rPr>
        <w:t>Swaaminathan</w:t>
      </w:r>
      <w:proofErr w:type="spellEnd"/>
      <w:r w:rsidRPr="0054661A">
        <w:rPr>
          <w:b/>
          <w:bCs/>
        </w:rPr>
        <w:t>, T. M.</w:t>
      </w:r>
      <w:r w:rsidRPr="0054661A">
        <w:t xml:space="preserve"> (2011). </w:t>
      </w:r>
      <w:r w:rsidRPr="0054661A">
        <w:rPr>
          <w:i/>
          <w:iCs/>
        </w:rPr>
        <w:t>Performance of mutual funds in India: A comparative study of public and private sector mutual funds</w:t>
      </w:r>
      <w:r w:rsidRPr="0054661A">
        <w:t>. Gyan Publishing House.</w:t>
      </w:r>
      <w:r>
        <w:t xml:space="preserve">  </w:t>
      </w:r>
    </w:p>
    <w:p w14:paraId="336E93EB" w14:textId="77777777" w:rsidR="0099062D" w:rsidRDefault="0099062D" w:rsidP="0099062D"/>
    <w:p w14:paraId="342D6E9F" w14:textId="77777777" w:rsidR="0099062D" w:rsidRPr="00EA76CC" w:rsidRDefault="0099062D" w:rsidP="0099062D">
      <w:pPr>
        <w:rPr>
          <w:b/>
          <w:bCs/>
        </w:rPr>
      </w:pPr>
      <w:r w:rsidRPr="00EA76CC">
        <w:rPr>
          <w:b/>
          <w:bCs/>
        </w:rPr>
        <w:t xml:space="preserve">WEBSITE </w:t>
      </w:r>
    </w:p>
    <w:p w14:paraId="4DF991D8" w14:textId="77777777" w:rsidR="0099062D" w:rsidRDefault="0099062D" w:rsidP="0099062D">
      <w:r w:rsidRPr="00C80390">
        <w:t xml:space="preserve">Securities and Exchange Board of India. (2021, April 15). </w:t>
      </w:r>
      <w:r w:rsidRPr="00C80390">
        <w:rPr>
          <w:i/>
          <w:iCs/>
        </w:rPr>
        <w:t>Mutual funds in India: An overview</w:t>
      </w:r>
      <w:r w:rsidRPr="00C80390">
        <w:t xml:space="preserve">. </w:t>
      </w:r>
      <w:hyperlink r:id="rId7" w:history="1">
        <w:r w:rsidRPr="00C909B8">
          <w:rPr>
            <w:rStyle w:val="Hyperlink"/>
          </w:rPr>
          <w:t>https://www.sebi.gov.in/sebiweb/home/detail/4781.html</w:t>
        </w:r>
      </w:hyperlink>
      <w:r>
        <w:t xml:space="preserve"> </w:t>
      </w:r>
    </w:p>
    <w:p w14:paraId="7A5CDB44" w14:textId="77777777" w:rsidR="0099062D" w:rsidRDefault="0099062D" w:rsidP="0099062D">
      <w:r w:rsidRPr="00C80390">
        <w:t xml:space="preserve">National Stock Exchange. (2022, March 8). </w:t>
      </w:r>
      <w:r w:rsidRPr="00C80390">
        <w:rPr>
          <w:i/>
          <w:iCs/>
        </w:rPr>
        <w:t>SIP investment: A beginner's guide to investing in mutual funds</w:t>
      </w:r>
      <w:r w:rsidRPr="00C80390">
        <w:t xml:space="preserve">. </w:t>
      </w:r>
      <w:hyperlink r:id="rId8" w:history="1">
        <w:r w:rsidRPr="00C909B8">
          <w:rPr>
            <w:rStyle w:val="Hyperlink"/>
          </w:rPr>
          <w:t>https://www.nseindia.com/investments/sip-guide</w:t>
        </w:r>
      </w:hyperlink>
      <w:r>
        <w:t xml:space="preserve"> </w:t>
      </w:r>
    </w:p>
    <w:p w14:paraId="5754AAB3" w14:textId="77777777" w:rsidR="0099062D" w:rsidRDefault="0099062D" w:rsidP="0099062D">
      <w:proofErr w:type="spellStart"/>
      <w:r w:rsidRPr="00EA76CC">
        <w:t>MoneyControl</w:t>
      </w:r>
      <w:proofErr w:type="spellEnd"/>
      <w:r w:rsidRPr="00EA76CC">
        <w:t xml:space="preserve">. (2020, December 12). </w:t>
      </w:r>
      <w:r w:rsidRPr="00EA76CC">
        <w:rPr>
          <w:i/>
          <w:iCs/>
        </w:rPr>
        <w:t>Understanding Systematic Investment Plan (SIP) and how to choose mutual funds for SIP</w:t>
      </w:r>
      <w:r w:rsidRPr="00EA76CC">
        <w:t xml:space="preserve">. </w:t>
      </w:r>
      <w:hyperlink r:id="rId9" w:history="1">
        <w:r w:rsidRPr="00C909B8">
          <w:rPr>
            <w:rStyle w:val="Hyperlink"/>
          </w:rPr>
          <w:t>https://www.moneycontrol.com/mutual-funds/sip-guide</w:t>
        </w:r>
      </w:hyperlink>
    </w:p>
    <w:p w14:paraId="66257D8D" w14:textId="77777777" w:rsidR="0099062D" w:rsidRDefault="0099062D" w:rsidP="0099062D">
      <w:r w:rsidRPr="00EA76CC">
        <w:t xml:space="preserve">Morningstar. (2021, June 25). </w:t>
      </w:r>
      <w:r w:rsidRPr="00EA76CC">
        <w:rPr>
          <w:i/>
          <w:iCs/>
        </w:rPr>
        <w:t>Performance of thematic mutual funds in India: Trends and opportunities</w:t>
      </w:r>
      <w:r w:rsidRPr="00EA76CC">
        <w:t xml:space="preserve">. </w:t>
      </w:r>
      <w:hyperlink r:id="rId10" w:history="1">
        <w:r w:rsidRPr="00C909B8">
          <w:rPr>
            <w:rStyle w:val="Hyperlink"/>
          </w:rPr>
          <w:t>https://www.morningstar.com/articles/thematic-mutual-funds-performance</w:t>
        </w:r>
      </w:hyperlink>
    </w:p>
    <w:p w14:paraId="62247631" w14:textId="474E72F9" w:rsidR="003B629C" w:rsidRDefault="0099062D" w:rsidP="0099062D">
      <w:pPr>
        <w:spacing w:after="0" w:line="259" w:lineRule="auto"/>
        <w:ind w:left="134" w:firstLine="0"/>
        <w:jc w:val="left"/>
      </w:pPr>
      <w:proofErr w:type="spellStart"/>
      <w:r w:rsidRPr="00EA76CC">
        <w:t>ValueResearch</w:t>
      </w:r>
      <w:proofErr w:type="spellEnd"/>
      <w:r w:rsidRPr="00EA76CC">
        <w:t xml:space="preserve">. (2022, January 5). </w:t>
      </w:r>
      <w:r w:rsidRPr="00EA76CC">
        <w:rPr>
          <w:i/>
          <w:iCs/>
        </w:rPr>
        <w:t>SIP investments in thematic funds: What you need to know</w:t>
      </w:r>
      <w:r w:rsidRPr="00EA76CC">
        <w:t xml:space="preserve">. </w:t>
      </w:r>
      <w:hyperlink r:id="rId11" w:history="1">
        <w:r w:rsidRPr="00C909B8">
          <w:rPr>
            <w:rStyle w:val="Hyperlink"/>
          </w:rPr>
          <w:t>https://www.valueresearchonline.com/sip-investments-in-thematic-funds</w:t>
        </w:r>
      </w:hyperlink>
    </w:p>
    <w:sectPr w:rsidR="003B629C">
      <w:pgSz w:w="12240" w:h="15840"/>
      <w:pgMar w:top="1443" w:right="1432" w:bottom="1475" w:left="13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0242"/>
    <w:multiLevelType w:val="hybridMultilevel"/>
    <w:tmpl w:val="8EE43474"/>
    <w:lvl w:ilvl="0" w:tplc="9F282DA6">
      <w:start w:val="1"/>
      <w:numFmt w:val="bullet"/>
      <w:lvlText w:val=""/>
      <w:lvlJc w:val="left"/>
      <w:pPr>
        <w:ind w:left="8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9844A56">
      <w:start w:val="1"/>
      <w:numFmt w:val="bullet"/>
      <w:lvlText w:val="o"/>
      <w:lvlJc w:val="left"/>
      <w:pPr>
        <w:ind w:left="14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87231B0">
      <w:start w:val="1"/>
      <w:numFmt w:val="bullet"/>
      <w:lvlText w:val="▪"/>
      <w:lvlJc w:val="left"/>
      <w:pPr>
        <w:ind w:left="22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F1A2CB2">
      <w:start w:val="1"/>
      <w:numFmt w:val="bullet"/>
      <w:lvlText w:val="•"/>
      <w:lvlJc w:val="left"/>
      <w:pPr>
        <w:ind w:left="29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A4E4686">
      <w:start w:val="1"/>
      <w:numFmt w:val="bullet"/>
      <w:lvlText w:val="o"/>
      <w:lvlJc w:val="left"/>
      <w:pPr>
        <w:ind w:left="36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1FE89D6">
      <w:start w:val="1"/>
      <w:numFmt w:val="bullet"/>
      <w:lvlText w:val="▪"/>
      <w:lvlJc w:val="left"/>
      <w:pPr>
        <w:ind w:left="4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6B491AA">
      <w:start w:val="1"/>
      <w:numFmt w:val="bullet"/>
      <w:lvlText w:val="•"/>
      <w:lvlJc w:val="left"/>
      <w:pPr>
        <w:ind w:left="5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594D986">
      <w:start w:val="1"/>
      <w:numFmt w:val="bullet"/>
      <w:lvlText w:val="o"/>
      <w:lvlJc w:val="left"/>
      <w:pPr>
        <w:ind w:left="5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E52B71C">
      <w:start w:val="1"/>
      <w:numFmt w:val="bullet"/>
      <w:lvlText w:val="▪"/>
      <w:lvlJc w:val="left"/>
      <w:pPr>
        <w:ind w:left="6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114518"/>
    <w:multiLevelType w:val="hybridMultilevel"/>
    <w:tmpl w:val="FEFA68F4"/>
    <w:lvl w:ilvl="0" w:tplc="DEFC06DE">
      <w:start w:val="1"/>
      <w:numFmt w:val="decimal"/>
      <w:lvlText w:val="%1."/>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3C5A9E">
      <w:start w:val="1"/>
      <w:numFmt w:val="lowerLetter"/>
      <w:lvlText w:val="%2"/>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2831E8">
      <w:start w:val="1"/>
      <w:numFmt w:val="lowerRoman"/>
      <w:lvlText w:val="%3"/>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29812">
      <w:start w:val="1"/>
      <w:numFmt w:val="decimal"/>
      <w:lvlText w:val="%4"/>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8795E">
      <w:start w:val="1"/>
      <w:numFmt w:val="lowerLetter"/>
      <w:lvlText w:val="%5"/>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C63E9A">
      <w:start w:val="1"/>
      <w:numFmt w:val="lowerRoman"/>
      <w:lvlText w:val="%6"/>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D08428">
      <w:start w:val="1"/>
      <w:numFmt w:val="decimal"/>
      <w:lvlText w:val="%7"/>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C021C0">
      <w:start w:val="1"/>
      <w:numFmt w:val="lowerLetter"/>
      <w:lvlText w:val="%8"/>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BE65F8">
      <w:start w:val="1"/>
      <w:numFmt w:val="lowerRoman"/>
      <w:lvlText w:val="%9"/>
      <w:lvlJc w:val="left"/>
      <w:pPr>
        <w:ind w:left="6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EB257B"/>
    <w:multiLevelType w:val="hybridMultilevel"/>
    <w:tmpl w:val="3F5AAE6E"/>
    <w:lvl w:ilvl="0" w:tplc="270C413C">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F0757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588BE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EA02F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A2E0F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FAA2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6667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3EEB6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20A92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DB6980"/>
    <w:multiLevelType w:val="hybridMultilevel"/>
    <w:tmpl w:val="5AC0F764"/>
    <w:lvl w:ilvl="0" w:tplc="75A84DF4">
      <w:start w:val="1"/>
      <w:numFmt w:val="bullet"/>
      <w:lvlText w:val="•"/>
      <w:lvlJc w:val="left"/>
      <w:pPr>
        <w:ind w:left="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4878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767E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A25F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72FD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6A23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6689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E0E9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56DE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AB173A"/>
    <w:multiLevelType w:val="hybridMultilevel"/>
    <w:tmpl w:val="69AC7556"/>
    <w:lvl w:ilvl="0" w:tplc="048A6F90">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CC746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88BC2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9C72B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81F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AA4E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08CA8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78B85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D2D93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7509C2"/>
    <w:multiLevelType w:val="hybridMultilevel"/>
    <w:tmpl w:val="3348A424"/>
    <w:lvl w:ilvl="0" w:tplc="64A69CAE">
      <w:start w:val="4"/>
      <w:numFmt w:val="decimal"/>
      <w:lvlText w:val="%1."/>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CA80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6C83E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403AA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2A0F7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E01E6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F6EF3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9A2A9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C2A82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361773A"/>
    <w:multiLevelType w:val="hybridMultilevel"/>
    <w:tmpl w:val="94AAA166"/>
    <w:lvl w:ilvl="0" w:tplc="34D09344">
      <w:start w:val="1"/>
      <w:numFmt w:val="decimal"/>
      <w:lvlText w:val="%1."/>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34D6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F8501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AA7B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B0810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B846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34EF6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92DEA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9AA6B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00713424">
    <w:abstractNumId w:val="1"/>
  </w:num>
  <w:num w:numId="2" w16cid:durableId="1035353987">
    <w:abstractNumId w:val="3"/>
  </w:num>
  <w:num w:numId="3" w16cid:durableId="1640454845">
    <w:abstractNumId w:val="0"/>
  </w:num>
  <w:num w:numId="4" w16cid:durableId="824781586">
    <w:abstractNumId w:val="6"/>
  </w:num>
  <w:num w:numId="5" w16cid:durableId="933364947">
    <w:abstractNumId w:val="4"/>
  </w:num>
  <w:num w:numId="6" w16cid:durableId="2065329694">
    <w:abstractNumId w:val="5"/>
  </w:num>
  <w:num w:numId="7" w16cid:durableId="1585148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9C"/>
    <w:rsid w:val="003B629C"/>
    <w:rsid w:val="00477A38"/>
    <w:rsid w:val="00563FE5"/>
    <w:rsid w:val="008B152B"/>
    <w:rsid w:val="0099062D"/>
    <w:rsid w:val="00BE51D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CAD33"/>
  <w15:docId w15:val="{92D4F591-E20A-4C82-82E6-AE75F918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t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2" w:line="360" w:lineRule="auto"/>
      <w:ind w:left="144"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86" w:line="260" w:lineRule="auto"/>
      <w:ind w:left="142"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9062D"/>
    <w:rPr>
      <w:color w:val="0563C1" w:themeColor="hyperlink"/>
      <w:u w:val="single"/>
    </w:rPr>
  </w:style>
  <w:style w:type="character" w:styleId="UnresolvedMention">
    <w:name w:val="Unresolved Mention"/>
    <w:basedOn w:val="DefaultParagraphFont"/>
    <w:uiPriority w:val="99"/>
    <w:semiHidden/>
    <w:unhideWhenUsed/>
    <w:rsid w:val="00477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nseindia.com/investments/sip-gui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ebi.gov.in/sebiweb/home/detail/478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mavathy_mba@avinuty.ac.in2" TargetMode="External"/><Relationship Id="rId11" Type="http://schemas.openxmlformats.org/officeDocument/2006/relationships/hyperlink" Target="https://www.valueresearchonline.com/sip-investments-in-thematic-funds" TargetMode="External"/><Relationship Id="rId5" Type="http://schemas.openxmlformats.org/officeDocument/2006/relationships/hyperlink" Target="mailto:23pbm015@avinuty.ac.in1" TargetMode="External"/><Relationship Id="rId10" Type="http://schemas.openxmlformats.org/officeDocument/2006/relationships/hyperlink" Target="https://www.morningstar.com/articles/thematic-mutual-funds-performance" TargetMode="External"/><Relationship Id="rId4" Type="http://schemas.openxmlformats.org/officeDocument/2006/relationships/webSettings" Target="webSettings.xml"/><Relationship Id="rId9" Type="http://schemas.openxmlformats.org/officeDocument/2006/relationships/hyperlink" Target="https://www.moneycontrol.com/mutual-funds/sip-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3164</Words>
  <Characters>19302</Characters>
  <Application>Microsoft Office Word</Application>
  <DocSecurity>0</DocSecurity>
  <Lines>567</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dharani</dc:creator>
  <cp:keywords/>
  <cp:lastModifiedBy>dharani</cp:lastModifiedBy>
  <cp:revision>3</cp:revision>
  <dcterms:created xsi:type="dcterms:W3CDTF">2025-04-28T07:57:00Z</dcterms:created>
  <dcterms:modified xsi:type="dcterms:W3CDTF">2025-04-30T11:30:00Z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c8240553ef5257001e753f8ea2728f4f331b917a635e291315757580aa1869c3</vt:lpwstr>
  </property>
</Properties>
</file>