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800E" w14:textId="77777777" w:rsidR="002638EB" w:rsidRDefault="002638EB" w:rsidP="009F6540">
      <w:pPr>
        <w:spacing w:before="54" w:after="0" w:line="276" w:lineRule="auto"/>
        <w:jc w:val="center"/>
        <w:rPr>
          <w:rFonts w:ascii="Times New Roman" w:hAnsi="Times New Roman" w:cs="Times New Roman"/>
          <w:b/>
          <w:bCs/>
          <w:color w:val="000000" w:themeColor="text1"/>
          <w:sz w:val="28"/>
          <w:szCs w:val="28"/>
        </w:rPr>
      </w:pPr>
      <w:r w:rsidRPr="002638EB">
        <w:rPr>
          <w:rFonts w:ascii="Times New Roman" w:hAnsi="Times New Roman" w:cs="Times New Roman"/>
          <w:b/>
          <w:bCs/>
          <w:color w:val="000000" w:themeColor="text1"/>
          <w:sz w:val="28"/>
          <w:szCs w:val="28"/>
        </w:rPr>
        <w:t>Impact of Digital Payment Systems on Consumer Behavior: A Comparative Analysis of Urban and Rural Areas in Uzbekistan</w:t>
      </w:r>
    </w:p>
    <w:p w14:paraId="736B6AC8" w14:textId="1ECA2A22" w:rsidR="00DA52F4" w:rsidRPr="001E51F3" w:rsidRDefault="00BA645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O</w:t>
      </w:r>
      <w:r w:rsidR="00290530">
        <w:rPr>
          <w:rFonts w:ascii="Times New Roman" w:hAnsi="Times New Roman" w:cs="Times New Roman"/>
          <w:b/>
          <w:bCs/>
          <w:color w:val="000000" w:themeColor="text1"/>
          <w:sz w:val="24"/>
          <w:szCs w:val="24"/>
        </w:rPr>
        <w:t>zoda</w:t>
      </w:r>
      <w:proofErr w:type="spellEnd"/>
      <w:r w:rsidR="00290530">
        <w:rPr>
          <w:rFonts w:ascii="Times New Roman" w:hAnsi="Times New Roman" w:cs="Times New Roman"/>
          <w:b/>
          <w:bCs/>
          <w:color w:val="000000" w:themeColor="text1"/>
          <w:sz w:val="24"/>
          <w:szCs w:val="24"/>
        </w:rPr>
        <w:t xml:space="preserve"> Tojiqulova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290530">
        <w:rPr>
          <w:rFonts w:ascii="Times New Roman" w:hAnsi="Times New Roman" w:cs="Times New Roman"/>
          <w:b/>
          <w:bCs/>
          <w:color w:val="000000" w:themeColor="text1"/>
          <w:sz w:val="24"/>
          <w:szCs w:val="24"/>
        </w:rPr>
        <w:t>Shukurova</w:t>
      </w:r>
      <w:proofErr w:type="spellEnd"/>
      <w:r w:rsidR="00290530">
        <w:rPr>
          <w:rFonts w:ascii="Times New Roman" w:hAnsi="Times New Roman" w:cs="Times New Roman"/>
          <w:b/>
          <w:bCs/>
          <w:color w:val="000000" w:themeColor="text1"/>
          <w:sz w:val="24"/>
          <w:szCs w:val="24"/>
        </w:rPr>
        <w:t xml:space="preserve"> Gulnoza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00290530">
        <w:rPr>
          <w:rFonts w:ascii="Times New Roman" w:hAnsi="Times New Roman" w:cs="Times New Roman"/>
          <w:b/>
          <w:bCs/>
          <w:color w:val="000000" w:themeColor="text1"/>
          <w:sz w:val="24"/>
          <w:szCs w:val="24"/>
        </w:rPr>
        <w:t>Shoimqulova</w:t>
      </w:r>
      <w:proofErr w:type="spellEnd"/>
      <w:r w:rsidR="00290530">
        <w:rPr>
          <w:rFonts w:ascii="Times New Roman" w:hAnsi="Times New Roman" w:cs="Times New Roman"/>
          <w:b/>
          <w:bCs/>
          <w:color w:val="000000" w:themeColor="text1"/>
          <w:sz w:val="24"/>
          <w:szCs w:val="24"/>
        </w:rPr>
        <w:t xml:space="preserve"> Mahbuba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22B8F3E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90530">
        <w:rPr>
          <w:rFonts w:ascii="Times New Roman" w:hAnsi="Times New Roman" w:cs="Times New Roman"/>
          <w:color w:val="000000" w:themeColor="text1"/>
          <w:vertAlign w:val="superscript"/>
        </w:rPr>
        <w:t xml:space="preserve">,2,3 </w:t>
      </w:r>
      <w:r w:rsidR="00290530">
        <w:rPr>
          <w:rFonts w:ascii="Times New Roman" w:hAnsi="Times New Roman" w:cs="Times New Roman"/>
          <w:color w:val="000000" w:themeColor="text1"/>
        </w:rPr>
        <w:t>Final Year Students,</w:t>
      </w:r>
      <w:r w:rsidRPr="001E51F3">
        <w:rPr>
          <w:rFonts w:ascii="Times New Roman" w:hAnsi="Times New Roman" w:cs="Times New Roman"/>
          <w:color w:val="000000" w:themeColor="text1"/>
        </w:rPr>
        <w:t xml:space="preserve"> </w:t>
      </w:r>
      <w:r w:rsidR="00D57EC4" w:rsidRPr="001E51F3">
        <w:rPr>
          <w:rFonts w:ascii="Times New Roman" w:hAnsi="Times New Roman" w:cs="Times New Roman"/>
          <w:color w:val="000000" w:themeColor="text1"/>
        </w:rPr>
        <w:t>Dep</w:t>
      </w:r>
      <w:r w:rsidR="00D57EC4">
        <w:rPr>
          <w:rFonts w:ascii="Times New Roman" w:hAnsi="Times New Roman" w:cs="Times New Roman"/>
          <w:color w:val="000000" w:themeColor="text1"/>
        </w:rPr>
        <w:t>t. Of</w:t>
      </w:r>
      <w:r w:rsidR="00290530">
        <w:rPr>
          <w:rFonts w:ascii="Times New Roman" w:hAnsi="Times New Roman" w:cs="Times New Roman"/>
          <w:color w:val="000000" w:themeColor="text1"/>
        </w:rPr>
        <w:t xml:space="preserve"> BBA</w:t>
      </w:r>
      <w:r w:rsidRPr="001E51F3">
        <w:rPr>
          <w:rFonts w:ascii="Times New Roman" w:hAnsi="Times New Roman" w:cs="Times New Roman"/>
          <w:color w:val="000000" w:themeColor="text1"/>
        </w:rPr>
        <w:t xml:space="preserve">, </w:t>
      </w:r>
      <w:proofErr w:type="spellStart"/>
      <w:r w:rsidR="00290530">
        <w:rPr>
          <w:rFonts w:ascii="Times New Roman" w:hAnsi="Times New Roman" w:cs="Times New Roman"/>
          <w:color w:val="000000" w:themeColor="text1"/>
        </w:rPr>
        <w:t>Sambhram</w:t>
      </w:r>
      <w:proofErr w:type="spellEnd"/>
      <w:r w:rsidR="00290530">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proofErr w:type="spellStart"/>
      <w:r w:rsidR="00D57EC4">
        <w:rPr>
          <w:rFonts w:ascii="Times New Roman" w:hAnsi="Times New Roman" w:cs="Times New Roman"/>
          <w:color w:val="000000" w:themeColor="text1"/>
        </w:rPr>
        <w:t>Jizzakh</w:t>
      </w:r>
      <w:proofErr w:type="spellEnd"/>
      <w:r w:rsidR="00D57EC4">
        <w:rPr>
          <w:rFonts w:ascii="Times New Roman" w:hAnsi="Times New Roman" w:cs="Times New Roman"/>
          <w:color w:val="000000" w:themeColor="text1"/>
        </w:rPr>
        <w:t xml:space="preserve"> City</w:t>
      </w:r>
      <w:r w:rsidRPr="001E51F3">
        <w:rPr>
          <w:rFonts w:ascii="Times New Roman" w:hAnsi="Times New Roman" w:cs="Times New Roman"/>
          <w:color w:val="000000" w:themeColor="text1"/>
        </w:rPr>
        <w:t xml:space="preserve">, </w:t>
      </w:r>
      <w:proofErr w:type="spellStart"/>
      <w:r w:rsidR="00D57EC4">
        <w:rPr>
          <w:rFonts w:ascii="Times New Roman" w:hAnsi="Times New Roman" w:cs="Times New Roman"/>
          <w:color w:val="000000" w:themeColor="text1"/>
        </w:rPr>
        <w:t>Jizzakh</w:t>
      </w:r>
      <w:proofErr w:type="spellEnd"/>
      <w:r w:rsidR="00D57EC4">
        <w:rPr>
          <w:rFonts w:ascii="Times New Roman" w:hAnsi="Times New Roman" w:cs="Times New Roman"/>
          <w:color w:val="000000" w:themeColor="text1"/>
        </w:rPr>
        <w:t xml:space="preserve"> Region</w:t>
      </w:r>
      <w:r w:rsidRPr="001E51F3">
        <w:rPr>
          <w:rFonts w:ascii="Times New Roman" w:hAnsi="Times New Roman" w:cs="Times New Roman"/>
          <w:color w:val="000000" w:themeColor="text1"/>
        </w:rPr>
        <w:t xml:space="preserve">, </w:t>
      </w:r>
      <w:r w:rsidR="00D57EC4">
        <w:rPr>
          <w:rFonts w:ascii="Times New Roman" w:hAnsi="Times New Roman" w:cs="Times New Roman"/>
          <w:color w:val="000000" w:themeColor="text1"/>
        </w:rPr>
        <w:t>Uzbekistan</w:t>
      </w:r>
      <w:r w:rsidRPr="001E51F3">
        <w:rPr>
          <w:rFonts w:ascii="Times New Roman" w:hAnsi="Times New Roman" w:cs="Times New Roman"/>
          <w:color w:val="000000" w:themeColor="text1"/>
        </w:rPr>
        <w:t xml:space="preserve"> </w:t>
      </w:r>
    </w:p>
    <w:p w14:paraId="262D7931" w14:textId="0CB6B02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3659817" w14:textId="11208C23" w:rsidR="00302BBD" w:rsidRPr="00E63823" w:rsidRDefault="00302BBD" w:rsidP="00302BBD">
      <w:pPr>
        <w:jc w:val="both"/>
        <w:rPr>
          <w:rFonts w:ascii="Times New Roman" w:hAnsi="Times New Roman" w:cs="Times New Roman"/>
        </w:rPr>
      </w:pPr>
      <w:r w:rsidRPr="00E63823">
        <w:rPr>
          <w:rFonts w:ascii="Times New Roman" w:hAnsi="Times New Roman" w:cs="Times New Roman"/>
        </w:rPr>
        <w:t xml:space="preserve">This study explores the influence of digital payment systems on consumer behavior in Uzbekistan, fastening on a relative analysis between communal and pastoral regions. The disquisition employs </w:t>
      </w:r>
      <w:r w:rsidR="007B65C2" w:rsidRPr="00E63823">
        <w:rPr>
          <w:rFonts w:ascii="Times New Roman" w:hAnsi="Times New Roman" w:cs="Times New Roman"/>
        </w:rPr>
        <w:t>an</w:t>
      </w:r>
      <w:r w:rsidRPr="00E63823">
        <w:rPr>
          <w:rFonts w:ascii="Times New Roman" w:hAnsi="Times New Roman" w:cs="Times New Roman"/>
        </w:rPr>
        <w:t xml:space="preserve"> office- disquisition approach, analyzing secondary quantitative data (from the Central Bank of Uzbekistan, CERR, and the State Statistics Committee) alongside qualitative document analysis of policy papers and sedulity reports. It examines operation patterns, handover challenges, and trust factors. Findings indicate a significantly advanced handover rate and integration of digital payments in communal areas, driven by structure and digital knowledge, while pastoral regions display conservative uptake constrained by connectivity gaps and traditional cash- predicated mindsets. The paper concludes by pressing the significance of targeted structure investments, community- adapted knowledge programs, and behaviorally informed impulses to base the communal</w:t>
      </w:r>
      <w:r w:rsidR="006F3A9C">
        <w:rPr>
          <w:rFonts w:ascii="Times New Roman" w:hAnsi="Times New Roman" w:cs="Times New Roman"/>
        </w:rPr>
        <w:t xml:space="preserve"> </w:t>
      </w:r>
      <w:r w:rsidRPr="00E63823">
        <w:rPr>
          <w:rFonts w:ascii="Times New Roman" w:hAnsi="Times New Roman" w:cs="Times New Roman"/>
        </w:rPr>
        <w:t>pastoral digital peak.</w:t>
      </w:r>
    </w:p>
    <w:p w14:paraId="5501AD32" w14:textId="63DBF8E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02BBD" w:rsidRPr="00302BBD">
        <w:rPr>
          <w:rFonts w:ascii="Times New Roman" w:hAnsi="Times New Roman" w:cs="Times New Roman"/>
          <w:color w:val="000000" w:themeColor="text1"/>
          <w:sz w:val="20"/>
          <w:szCs w:val="20"/>
        </w:rPr>
        <w:t>Digital payments</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Consumer behavior</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Uzbekistan</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Urban–rural comparison</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w:t>
      </w:r>
      <w:r w:rsidR="00AE5256" w:rsidRPr="00302BBD">
        <w:rPr>
          <w:rFonts w:ascii="Times New Roman" w:hAnsi="Times New Roman" w:cs="Times New Roman"/>
          <w:color w:val="000000" w:themeColor="text1"/>
          <w:sz w:val="20"/>
          <w:szCs w:val="20"/>
        </w:rPr>
        <w:t>financial</w:t>
      </w:r>
      <w:r w:rsidR="00302BBD" w:rsidRPr="00302BBD">
        <w:rPr>
          <w:rFonts w:ascii="Times New Roman" w:hAnsi="Times New Roman" w:cs="Times New Roman"/>
          <w:color w:val="000000" w:themeColor="text1"/>
          <w:sz w:val="20"/>
          <w:szCs w:val="20"/>
        </w:rPr>
        <w:t xml:space="preserve"> inclusion</w:t>
      </w:r>
    </w:p>
    <w:p w14:paraId="751CC1EB" w14:textId="77777777" w:rsidR="00E65943" w:rsidRPr="00E65943" w:rsidRDefault="00911ACD" w:rsidP="0040325C">
      <w:pPr>
        <w:pStyle w:val="ListParagraph"/>
        <w:numPr>
          <w:ilvl w:val="0"/>
          <w:numId w:val="21"/>
        </w:numPr>
        <w:spacing w:before="54" w:after="0" w:line="276" w:lineRule="auto"/>
        <w:ind w:left="284" w:hanging="284"/>
        <w:jc w:val="both"/>
        <w:rPr>
          <w:rFonts w:ascii="Times New Roman" w:hAnsi="Times New Roman" w:cs="Times New Roman"/>
        </w:rPr>
      </w:pPr>
      <w:r w:rsidRPr="00E65943">
        <w:rPr>
          <w:rFonts w:ascii="Times New Roman" w:hAnsi="Times New Roman" w:cs="Times New Roman"/>
          <w:color w:val="000000" w:themeColor="text1"/>
          <w:sz w:val="20"/>
          <w:szCs w:val="20"/>
        </w:rPr>
        <w:t xml:space="preserve"> </w:t>
      </w:r>
      <w:r w:rsidR="00DA52F4" w:rsidRPr="00E65943">
        <w:rPr>
          <w:rFonts w:ascii="Times New Roman" w:hAnsi="Times New Roman" w:cs="Times New Roman"/>
          <w:b/>
          <w:bCs/>
          <w:color w:val="000000" w:themeColor="text1"/>
          <w:sz w:val="24"/>
          <w:szCs w:val="24"/>
        </w:rPr>
        <w:t>INTRODUCTION</w:t>
      </w:r>
      <w:r w:rsidR="009F6540" w:rsidRPr="00E65943">
        <w:rPr>
          <w:rFonts w:ascii="Times New Roman" w:hAnsi="Times New Roman" w:cs="Times New Roman"/>
          <w:b/>
          <w:bCs/>
          <w:color w:val="000000" w:themeColor="text1"/>
          <w:sz w:val="24"/>
          <w:szCs w:val="24"/>
        </w:rPr>
        <w:t xml:space="preserve"> </w:t>
      </w:r>
    </w:p>
    <w:p w14:paraId="1ABA4A37" w14:textId="2E7E9370" w:rsidR="00C02C01" w:rsidRDefault="00C02C01" w:rsidP="00C02C01">
      <w:pPr>
        <w:spacing w:before="54" w:after="0" w:line="276" w:lineRule="auto"/>
        <w:jc w:val="both"/>
        <w:rPr>
          <w:rFonts w:ascii="Times New Roman" w:hAnsi="Times New Roman" w:cs="Times New Roman"/>
        </w:rPr>
      </w:pPr>
      <w:r w:rsidRPr="00C02C01">
        <w:rPr>
          <w:rFonts w:ascii="Times New Roman" w:hAnsi="Times New Roman" w:cs="Times New Roman"/>
        </w:rPr>
        <w:t xml:space="preserve">In recent years, Uzbekistan has witnessed a rapid digital transformation, particularly in its financial services sector. The introduction and expansion of digital payment systems such as </w:t>
      </w:r>
      <w:proofErr w:type="spellStart"/>
      <w:r w:rsidRPr="00C02C01">
        <w:rPr>
          <w:rFonts w:ascii="Times New Roman" w:hAnsi="Times New Roman" w:cs="Times New Roman"/>
        </w:rPr>
        <w:t>Payme</w:t>
      </w:r>
      <w:proofErr w:type="spellEnd"/>
      <w:r w:rsidRPr="00C02C01">
        <w:rPr>
          <w:rFonts w:ascii="Times New Roman" w:hAnsi="Times New Roman" w:cs="Times New Roman"/>
        </w:rPr>
        <w:t xml:space="preserve">, Click, </w:t>
      </w:r>
      <w:proofErr w:type="spellStart"/>
      <w:r w:rsidRPr="00C02C01">
        <w:rPr>
          <w:rFonts w:ascii="Times New Roman" w:hAnsi="Times New Roman" w:cs="Times New Roman"/>
        </w:rPr>
        <w:t>Apelsin</w:t>
      </w:r>
      <w:proofErr w:type="spellEnd"/>
      <w:r w:rsidRPr="00C02C01">
        <w:rPr>
          <w:rFonts w:ascii="Times New Roman" w:hAnsi="Times New Roman" w:cs="Times New Roman"/>
        </w:rPr>
        <w:t xml:space="preserve">, HUMO, and </w:t>
      </w:r>
      <w:proofErr w:type="spellStart"/>
      <w:r w:rsidRPr="00C02C01">
        <w:rPr>
          <w:rFonts w:ascii="Times New Roman" w:hAnsi="Times New Roman" w:cs="Times New Roman"/>
        </w:rPr>
        <w:t>UzCard</w:t>
      </w:r>
      <w:proofErr w:type="spellEnd"/>
      <w:r w:rsidRPr="00C02C01">
        <w:rPr>
          <w:rFonts w:ascii="Times New Roman" w:hAnsi="Times New Roman" w:cs="Times New Roman"/>
        </w:rPr>
        <w:t xml:space="preserve"> have revolutionized how consumers perform daily transactions, shop, and manage finances. These systems are not only enhancing convenience but also reshaping consumer </w:t>
      </w:r>
      <w:r w:rsidR="006F3A9C" w:rsidRPr="00C02C01">
        <w:rPr>
          <w:rFonts w:ascii="Times New Roman" w:hAnsi="Times New Roman" w:cs="Times New Roman"/>
        </w:rPr>
        <w:t>behavior</w:t>
      </w:r>
      <w:r w:rsidRPr="00C02C01">
        <w:rPr>
          <w:rFonts w:ascii="Times New Roman" w:hAnsi="Times New Roman" w:cs="Times New Roman"/>
        </w:rPr>
        <w:t xml:space="preserve"> across different regions of the country.</w:t>
      </w:r>
      <w:r w:rsidRPr="00C02C01">
        <w:t xml:space="preserve"> </w:t>
      </w:r>
      <w:r w:rsidRPr="00C02C01">
        <w:rPr>
          <w:rFonts w:ascii="Times New Roman" w:hAnsi="Times New Roman" w:cs="Times New Roman"/>
        </w:rPr>
        <w:t xml:space="preserve">Despite nationwide digitalization efforts, there remains a stark contrast between urban and rural adoption of digital payment systems. While urban residents increasingly rely on cashless transactions for goods, services, and utilities, rural populations often remain </w:t>
      </w:r>
      <w:r w:rsidR="006F3A9C" w:rsidRPr="00C02C01">
        <w:rPr>
          <w:rFonts w:ascii="Times New Roman" w:hAnsi="Times New Roman" w:cs="Times New Roman"/>
        </w:rPr>
        <w:t>skeptical</w:t>
      </w:r>
      <w:r w:rsidRPr="00C02C01">
        <w:rPr>
          <w:rFonts w:ascii="Times New Roman" w:hAnsi="Times New Roman" w:cs="Times New Roman"/>
        </w:rPr>
        <w:t xml:space="preserve"> or excluded due to infrastructural limitations, low digital literacy, or cultural preferences for cash.</w:t>
      </w:r>
      <w:r w:rsidRPr="00C02C01">
        <w:t xml:space="preserve"> </w:t>
      </w:r>
      <w:r w:rsidRPr="00C02C01">
        <w:rPr>
          <w:rFonts w:ascii="Times New Roman" w:hAnsi="Times New Roman" w:cs="Times New Roman"/>
        </w:rPr>
        <w:t xml:space="preserve">This article aims to </w:t>
      </w:r>
      <w:r w:rsidR="006F3A9C" w:rsidRPr="00C02C01">
        <w:rPr>
          <w:rFonts w:ascii="Times New Roman" w:hAnsi="Times New Roman" w:cs="Times New Roman"/>
        </w:rPr>
        <w:t>analyses</w:t>
      </w:r>
      <w:r w:rsidRPr="00C02C01">
        <w:rPr>
          <w:rFonts w:ascii="Times New Roman" w:hAnsi="Times New Roman" w:cs="Times New Roman"/>
        </w:rPr>
        <w:t xml:space="preserve"> how digital payment systems impact consumer </w:t>
      </w:r>
      <w:r w:rsidR="006F3A9C" w:rsidRPr="00C02C01">
        <w:rPr>
          <w:rFonts w:ascii="Times New Roman" w:hAnsi="Times New Roman" w:cs="Times New Roman"/>
        </w:rPr>
        <w:t>behavior</w:t>
      </w:r>
      <w:r w:rsidRPr="00C02C01">
        <w:rPr>
          <w:rFonts w:ascii="Times New Roman" w:hAnsi="Times New Roman" w:cs="Times New Roman"/>
        </w:rPr>
        <w:t xml:space="preserve"> in Uzbekistan, with a particular focus on the comparative dynamics between urban and rural areas. It investigates </w:t>
      </w:r>
      <w:r w:rsidR="006F3A9C" w:rsidRPr="00C02C01">
        <w:rPr>
          <w:rFonts w:ascii="Times New Roman" w:hAnsi="Times New Roman" w:cs="Times New Roman"/>
        </w:rPr>
        <w:t>behavioral</w:t>
      </w:r>
      <w:r w:rsidRPr="00C02C01">
        <w:rPr>
          <w:rFonts w:ascii="Times New Roman" w:hAnsi="Times New Roman" w:cs="Times New Roman"/>
        </w:rPr>
        <w:t xml:space="preserve"> changes, adoption patterns, trust issues, and socio-economic factors influencing digital payment usage.</w:t>
      </w:r>
      <w:r w:rsidR="006F3A9C" w:rsidRPr="006F3A9C">
        <w:t xml:space="preserve"> </w:t>
      </w:r>
      <w:r w:rsidR="006F3A9C" w:rsidRPr="006F3A9C">
        <w:rPr>
          <w:rFonts w:ascii="Times New Roman" w:hAnsi="Times New Roman" w:cs="Times New Roman"/>
        </w:rPr>
        <w:t>Government support, regulatory reforms, and increased mobile and internet penetration have collectively fostered a favorable environment for the growth of fintech in Uzbekistan. However, despite these advancements, disparities persist in the adoption and usage of digital payment systems between urban and rural populations. Urban residents, who typically benefit from better infrastructure, higher digital literacy, and greater exposure to technology, are more likely to embrace cashless transactions in their daily lives. Conversely, rural communities often face significant barriers, including limited internet access, lack of trust in digital platforms, lower smartphone usage, and deep-rooted preferences for physical cash. These divides not only affect the pace of digital financial inclusion but also raise critical questions about equitable access to emerging financial technologies.</w:t>
      </w:r>
      <w:r w:rsidR="006F3A9C" w:rsidRPr="006F3A9C">
        <w:t xml:space="preserve"> </w:t>
      </w:r>
      <w:r w:rsidR="006F3A9C" w:rsidRPr="006F3A9C">
        <w:rPr>
          <w:rFonts w:ascii="Times New Roman" w:hAnsi="Times New Roman" w:cs="Times New Roman"/>
        </w:rPr>
        <w:t>Existing studies on digital payments tend to focus broadly on financial inclusion, user satisfaction, or the technical efficiency of payment platforms. However, there is a relative scarcity of research that examines the nuanced behavioral differences between urban and rural consumers within the Uzbek context. Factors such as trust, perceived risk, ease of use, socio-cultural influences, and economic incentives all play varying roles in shaping consumer attitudes toward digital payment systems depending on geographic and demographic characteristics.</w:t>
      </w:r>
      <w:r w:rsidR="006F3A9C" w:rsidRPr="006F3A9C">
        <w:t xml:space="preserve"> </w:t>
      </w:r>
      <w:r w:rsidR="006F3A9C" w:rsidRPr="006F3A9C">
        <w:rPr>
          <w:rFonts w:ascii="Times New Roman" w:hAnsi="Times New Roman" w:cs="Times New Roman"/>
        </w:rPr>
        <w:t>This article seeks to address this research gap by analyzing the impact of digital payment systems on consumer behavior in Uzbekistan, with a particular emphasis on comparing urban and rural settings. The study explores key dimensions including behavioral shifts, adoption patterns, trust factors, and socio-economic drivers of digital payment usage. Through this comparative lens, the research aims to contribute valuable insights to policymakers, financial institutions, and technology developers striving to foster a more inclusive digital economy.</w:t>
      </w:r>
    </w:p>
    <w:p w14:paraId="78109D4B" w14:textId="77777777" w:rsidR="006F3A9C" w:rsidRDefault="006F3A9C" w:rsidP="00C02C01">
      <w:pPr>
        <w:spacing w:before="54" w:after="0" w:line="276" w:lineRule="auto"/>
        <w:jc w:val="both"/>
        <w:rPr>
          <w:rFonts w:ascii="Times New Roman" w:hAnsi="Times New Roman" w:cs="Times New Roman"/>
        </w:rPr>
      </w:pPr>
    </w:p>
    <w:p w14:paraId="39054EE8" w14:textId="77777777" w:rsidR="006F3A9C" w:rsidRPr="006F3A9C" w:rsidRDefault="006F3A9C" w:rsidP="00C02C01">
      <w:pPr>
        <w:spacing w:before="54" w:after="0" w:line="276" w:lineRule="auto"/>
        <w:jc w:val="both"/>
      </w:pPr>
    </w:p>
    <w:p w14:paraId="7A033264" w14:textId="0D91501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1FCEF084" w14:textId="77777777" w:rsidR="00946D97" w:rsidRDefault="00946D97" w:rsidP="009F6540">
      <w:p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This study adopts a comparative, qualitative-quantitative desk-research approach aimed at examining differences in consumer behavior toward digital payment systems in urban and rural areas of Uzbekistan. By leveraging existing secondary data sources, the research evaluates patterns, trends, and contextual variables that influence digital payment adoption. The study combines descriptive statistical analysis with document-based qualitative insights to create a multidimensional understanding of behavioral differences.</w:t>
      </w:r>
    </w:p>
    <w:p w14:paraId="0A8B9337" w14:textId="295BF57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46D97" w:rsidRPr="00946D97">
        <w:rPr>
          <w:rFonts w:ascii="Times New Roman" w:hAnsi="Times New Roman" w:cs="Times New Roman"/>
          <w:b/>
          <w:bCs/>
          <w:color w:val="000000" w:themeColor="text1"/>
          <w:sz w:val="20"/>
          <w:szCs w:val="20"/>
        </w:rPr>
        <w:t>Data Collection and Sources</w:t>
      </w:r>
    </w:p>
    <w:p w14:paraId="39855495" w14:textId="77777777" w:rsidR="00946D97" w:rsidRDefault="00946D97"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Central Bank of Uzbekistan (CBU): Regional digital transaction data, banking infrastructure statistics, and annual fintech reports (2017–2024).</w:t>
      </w:r>
    </w:p>
    <w:p w14:paraId="1A5D36FB" w14:textId="0512F2EF" w:rsidR="00946D97" w:rsidRDefault="00946D97"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Centre for Economic Research and Reforms (CERR): Reports on financial inclusion, mobile money usage, and adoption barriers.</w:t>
      </w:r>
    </w:p>
    <w:p w14:paraId="35C9E921" w14:textId="77777777" w:rsidR="00946D97" w:rsidRDefault="00946D97"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State Statistics Committee of Uzbekistan: Data on internet penetration, mobile device usage, income distribution, and population demographics segmented by urban and rural regions.</w:t>
      </w:r>
    </w:p>
    <w:p w14:paraId="27B86A94" w14:textId="49201BA0" w:rsidR="00946D97" w:rsidRDefault="00946D97" w:rsidP="00946D97">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Policy Documents: National strategies and regulatory frameworks such as the "Digital Uzbekistan 2030" roadmap and fintech white papers</w:t>
      </w:r>
      <w:r>
        <w:rPr>
          <w:rFonts w:ascii="Times New Roman" w:hAnsi="Times New Roman" w:cs="Times New Roman"/>
          <w:color w:val="000000" w:themeColor="text1"/>
          <w:sz w:val="20"/>
          <w:szCs w:val="20"/>
        </w:rPr>
        <w:t>.</w:t>
      </w:r>
    </w:p>
    <w:p w14:paraId="33590046" w14:textId="74650F3C" w:rsidR="00946D97" w:rsidRPr="00946D97" w:rsidRDefault="00946D97" w:rsidP="00946D97">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946D97">
        <w:rPr>
          <w:rFonts w:ascii="Times New Roman" w:hAnsi="Times New Roman" w:cs="Times New Roman"/>
          <w:color w:val="000000" w:themeColor="text1"/>
          <w:sz w:val="20"/>
          <w:szCs w:val="20"/>
        </w:rPr>
        <w:t xml:space="preserve">Industry Reports: Insights from payment providers (e.g., Click, </w:t>
      </w:r>
      <w:proofErr w:type="spellStart"/>
      <w:r w:rsidRPr="00946D97">
        <w:rPr>
          <w:rFonts w:ascii="Times New Roman" w:hAnsi="Times New Roman" w:cs="Times New Roman"/>
          <w:color w:val="000000" w:themeColor="text1"/>
          <w:sz w:val="20"/>
          <w:szCs w:val="20"/>
        </w:rPr>
        <w:t>Payme</w:t>
      </w:r>
      <w:proofErr w:type="spellEnd"/>
      <w:r w:rsidRPr="00946D97">
        <w:rPr>
          <w:rFonts w:ascii="Times New Roman" w:hAnsi="Times New Roman" w:cs="Times New Roman"/>
          <w:color w:val="000000" w:themeColor="text1"/>
          <w:sz w:val="20"/>
          <w:szCs w:val="20"/>
        </w:rPr>
        <w:t>, Visa) and global organizations (e.g., GSMA, World Bank)</w:t>
      </w:r>
      <w:r w:rsidR="00B134C1">
        <w:rPr>
          <w:rFonts w:ascii="Times New Roman" w:hAnsi="Times New Roman" w:cs="Times New Roman"/>
          <w:color w:val="000000" w:themeColor="text1"/>
          <w:sz w:val="20"/>
          <w:szCs w:val="20"/>
        </w:rPr>
        <w:t>.</w:t>
      </w:r>
    </w:p>
    <w:p w14:paraId="70CA5E73" w14:textId="075D8F3A" w:rsidR="007E48CF" w:rsidRPr="007E48CF" w:rsidRDefault="00302BBD" w:rsidP="007E48C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E48CF">
        <w:rPr>
          <w:rFonts w:ascii="Times New Roman" w:hAnsi="Times New Roman" w:cs="Times New Roman"/>
          <w:b/>
          <w:bCs/>
          <w:color w:val="000000" w:themeColor="text1"/>
          <w:sz w:val="20"/>
          <w:szCs w:val="20"/>
        </w:rPr>
        <w:t>Analysis</w:t>
      </w:r>
    </w:p>
    <w:p w14:paraId="7A1B2754" w14:textId="6C851ADE" w:rsidR="007E48CF" w:rsidRPr="007E48CF" w:rsidRDefault="007E48CF" w:rsidP="007E48CF">
      <w:pPr>
        <w:spacing w:before="54" w:after="0" w:line="276" w:lineRule="auto"/>
        <w:rPr>
          <w:rFonts w:ascii="Times New Roman" w:hAnsi="Times New Roman" w:cs="Times New Roman"/>
          <w:color w:val="000000" w:themeColor="text1"/>
          <w:sz w:val="20"/>
          <w:szCs w:val="20"/>
        </w:rPr>
      </w:pPr>
      <w:r w:rsidRPr="007E48CF">
        <w:rPr>
          <w:rFonts w:ascii="Times New Roman" w:hAnsi="Times New Roman" w:cs="Times New Roman"/>
          <w:color w:val="000000" w:themeColor="text1"/>
          <w:sz w:val="20"/>
          <w:szCs w:val="20"/>
        </w:rPr>
        <w:t>The study applies a comparative regional analysis framework to evaluate disparities between urban and rural consumer behavior. The analysis includes:</w:t>
      </w:r>
    </w:p>
    <w:p w14:paraId="795C3FCC" w14:textId="515D0F27" w:rsidR="007E48CF" w:rsidRDefault="007E48CF"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7E48CF">
        <w:rPr>
          <w:rFonts w:ascii="Times New Roman" w:hAnsi="Times New Roman" w:cs="Times New Roman"/>
          <w:color w:val="000000" w:themeColor="text1"/>
          <w:sz w:val="20"/>
          <w:szCs w:val="20"/>
        </w:rPr>
        <w:t>Descriptive Statistics: Used to assess key indicators such as account ownership, digital app usage, card penetration, and transaction volumes.</w:t>
      </w:r>
    </w:p>
    <w:p w14:paraId="53A8EADE" w14:textId="77777777" w:rsidR="007E48CF" w:rsidRDefault="007E48CF"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7E48CF">
        <w:rPr>
          <w:rFonts w:ascii="Times New Roman" w:hAnsi="Times New Roman" w:cs="Times New Roman"/>
          <w:color w:val="000000" w:themeColor="text1"/>
          <w:sz w:val="20"/>
          <w:szCs w:val="20"/>
        </w:rPr>
        <w:t>Trend Analysis: Year-over-year digital payment adoption rates from 2017 to 2024 are charted to identify growth patterns.</w:t>
      </w:r>
    </w:p>
    <w:p w14:paraId="3B992A4B" w14:textId="31E310A9" w:rsidR="007E48CF" w:rsidRDefault="007E48CF"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7E48CF">
        <w:rPr>
          <w:rFonts w:ascii="Times New Roman" w:hAnsi="Times New Roman" w:cs="Times New Roman"/>
          <w:color w:val="000000" w:themeColor="text1"/>
          <w:sz w:val="20"/>
          <w:szCs w:val="20"/>
        </w:rPr>
        <w:t>Correlation Analysis: Simple correlation techniques are applied to examine the relationship between digital payment usage and enabling factors such as internet coverage and average income levels.</w:t>
      </w:r>
    </w:p>
    <w:p w14:paraId="6199EE61" w14:textId="3F08D841" w:rsidR="007E48CF" w:rsidRPr="00302BBD" w:rsidRDefault="007E48CF"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7E48CF">
        <w:rPr>
          <w:rFonts w:ascii="Times New Roman" w:hAnsi="Times New Roman" w:cs="Times New Roman"/>
          <w:color w:val="000000" w:themeColor="text1"/>
          <w:sz w:val="20"/>
          <w:szCs w:val="20"/>
        </w:rPr>
        <w:t>Thematic Document Analysis: Qualitative insights from policy documents and reports are analyzed to identify recurring themes such as trust, ease-of-use, and digital literacy barriers.</w:t>
      </w:r>
    </w:p>
    <w:p w14:paraId="52757F22" w14:textId="4F1A3001" w:rsidR="00DA52F4" w:rsidRPr="00302BBD" w:rsidRDefault="006A6434" w:rsidP="00302BBD">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302BBD">
        <w:rPr>
          <w:rFonts w:ascii="Times New Roman" w:hAnsi="Times New Roman" w:cs="Times New Roman"/>
          <w:b/>
          <w:bCs/>
          <w:color w:val="000000" w:themeColor="text1"/>
          <w:sz w:val="24"/>
          <w:szCs w:val="24"/>
        </w:rPr>
        <w:t>MODELING</w:t>
      </w:r>
      <w:r w:rsidR="00DA52F4" w:rsidRPr="00302BBD">
        <w:rPr>
          <w:rFonts w:ascii="Times New Roman" w:hAnsi="Times New Roman" w:cs="Times New Roman"/>
          <w:b/>
          <w:bCs/>
          <w:color w:val="000000" w:themeColor="text1"/>
          <w:sz w:val="24"/>
          <w:szCs w:val="24"/>
        </w:rPr>
        <w:t xml:space="preserve"> AND ANALYSIS</w:t>
      </w:r>
    </w:p>
    <w:p w14:paraId="6F3AC0EB" w14:textId="23E52E7E"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 xml:space="preserve">National Digital-Payment Growth (2017–2024): Interbank-system volume reached 7.279 trillion </w:t>
      </w:r>
      <w:proofErr w:type="spellStart"/>
      <w:r w:rsidRPr="00F82755">
        <w:rPr>
          <w:rFonts w:ascii="Times New Roman" w:hAnsi="Times New Roman" w:cs="Times New Roman"/>
          <w:color w:val="000000" w:themeColor="text1"/>
          <w:sz w:val="20"/>
          <w:szCs w:val="20"/>
        </w:rPr>
        <w:t>soum</w:t>
      </w:r>
      <w:proofErr w:type="spellEnd"/>
      <w:r w:rsidRPr="00F82755">
        <w:rPr>
          <w:rFonts w:ascii="Times New Roman" w:hAnsi="Times New Roman" w:cs="Times New Roman"/>
          <w:color w:val="000000" w:themeColor="text1"/>
          <w:sz w:val="20"/>
          <w:szCs w:val="20"/>
        </w:rPr>
        <w:t xml:space="preserve">; 47.6 million instant payments; 441.7 billion </w:t>
      </w:r>
      <w:proofErr w:type="spellStart"/>
      <w:r w:rsidRPr="00F82755">
        <w:rPr>
          <w:rFonts w:ascii="Times New Roman" w:hAnsi="Times New Roman" w:cs="Times New Roman"/>
          <w:color w:val="000000" w:themeColor="text1"/>
          <w:sz w:val="20"/>
          <w:szCs w:val="20"/>
        </w:rPr>
        <w:t>som</w:t>
      </w:r>
      <w:proofErr w:type="spellEnd"/>
      <w:r w:rsidRPr="00F82755">
        <w:rPr>
          <w:rFonts w:ascii="Times New Roman" w:hAnsi="Times New Roman" w:cs="Times New Roman"/>
          <w:color w:val="000000" w:themeColor="text1"/>
          <w:sz w:val="20"/>
          <w:szCs w:val="20"/>
        </w:rPr>
        <w:t xml:space="preserve"> via QR codes. Payment infrastructure (Jan 2023): 34 million cards, 434,000 POS terminals, 20,000 ATMs.</w:t>
      </w:r>
    </w:p>
    <w:p w14:paraId="13D7CC05" w14:textId="7DBB3626"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Urban Findings: 43% account ownership; 38% card ownership; 29% app usage. Urban usage includes e-commerce, utilities, transport, and peer-to-peer transfers, enabled by high internet and smartphone penetration</w:t>
      </w:r>
    </w:p>
    <w:p w14:paraId="2F327382" w14:textId="77777777"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 Rural Findings: 27% account ownership; 23% card ownership; 16% app usage. Primary uses: remittances and bill top-ups, constrained by connectivity gaps and low digital literacy.</w:t>
      </w:r>
    </w:p>
    <w:p w14:paraId="618C8041" w14:textId="397D15AE" w:rsidR="00DA52F4"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Urban–Rural Gaps: Account ownership (43% vs. 27%, gap 16 pp); card ownership (38% vs. 23%, gap 15 pp); app usage (29% vs. 16%, gap 13 pp).</w:t>
      </w:r>
      <w:r w:rsidR="006A6434" w:rsidRPr="00F82755">
        <w:rPr>
          <w:rFonts w:ascii="Times New Roman" w:hAnsi="Times New Roman" w:cs="Times New Roman"/>
          <w:color w:val="000000" w:themeColor="text1"/>
          <w:sz w:val="20"/>
          <w:szCs w:val="20"/>
        </w:rPr>
        <w:t xml:space="preserve"> </w:t>
      </w:r>
    </w:p>
    <w:p w14:paraId="2752D350" w14:textId="77777777" w:rsidR="00F418A2" w:rsidRDefault="00F418A2" w:rsidP="00F418A2">
      <w:pPr>
        <w:spacing w:before="54" w:after="0" w:line="276" w:lineRule="auto"/>
        <w:jc w:val="both"/>
        <w:rPr>
          <w:rFonts w:ascii="Times New Roman" w:hAnsi="Times New Roman" w:cs="Times New Roman"/>
          <w:color w:val="000000" w:themeColor="text1"/>
          <w:sz w:val="20"/>
          <w:szCs w:val="20"/>
        </w:rPr>
      </w:pPr>
    </w:p>
    <w:p w14:paraId="3C7BF6A9" w14:textId="77777777" w:rsidR="00F418A2" w:rsidRPr="00F418A2" w:rsidRDefault="00F418A2" w:rsidP="00F418A2">
      <w:pPr>
        <w:spacing w:before="54" w:after="0" w:line="276" w:lineRule="auto"/>
        <w:jc w:val="both"/>
        <w:rPr>
          <w:rFonts w:ascii="Times New Roman" w:hAnsi="Times New Roman" w:cs="Times New Roman"/>
          <w:color w:val="000000" w:themeColor="text1"/>
          <w:sz w:val="20"/>
          <w:szCs w:val="20"/>
        </w:rPr>
      </w:pPr>
    </w:p>
    <w:p w14:paraId="66211B0C" w14:textId="297CE2B9" w:rsidR="00DA52F4" w:rsidRPr="00295372" w:rsidRDefault="00295372" w:rsidP="00295372">
      <w:pPr>
        <w:spacing w:before="54" w:after="0" w:line="276" w:lineRule="auto"/>
        <w:jc w:val="center"/>
        <w:rPr>
          <w:color w:val="000000" w:themeColor="text1"/>
          <w:sz w:val="20"/>
          <w:szCs w:val="20"/>
          <w:lang w:val="en-IN"/>
        </w:rPr>
      </w:pPr>
      <w:r w:rsidRPr="00295372">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Pr="00295372">
        <w:rPr>
          <w:color w:val="000000" w:themeColor="text1"/>
          <w:sz w:val="20"/>
          <w:szCs w:val="20"/>
          <w:lang w:val="en-IN"/>
        </w:rPr>
        <w:t>Urban–Rural Digital-Payment Adoption Gaps</w:t>
      </w:r>
    </w:p>
    <w:tbl>
      <w:tblPr>
        <w:tblStyle w:val="TableGrid"/>
        <w:tblW w:w="0" w:type="auto"/>
        <w:tblLook w:val="04A0" w:firstRow="1" w:lastRow="0" w:firstColumn="1" w:lastColumn="0" w:noHBand="0" w:noVBand="1"/>
      </w:tblPr>
      <w:tblGrid>
        <w:gridCol w:w="2577"/>
        <w:gridCol w:w="2577"/>
        <w:gridCol w:w="2577"/>
        <w:gridCol w:w="2578"/>
      </w:tblGrid>
      <w:tr w:rsidR="00F82755" w14:paraId="055ED877" w14:textId="77777777" w:rsidTr="00F82755">
        <w:tc>
          <w:tcPr>
            <w:tcW w:w="2577" w:type="dxa"/>
          </w:tcPr>
          <w:p w14:paraId="4441661F" w14:textId="6C82320D"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Indicator</w:t>
            </w:r>
          </w:p>
        </w:tc>
        <w:tc>
          <w:tcPr>
            <w:tcW w:w="2577" w:type="dxa"/>
          </w:tcPr>
          <w:p w14:paraId="1BF7914D" w14:textId="468C4C42"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Urban (%)</w:t>
            </w:r>
          </w:p>
        </w:tc>
        <w:tc>
          <w:tcPr>
            <w:tcW w:w="2577" w:type="dxa"/>
          </w:tcPr>
          <w:p w14:paraId="038DE8E1" w14:textId="31B9119B"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Rural (%)</w:t>
            </w:r>
          </w:p>
        </w:tc>
        <w:tc>
          <w:tcPr>
            <w:tcW w:w="2578" w:type="dxa"/>
          </w:tcPr>
          <w:p w14:paraId="762BB229" w14:textId="5DA3FFDF"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Gap(pp)</w:t>
            </w:r>
          </w:p>
        </w:tc>
      </w:tr>
      <w:tr w:rsidR="00F82755" w14:paraId="6C24B674" w14:textId="77777777" w:rsidTr="00F82755">
        <w:tc>
          <w:tcPr>
            <w:tcW w:w="2577" w:type="dxa"/>
          </w:tcPr>
          <w:p w14:paraId="22A31397" w14:textId="0FAAC050" w:rsidR="00F82755" w:rsidRPr="00F82755" w:rsidRDefault="00F82755" w:rsidP="00F82755">
            <w:r>
              <w:t>Formal account ownership</w:t>
            </w:r>
          </w:p>
        </w:tc>
        <w:tc>
          <w:tcPr>
            <w:tcW w:w="2577" w:type="dxa"/>
          </w:tcPr>
          <w:p w14:paraId="653350D5" w14:textId="3D187EBA"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43</w:t>
            </w:r>
          </w:p>
        </w:tc>
        <w:tc>
          <w:tcPr>
            <w:tcW w:w="2577" w:type="dxa"/>
          </w:tcPr>
          <w:p w14:paraId="7CB0F86E" w14:textId="0DB05880"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2578" w:type="dxa"/>
          </w:tcPr>
          <w:p w14:paraId="2C379A3C" w14:textId="6AB15F61"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16</w:t>
            </w:r>
          </w:p>
        </w:tc>
      </w:tr>
      <w:tr w:rsidR="00F82755" w14:paraId="0F9E0D44" w14:textId="77777777" w:rsidTr="00F82755">
        <w:tc>
          <w:tcPr>
            <w:tcW w:w="2577" w:type="dxa"/>
          </w:tcPr>
          <w:p w14:paraId="577864FE" w14:textId="0B36039C" w:rsidR="00F82755" w:rsidRPr="00F82755" w:rsidRDefault="00F82755" w:rsidP="00F82755">
            <w:r>
              <w:t>Payment-card ownership</w:t>
            </w:r>
          </w:p>
        </w:tc>
        <w:tc>
          <w:tcPr>
            <w:tcW w:w="2577" w:type="dxa"/>
          </w:tcPr>
          <w:p w14:paraId="40C750FF" w14:textId="12E3D93A"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2577" w:type="dxa"/>
          </w:tcPr>
          <w:p w14:paraId="397B0F9E" w14:textId="492162EC"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2578" w:type="dxa"/>
          </w:tcPr>
          <w:p w14:paraId="4112F717" w14:textId="1EDED625"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F82755" w14:paraId="5E488D41" w14:textId="77777777" w:rsidTr="00F82755">
        <w:tc>
          <w:tcPr>
            <w:tcW w:w="2577" w:type="dxa"/>
          </w:tcPr>
          <w:p w14:paraId="3D6FB05C" w14:textId="3EAE4DDE" w:rsidR="00F82755" w:rsidRPr="00F82755" w:rsidRDefault="00F82755" w:rsidP="00F82755">
            <w:r>
              <w:t>Mobile-app usage</w:t>
            </w:r>
          </w:p>
        </w:tc>
        <w:tc>
          <w:tcPr>
            <w:tcW w:w="2577" w:type="dxa"/>
          </w:tcPr>
          <w:p w14:paraId="00CD9E48" w14:textId="11B14358"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2577" w:type="dxa"/>
          </w:tcPr>
          <w:p w14:paraId="6B3DD000" w14:textId="5540A4F7"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2578" w:type="dxa"/>
          </w:tcPr>
          <w:p w14:paraId="3D617169" w14:textId="14E6A7C8"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13</w:t>
            </w:r>
          </w:p>
        </w:tc>
      </w:tr>
    </w:tbl>
    <w:p w14:paraId="78E51081" w14:textId="77777777" w:rsidR="006A6434" w:rsidRDefault="006A6434" w:rsidP="00F82755">
      <w:pPr>
        <w:spacing w:before="54" w:after="0" w:line="276" w:lineRule="auto"/>
        <w:rPr>
          <w:rFonts w:ascii="Times New Roman" w:hAnsi="Times New Roman" w:cs="Times New Roman"/>
          <w:color w:val="000000" w:themeColor="text1"/>
          <w:sz w:val="20"/>
          <w:szCs w:val="20"/>
        </w:rPr>
      </w:pPr>
    </w:p>
    <w:p w14:paraId="794A5D9E" w14:textId="77777777" w:rsidR="007E48CF" w:rsidRDefault="007E48CF" w:rsidP="00F82755">
      <w:pPr>
        <w:spacing w:before="54" w:after="0" w:line="276" w:lineRule="auto"/>
        <w:rPr>
          <w:rFonts w:ascii="Times New Roman" w:hAnsi="Times New Roman" w:cs="Times New Roman"/>
          <w:color w:val="000000" w:themeColor="text1"/>
          <w:sz w:val="20"/>
          <w:szCs w:val="20"/>
        </w:rPr>
      </w:pPr>
    </w:p>
    <w:p w14:paraId="6B11A7A4" w14:textId="77777777" w:rsidR="007E48CF" w:rsidRDefault="007E48CF" w:rsidP="00F82755">
      <w:pPr>
        <w:spacing w:before="54" w:after="0" w:line="276" w:lineRule="auto"/>
        <w:rPr>
          <w:rFonts w:ascii="Times New Roman" w:hAnsi="Times New Roman" w:cs="Times New Roman"/>
          <w:color w:val="000000" w:themeColor="text1"/>
          <w:sz w:val="20"/>
          <w:szCs w:val="20"/>
        </w:rPr>
      </w:pPr>
    </w:p>
    <w:p w14:paraId="3DFB2E21" w14:textId="77777777" w:rsidR="007E48CF" w:rsidRDefault="007E48CF" w:rsidP="00F82755">
      <w:pPr>
        <w:spacing w:before="54" w:after="0" w:line="276" w:lineRule="auto"/>
        <w:rPr>
          <w:rFonts w:ascii="Times New Roman" w:hAnsi="Times New Roman" w:cs="Times New Roman"/>
          <w:color w:val="000000" w:themeColor="text1"/>
          <w:sz w:val="20"/>
          <w:szCs w:val="20"/>
        </w:rPr>
      </w:pPr>
    </w:p>
    <w:p w14:paraId="2FD06593" w14:textId="77777777" w:rsidR="007E48CF" w:rsidRPr="001E51F3" w:rsidRDefault="007E48CF" w:rsidP="00F82755">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078DD33C" w14:textId="6210B376" w:rsidR="00295372" w:rsidRPr="00295372" w:rsidRDefault="00295372" w:rsidP="0029537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295372">
        <w:rPr>
          <w:rFonts w:ascii="Times New Roman" w:hAnsi="Times New Roman" w:cs="Times New Roman"/>
          <w:color w:val="000000" w:themeColor="text1"/>
          <w:sz w:val="20"/>
          <w:szCs w:val="20"/>
        </w:rPr>
        <w:t>Connectivity: Urban internet coverage (~75%) versus rural (&lt;50%) drives adoption differentials.</w:t>
      </w:r>
    </w:p>
    <w:p w14:paraId="3D31C6A4" w14:textId="35C1AF54" w:rsidR="00295372" w:rsidRPr="00295372" w:rsidRDefault="00295372" w:rsidP="0029537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295372">
        <w:rPr>
          <w:rFonts w:ascii="Times New Roman" w:hAnsi="Times New Roman" w:cs="Times New Roman"/>
          <w:color w:val="000000" w:themeColor="text1"/>
          <w:sz w:val="20"/>
          <w:szCs w:val="20"/>
        </w:rPr>
        <w:t>Perceived Usefulness and Trust: Urban users emphasize convenience and ease, rural users report interface challenges and mistrust, suggesting simpler app designs and trust-building are essential.</w:t>
      </w:r>
    </w:p>
    <w:p w14:paraId="52E4CDD9" w14:textId="3C26AD05" w:rsidR="00DA52F4" w:rsidRDefault="00295372" w:rsidP="009978A0">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Social Catalysts: Migrant remittances and peer referrals act as critical adoption pathways in rural communities; peer-referral incentives and community ambassadors can reinforce these effects.</w:t>
      </w:r>
      <w:r w:rsidR="009978A0" w:rsidRPr="009978A0">
        <w:rPr>
          <w:rFonts w:ascii="Times New Roman" w:hAnsi="Times New Roman" w:cs="Times New Roman"/>
          <w:color w:val="000000" w:themeColor="text1"/>
          <w:sz w:val="20"/>
          <w:szCs w:val="20"/>
        </w:rPr>
        <w:t xml:space="preserve"> Policy Recommendations:</w:t>
      </w:r>
    </w:p>
    <w:p w14:paraId="5C9C2820" w14:textId="77777777" w:rsidR="009978A0" w:rsidRDefault="009978A0" w:rsidP="009978A0">
      <w:pPr>
        <w:pStyle w:val="ListParagraph"/>
        <w:spacing w:before="54" w:after="0" w:line="276" w:lineRule="auto"/>
        <w:jc w:val="both"/>
        <w:rPr>
          <w:rFonts w:ascii="Times New Roman" w:hAnsi="Times New Roman" w:cs="Times New Roman"/>
          <w:color w:val="000000" w:themeColor="text1"/>
          <w:sz w:val="20"/>
          <w:szCs w:val="20"/>
        </w:rPr>
      </w:pPr>
    </w:p>
    <w:p w14:paraId="065158F7" w14:textId="7CFD5067"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Expand mobile-broadband and POS/QR terminal deployment in underserved districts.</w:t>
      </w:r>
    </w:p>
    <w:p w14:paraId="0B495D3A" w14:textId="1D02694B"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Implement community-based digital literacy programs targeting older and less-educated cohorts.</w:t>
      </w:r>
    </w:p>
    <w:p w14:paraId="0AB9C63D" w14:textId="008E2F0D"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Offer first-use incentives (e.g., cashback) and subsidized POS hardware for small rural merchants.</w:t>
      </w:r>
    </w:p>
    <w:p w14:paraId="4D95F7B4" w14:textId="13F6C557"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Leverage peer-referral rewards and SMS-based nudges to regularize digital transactions.</w:t>
      </w:r>
    </w:p>
    <w:p w14:paraId="2A689519" w14:textId="5571E436"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8AEC128" w14:textId="0D4CDC8A" w:rsidR="00FC71DB" w:rsidRDefault="00FC71DB" w:rsidP="00FC71DB">
      <w:pPr>
        <w:spacing w:before="54" w:after="0" w:line="276" w:lineRule="auto"/>
        <w:jc w:val="both"/>
        <w:rPr>
          <w:rFonts w:ascii="Times New Roman" w:hAnsi="Times New Roman" w:cs="Times New Roman"/>
          <w:color w:val="000000" w:themeColor="text1"/>
          <w:sz w:val="20"/>
          <w:szCs w:val="20"/>
        </w:rPr>
      </w:pPr>
      <w:r w:rsidRPr="00FC71DB">
        <w:rPr>
          <w:rFonts w:ascii="Times New Roman" w:hAnsi="Times New Roman" w:cs="Times New Roman"/>
          <w:color w:val="000000" w:themeColor="text1"/>
          <w:sz w:val="20"/>
          <w:szCs w:val="20"/>
        </w:rPr>
        <w:t>This desk-research study demonstrates that Uzbekistan’s digital-payment ecosystem has undergone significant transformation, with urban regions exhibiting rapid and widespread adoption driven by robust internet infrastructure, high smartphone penetration, and supportive merchant networks. Rural areas, while increasingly aware of digital options, continue to face challenges—namely connectivity gaps, limited POS/QR-terminal access, and persistent trust and literacy barriers</w:t>
      </w:r>
      <w:r>
        <w:rPr>
          <w:rFonts w:ascii="Times New Roman" w:hAnsi="Times New Roman" w:cs="Times New Roman"/>
          <w:color w:val="000000" w:themeColor="text1"/>
          <w:sz w:val="20"/>
          <w:szCs w:val="20"/>
        </w:rPr>
        <w:t xml:space="preserve"> </w:t>
      </w:r>
      <w:r w:rsidRPr="00FC71DB">
        <w:rPr>
          <w:rFonts w:ascii="Times New Roman" w:hAnsi="Times New Roman" w:cs="Times New Roman"/>
          <w:color w:val="000000" w:themeColor="text1"/>
          <w:sz w:val="20"/>
          <w:szCs w:val="20"/>
        </w:rPr>
        <w:t xml:space="preserve">that constrain full integration into cashless systems. </w:t>
      </w:r>
    </w:p>
    <w:p w14:paraId="5331A398" w14:textId="325DEF36" w:rsidR="00FC71DB" w:rsidRDefault="00FC71DB" w:rsidP="00FC71DB">
      <w:pPr>
        <w:spacing w:before="54" w:after="0" w:line="276" w:lineRule="auto"/>
        <w:jc w:val="both"/>
        <w:rPr>
          <w:rFonts w:ascii="Times New Roman" w:hAnsi="Times New Roman" w:cs="Times New Roman"/>
          <w:color w:val="000000" w:themeColor="text1"/>
          <w:sz w:val="20"/>
          <w:szCs w:val="20"/>
        </w:rPr>
      </w:pPr>
      <w:r w:rsidRPr="00FC71DB">
        <w:rPr>
          <w:rFonts w:ascii="Times New Roman" w:hAnsi="Times New Roman" w:cs="Times New Roman"/>
          <w:color w:val="000000" w:themeColor="text1"/>
          <w:sz w:val="20"/>
          <w:szCs w:val="20"/>
        </w:rPr>
        <w:t>By quantifying urban–rural disparities (e.g., a 16 pp gap in formal account ownership and a 13 pp gap in mobile-app usage), our analysis highlights the critical levers for bridging this divide. Specifically, we recommend a multi-faceted strategy: accelerating rural broadband deployment; implementing community-based, language-appropriate digital-literacy initiatives; and deploying behaviorally informed incentives (e.g., first-use cashback, peer-referral bonuses) to catalyze adoption. Together, these measures align with the Digital Uzbekistan 2030 strategy’s vision of inclusive financial participation and can foster sustainable economic development across all regions.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3BF078E" w14:textId="4445A0C3" w:rsidR="0025185E" w:rsidRDefault="0025185E" w:rsidP="0025185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Centre for Economic Research and Reforms. (2023). Fintech adoption and financial inclusion in Uzbekistan.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w:t>
      </w:r>
      <w:hyperlink r:id="rId8" w:history="1">
        <w:r w:rsidRPr="00DA7E29">
          <w:rPr>
            <w:rStyle w:val="Hyperlink"/>
            <w:rFonts w:ascii="Times New Roman" w:hAnsi="Times New Roman"/>
            <w:sz w:val="20"/>
            <w:szCs w:val="20"/>
          </w:rPr>
          <w:t>https://cerr.uz/reports/fintech-adoption-2023</w:t>
        </w:r>
      </w:hyperlink>
      <w:r w:rsidRPr="0025185E">
        <w:rPr>
          <w:rFonts w:ascii="Times New Roman" w:hAnsi="Times New Roman" w:cs="Times New Roman"/>
          <w:color w:val="000000" w:themeColor="text1"/>
          <w:sz w:val="20"/>
          <w:szCs w:val="20"/>
        </w:rPr>
        <w:t>)</w:t>
      </w:r>
    </w:p>
    <w:p w14:paraId="19573ABA" w14:textId="0F235ACF" w:rsidR="0025185E" w:rsidRDefault="0025185E" w:rsidP="0025185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5185E">
        <w:rPr>
          <w:rFonts w:ascii="Times New Roman" w:hAnsi="Times New Roman" w:cs="Times New Roman"/>
          <w:color w:val="000000" w:themeColor="text1"/>
          <w:sz w:val="20"/>
          <w:szCs w:val="20"/>
        </w:rPr>
        <w:t>Demirgüç-Kunt</w:t>
      </w:r>
      <w:proofErr w:type="spellEnd"/>
      <w:r w:rsidRPr="0025185E">
        <w:rPr>
          <w:rFonts w:ascii="Times New Roman" w:hAnsi="Times New Roman" w:cs="Times New Roman"/>
          <w:color w:val="000000" w:themeColor="text1"/>
          <w:sz w:val="20"/>
          <w:szCs w:val="20"/>
        </w:rPr>
        <w:t xml:space="preserve">, A., </w:t>
      </w:r>
      <w:proofErr w:type="spellStart"/>
      <w:r w:rsidRPr="0025185E">
        <w:rPr>
          <w:rFonts w:ascii="Times New Roman" w:hAnsi="Times New Roman" w:cs="Times New Roman"/>
          <w:color w:val="000000" w:themeColor="text1"/>
          <w:sz w:val="20"/>
          <w:szCs w:val="20"/>
        </w:rPr>
        <w:t>Klapper</w:t>
      </w:r>
      <w:proofErr w:type="spellEnd"/>
      <w:r w:rsidRPr="0025185E">
        <w:rPr>
          <w:rFonts w:ascii="Times New Roman" w:hAnsi="Times New Roman" w:cs="Times New Roman"/>
          <w:color w:val="000000" w:themeColor="text1"/>
          <w:sz w:val="20"/>
          <w:szCs w:val="20"/>
        </w:rPr>
        <w:t>, L., Singer, D., Ansar, S., &amp; Hess, J. (2022). The global Findex database 2021: Financial inclusion, digital payments, and resilience in the age of COVID-19.</w:t>
      </w:r>
      <w:r>
        <w:rPr>
          <w:rFonts w:ascii="Times New Roman" w:hAnsi="Times New Roman" w:cs="Times New Roman"/>
          <w:color w:val="000000" w:themeColor="text1"/>
          <w:sz w:val="20"/>
          <w:szCs w:val="20"/>
        </w:rPr>
        <w:t>(</w:t>
      </w:r>
      <w:r w:rsidRPr="0025185E">
        <w:t xml:space="preserve"> </w:t>
      </w:r>
      <w:hyperlink r:id="rId9" w:history="1">
        <w:r w:rsidRPr="00DA7E29">
          <w:rPr>
            <w:rStyle w:val="Hyperlink"/>
            <w:rFonts w:ascii="Times New Roman" w:hAnsi="Times New Roman"/>
            <w:sz w:val="20"/>
            <w:szCs w:val="20"/>
          </w:rPr>
          <w:t>https://www.worldbank.org/globalfindex</w:t>
        </w:r>
      </w:hyperlink>
      <w:r>
        <w:rPr>
          <w:rFonts w:ascii="Times New Roman" w:hAnsi="Times New Roman" w:cs="Times New Roman"/>
          <w:color w:val="000000" w:themeColor="text1"/>
          <w:sz w:val="20"/>
          <w:szCs w:val="20"/>
        </w:rPr>
        <w:t>)</w:t>
      </w:r>
    </w:p>
    <w:p w14:paraId="5C4C6074" w14:textId="2C3DE6F1"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 xml:space="preserve">International Telecommunication Union. (2022). Individuals using the Internet </w:t>
      </w:r>
      <w:r>
        <w:rPr>
          <w:rFonts w:ascii="Times New Roman" w:hAnsi="Times New Roman" w:cs="Times New Roman"/>
          <w:color w:val="000000" w:themeColor="text1"/>
          <w:sz w:val="20"/>
          <w:szCs w:val="20"/>
        </w:rPr>
        <w:t>(</w:t>
      </w:r>
      <w:hyperlink r:id="rId10" w:history="1">
        <w:r w:rsidRPr="00DA7E29">
          <w:rPr>
            <w:rStyle w:val="Hyperlink"/>
            <w:rFonts w:ascii="Times New Roman" w:hAnsi="Times New Roman"/>
            <w:sz w:val="20"/>
            <w:szCs w:val="20"/>
          </w:rPr>
          <w:t>https://www.itu.int/en/ITU-D/Statistics/Pages/stat/default.aspx</w:t>
        </w:r>
      </w:hyperlink>
      <w:r>
        <w:rPr>
          <w:rFonts w:ascii="Times New Roman" w:hAnsi="Times New Roman" w:cs="Times New Roman"/>
          <w:color w:val="000000" w:themeColor="text1"/>
          <w:sz w:val="20"/>
          <w:szCs w:val="20"/>
        </w:rPr>
        <w:t>)</w:t>
      </w:r>
    </w:p>
    <w:p w14:paraId="0A3AE505" w14:textId="57FBFC14"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Ministry for Development of Information Technologies and Communications of the Republic of Uzbekistan &amp; Central Bank of Uzbekistan. (2020). Digital Uzbekistan 2030 strategy.</w:t>
      </w:r>
      <w:r>
        <w:rPr>
          <w:rFonts w:ascii="Times New Roman" w:hAnsi="Times New Roman" w:cs="Times New Roman"/>
          <w:color w:val="000000" w:themeColor="text1"/>
          <w:sz w:val="20"/>
          <w:szCs w:val="20"/>
        </w:rPr>
        <w:t>(</w:t>
      </w:r>
      <w:r w:rsidRPr="0025185E">
        <w:t xml:space="preserve"> </w:t>
      </w:r>
      <w:hyperlink r:id="rId11" w:history="1">
        <w:r w:rsidRPr="00DA7E29">
          <w:rPr>
            <w:rStyle w:val="Hyperlink"/>
            <w:rFonts w:ascii="Times New Roman" w:hAnsi="Times New Roman"/>
            <w:sz w:val="20"/>
            <w:szCs w:val="20"/>
          </w:rPr>
          <w:t>https://mdtic.gov.uz/en/digital2030.pdf</w:t>
        </w:r>
      </w:hyperlink>
      <w:r>
        <w:rPr>
          <w:rFonts w:ascii="Times New Roman" w:hAnsi="Times New Roman" w:cs="Times New Roman"/>
          <w:color w:val="000000" w:themeColor="text1"/>
          <w:sz w:val="20"/>
          <w:szCs w:val="20"/>
        </w:rPr>
        <w:t>)</w:t>
      </w:r>
    </w:p>
    <w:p w14:paraId="7C151A04" w14:textId="76AF4063"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85E">
        <w:rPr>
          <w:rFonts w:ascii="Times New Roman" w:hAnsi="Times New Roman" w:cs="Times New Roman"/>
          <w:color w:val="000000" w:themeColor="text1"/>
          <w:sz w:val="20"/>
          <w:szCs w:val="20"/>
        </w:rPr>
        <w:t>UzDaily</w:t>
      </w:r>
      <w:proofErr w:type="spellEnd"/>
      <w:r w:rsidRPr="0025185E">
        <w:rPr>
          <w:rFonts w:ascii="Times New Roman" w:hAnsi="Times New Roman" w:cs="Times New Roman"/>
          <w:color w:val="000000" w:themeColor="text1"/>
          <w:sz w:val="20"/>
          <w:szCs w:val="20"/>
        </w:rPr>
        <w:t xml:space="preserve">. (2025, April 15). CBU: Interbank payment system handles 7.279 trillion </w:t>
      </w:r>
      <w:proofErr w:type="spellStart"/>
      <w:r w:rsidRPr="0025185E">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o</w:t>
      </w:r>
      <w:r w:rsidRPr="0025185E">
        <w:rPr>
          <w:rFonts w:ascii="Times New Roman" w:hAnsi="Times New Roman" w:cs="Times New Roman"/>
          <w:color w:val="000000" w:themeColor="text1"/>
          <w:sz w:val="20"/>
          <w:szCs w:val="20"/>
        </w:rPr>
        <w:t>m</w:t>
      </w:r>
      <w:proofErr w:type="spellEnd"/>
      <w:r w:rsidRPr="0025185E">
        <w:rPr>
          <w:rFonts w:ascii="Times New Roman" w:hAnsi="Times New Roman" w:cs="Times New Roman"/>
          <w:color w:val="000000" w:themeColor="text1"/>
          <w:sz w:val="20"/>
          <w:szCs w:val="20"/>
        </w:rPr>
        <w:t xml:space="preserve"> in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2024</w:t>
      </w:r>
      <w:r>
        <w:rPr>
          <w:rFonts w:ascii="Times New Roman" w:hAnsi="Times New Roman" w:cs="Times New Roman"/>
          <w:color w:val="000000" w:themeColor="text1"/>
          <w:sz w:val="20"/>
          <w:szCs w:val="20"/>
        </w:rPr>
        <w:t xml:space="preserve"> .(</w:t>
      </w:r>
      <w:hyperlink r:id="rId12" w:history="1">
        <w:r w:rsidRPr="00DA7E29">
          <w:rPr>
            <w:rStyle w:val="Hyperlink"/>
            <w:rFonts w:ascii="Times New Roman" w:hAnsi="Times New Roman"/>
            <w:sz w:val="20"/>
            <w:szCs w:val="20"/>
          </w:rPr>
          <w:t>https://www.uzdaily.uz/en/post</w:t>
        </w:r>
      </w:hyperlink>
      <w:r>
        <w:rPr>
          <w:rFonts w:ascii="Times New Roman" w:hAnsi="Times New Roman" w:cs="Times New Roman"/>
          <w:color w:val="000000" w:themeColor="text1"/>
          <w:sz w:val="20"/>
          <w:szCs w:val="20"/>
        </w:rPr>
        <w:t>)</w:t>
      </w:r>
    </w:p>
    <w:p w14:paraId="5698FD1D" w14:textId="4647686E"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Visa.(2023).Uzbekistan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digital payments market insights.</w:t>
      </w:r>
      <w:r>
        <w:rPr>
          <w:rFonts w:ascii="Times New Roman" w:hAnsi="Times New Roman" w:cs="Times New Roman"/>
          <w:color w:val="000000" w:themeColor="text1"/>
          <w:sz w:val="20"/>
          <w:szCs w:val="20"/>
        </w:rPr>
        <w:t>(</w:t>
      </w:r>
      <w:hyperlink r:id="rId13" w:history="1">
        <w:r w:rsidRPr="00DA7E29">
          <w:rPr>
            <w:rStyle w:val="Hyperlink"/>
            <w:rFonts w:ascii="Times New Roman" w:hAnsi="Times New Roman"/>
            <w:sz w:val="20"/>
            <w:szCs w:val="20"/>
          </w:rPr>
          <w:t>https://usa.visa.com/partner-with-us/payment-innovation.html</w:t>
        </w:r>
      </w:hyperlink>
      <w:r>
        <w:rPr>
          <w:rFonts w:ascii="Times New Roman" w:hAnsi="Times New Roman" w:cs="Times New Roman"/>
          <w:color w:val="000000" w:themeColor="text1"/>
          <w:sz w:val="20"/>
          <w:szCs w:val="20"/>
        </w:rPr>
        <w:t>)</w:t>
      </w:r>
    </w:p>
    <w:p w14:paraId="40EFF21F" w14:textId="64D83C95" w:rsidR="00911ACD" w:rsidRPr="0025185E" w:rsidRDefault="0025185E" w:rsidP="0025185E">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sectPr w:rsidR="00911ACD" w:rsidRPr="0025185E"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6D92" w14:textId="77777777" w:rsidR="00DB4156" w:rsidRDefault="00DB4156" w:rsidP="00C556D7">
      <w:pPr>
        <w:spacing w:after="0" w:line="240" w:lineRule="auto"/>
      </w:pPr>
      <w:r>
        <w:separator/>
      </w:r>
    </w:p>
  </w:endnote>
  <w:endnote w:type="continuationSeparator" w:id="0">
    <w:p w14:paraId="1C1C64C6" w14:textId="77777777" w:rsidR="00DB4156" w:rsidRDefault="00DB415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A4DE" w14:textId="77777777" w:rsidR="00DB4156" w:rsidRDefault="00DB4156" w:rsidP="00C556D7">
      <w:pPr>
        <w:spacing w:after="0" w:line="240" w:lineRule="auto"/>
      </w:pPr>
      <w:r>
        <w:separator/>
      </w:r>
    </w:p>
  </w:footnote>
  <w:footnote w:type="continuationSeparator" w:id="0">
    <w:p w14:paraId="3FAEAE4A" w14:textId="77777777" w:rsidR="00DB4156" w:rsidRDefault="00DB415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62420"/>
    <w:multiLevelType w:val="hybridMultilevel"/>
    <w:tmpl w:val="48DEE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C570C"/>
    <w:multiLevelType w:val="hybridMultilevel"/>
    <w:tmpl w:val="42CE5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41B72"/>
    <w:multiLevelType w:val="hybridMultilevel"/>
    <w:tmpl w:val="41920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43741AB"/>
    <w:multiLevelType w:val="hybridMultilevel"/>
    <w:tmpl w:val="21BA2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0046"/>
    <w:multiLevelType w:val="hybridMultilevel"/>
    <w:tmpl w:val="DCF41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0A781E0A"/>
    <w:lvl w:ilvl="0">
      <w:start w:val="1"/>
      <w:numFmt w:val="decimal"/>
      <w:lvlText w:val="%1."/>
      <w:lvlJc w:val="left"/>
      <w:pPr>
        <w:ind w:left="360" w:hanging="360"/>
      </w:pPr>
      <w:rPr>
        <w:rFonts w:hint="default"/>
        <w:b/>
        <w:bCs/>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638D8"/>
    <w:multiLevelType w:val="hybridMultilevel"/>
    <w:tmpl w:val="CEF07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3"/>
  </w:num>
  <w:num w:numId="14" w16cid:durableId="532691435">
    <w:abstractNumId w:val="4"/>
  </w:num>
  <w:num w:numId="15" w16cid:durableId="1268083021">
    <w:abstractNumId w:val="22"/>
  </w:num>
  <w:num w:numId="16" w16cid:durableId="1447193248">
    <w:abstractNumId w:val="12"/>
  </w:num>
  <w:num w:numId="17" w16cid:durableId="843742299">
    <w:abstractNumId w:val="16"/>
  </w:num>
  <w:num w:numId="18" w16cid:durableId="110824490">
    <w:abstractNumId w:val="3"/>
  </w:num>
  <w:num w:numId="19" w16cid:durableId="1376078544">
    <w:abstractNumId w:val="25"/>
  </w:num>
  <w:num w:numId="20" w16cid:durableId="888303389">
    <w:abstractNumId w:val="8"/>
  </w:num>
  <w:num w:numId="21" w16cid:durableId="164125617">
    <w:abstractNumId w:val="21"/>
  </w:num>
  <w:num w:numId="22" w16cid:durableId="396633331">
    <w:abstractNumId w:val="11"/>
  </w:num>
  <w:num w:numId="23" w16cid:durableId="211037790">
    <w:abstractNumId w:val="5"/>
  </w:num>
  <w:num w:numId="24" w16cid:durableId="1708678035">
    <w:abstractNumId w:val="24"/>
  </w:num>
  <w:num w:numId="25" w16cid:durableId="220794913">
    <w:abstractNumId w:val="2"/>
  </w:num>
  <w:num w:numId="26" w16cid:durableId="1922519794">
    <w:abstractNumId w:val="19"/>
  </w:num>
  <w:num w:numId="27" w16cid:durableId="510335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185E"/>
    <w:rsid w:val="002638EB"/>
    <w:rsid w:val="002650CA"/>
    <w:rsid w:val="00273038"/>
    <w:rsid w:val="00290530"/>
    <w:rsid w:val="00295372"/>
    <w:rsid w:val="002A579C"/>
    <w:rsid w:val="002E5E71"/>
    <w:rsid w:val="002E72CF"/>
    <w:rsid w:val="002F3187"/>
    <w:rsid w:val="002F43A5"/>
    <w:rsid w:val="00302BBD"/>
    <w:rsid w:val="003265E6"/>
    <w:rsid w:val="00350F8D"/>
    <w:rsid w:val="00361C3F"/>
    <w:rsid w:val="003656D1"/>
    <w:rsid w:val="00392E5A"/>
    <w:rsid w:val="003A3AED"/>
    <w:rsid w:val="003B13EB"/>
    <w:rsid w:val="003B34DD"/>
    <w:rsid w:val="003C3221"/>
    <w:rsid w:val="003C34AD"/>
    <w:rsid w:val="003C4071"/>
    <w:rsid w:val="003C6D94"/>
    <w:rsid w:val="003D2120"/>
    <w:rsid w:val="003D6363"/>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48DC"/>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55B6"/>
    <w:rsid w:val="006413AE"/>
    <w:rsid w:val="00654EC1"/>
    <w:rsid w:val="006678D1"/>
    <w:rsid w:val="00674F73"/>
    <w:rsid w:val="00690A1B"/>
    <w:rsid w:val="006918DA"/>
    <w:rsid w:val="006962A4"/>
    <w:rsid w:val="006A5E5C"/>
    <w:rsid w:val="006A6434"/>
    <w:rsid w:val="006B2ED8"/>
    <w:rsid w:val="006C11CA"/>
    <w:rsid w:val="006C74D5"/>
    <w:rsid w:val="006D7E62"/>
    <w:rsid w:val="006F3A9C"/>
    <w:rsid w:val="006F51F4"/>
    <w:rsid w:val="00732B32"/>
    <w:rsid w:val="00756E86"/>
    <w:rsid w:val="007634B5"/>
    <w:rsid w:val="00767719"/>
    <w:rsid w:val="0079243B"/>
    <w:rsid w:val="007B170D"/>
    <w:rsid w:val="007B65C2"/>
    <w:rsid w:val="007D5C9A"/>
    <w:rsid w:val="007E48CF"/>
    <w:rsid w:val="007E75BA"/>
    <w:rsid w:val="007E79D6"/>
    <w:rsid w:val="007F4C35"/>
    <w:rsid w:val="007F6CE4"/>
    <w:rsid w:val="00814B7E"/>
    <w:rsid w:val="00826BF1"/>
    <w:rsid w:val="00837A71"/>
    <w:rsid w:val="00855648"/>
    <w:rsid w:val="00861EE8"/>
    <w:rsid w:val="008741D3"/>
    <w:rsid w:val="008766EC"/>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46D97"/>
    <w:rsid w:val="00971033"/>
    <w:rsid w:val="0099338E"/>
    <w:rsid w:val="009978A0"/>
    <w:rsid w:val="009A49D4"/>
    <w:rsid w:val="009C713B"/>
    <w:rsid w:val="009E4D95"/>
    <w:rsid w:val="009E6760"/>
    <w:rsid w:val="009E7E3D"/>
    <w:rsid w:val="009F6540"/>
    <w:rsid w:val="00A0162A"/>
    <w:rsid w:val="00A4268C"/>
    <w:rsid w:val="00A61FC8"/>
    <w:rsid w:val="00A66F99"/>
    <w:rsid w:val="00A71E07"/>
    <w:rsid w:val="00A730E3"/>
    <w:rsid w:val="00A846B7"/>
    <w:rsid w:val="00A921E2"/>
    <w:rsid w:val="00A95514"/>
    <w:rsid w:val="00AA1805"/>
    <w:rsid w:val="00AB1E91"/>
    <w:rsid w:val="00AB6443"/>
    <w:rsid w:val="00AC095F"/>
    <w:rsid w:val="00AD11A2"/>
    <w:rsid w:val="00AD52FF"/>
    <w:rsid w:val="00AD55FF"/>
    <w:rsid w:val="00AE5256"/>
    <w:rsid w:val="00B0156E"/>
    <w:rsid w:val="00B07F98"/>
    <w:rsid w:val="00B127F4"/>
    <w:rsid w:val="00B134C1"/>
    <w:rsid w:val="00B17F4E"/>
    <w:rsid w:val="00B21E66"/>
    <w:rsid w:val="00B60F30"/>
    <w:rsid w:val="00B71A47"/>
    <w:rsid w:val="00B76621"/>
    <w:rsid w:val="00B82E3B"/>
    <w:rsid w:val="00B90B09"/>
    <w:rsid w:val="00BA645B"/>
    <w:rsid w:val="00BA6D24"/>
    <w:rsid w:val="00BC087A"/>
    <w:rsid w:val="00BC37A0"/>
    <w:rsid w:val="00BD0DF3"/>
    <w:rsid w:val="00BE5B25"/>
    <w:rsid w:val="00C02C01"/>
    <w:rsid w:val="00C13545"/>
    <w:rsid w:val="00C20B7A"/>
    <w:rsid w:val="00C35F1D"/>
    <w:rsid w:val="00C378A3"/>
    <w:rsid w:val="00C43197"/>
    <w:rsid w:val="00C556D7"/>
    <w:rsid w:val="00C56420"/>
    <w:rsid w:val="00C5653F"/>
    <w:rsid w:val="00C80495"/>
    <w:rsid w:val="00C8572B"/>
    <w:rsid w:val="00C87AD7"/>
    <w:rsid w:val="00C87DAA"/>
    <w:rsid w:val="00C92083"/>
    <w:rsid w:val="00C9394F"/>
    <w:rsid w:val="00CA0B60"/>
    <w:rsid w:val="00CA6977"/>
    <w:rsid w:val="00CD7165"/>
    <w:rsid w:val="00CE4576"/>
    <w:rsid w:val="00CE4A54"/>
    <w:rsid w:val="00CE5A19"/>
    <w:rsid w:val="00D057A0"/>
    <w:rsid w:val="00D25854"/>
    <w:rsid w:val="00D3084A"/>
    <w:rsid w:val="00D57EC4"/>
    <w:rsid w:val="00D74DDA"/>
    <w:rsid w:val="00DA52F4"/>
    <w:rsid w:val="00DB2E72"/>
    <w:rsid w:val="00DB4156"/>
    <w:rsid w:val="00DD6B36"/>
    <w:rsid w:val="00DD7C7C"/>
    <w:rsid w:val="00DE68FE"/>
    <w:rsid w:val="00DF201E"/>
    <w:rsid w:val="00DF317B"/>
    <w:rsid w:val="00DF6FFA"/>
    <w:rsid w:val="00E03AB8"/>
    <w:rsid w:val="00E058D9"/>
    <w:rsid w:val="00E26448"/>
    <w:rsid w:val="00E26687"/>
    <w:rsid w:val="00E34078"/>
    <w:rsid w:val="00E35FB6"/>
    <w:rsid w:val="00E6594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4EC2"/>
    <w:rsid w:val="00F418A2"/>
    <w:rsid w:val="00F42C71"/>
    <w:rsid w:val="00F43ABE"/>
    <w:rsid w:val="00F62C11"/>
    <w:rsid w:val="00F65276"/>
    <w:rsid w:val="00F82755"/>
    <w:rsid w:val="00FC71D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537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0329">
      <w:bodyDiv w:val="1"/>
      <w:marLeft w:val="0"/>
      <w:marRight w:val="0"/>
      <w:marTop w:val="0"/>
      <w:marBottom w:val="0"/>
      <w:divBdr>
        <w:top w:val="none" w:sz="0" w:space="0" w:color="auto"/>
        <w:left w:val="none" w:sz="0" w:space="0" w:color="auto"/>
        <w:bottom w:val="none" w:sz="0" w:space="0" w:color="auto"/>
        <w:right w:val="none" w:sz="0" w:space="0" w:color="auto"/>
      </w:divBdr>
    </w:div>
    <w:div w:id="828252107">
      <w:bodyDiv w:val="1"/>
      <w:marLeft w:val="0"/>
      <w:marRight w:val="0"/>
      <w:marTop w:val="0"/>
      <w:marBottom w:val="0"/>
      <w:divBdr>
        <w:top w:val="none" w:sz="0" w:space="0" w:color="auto"/>
        <w:left w:val="none" w:sz="0" w:space="0" w:color="auto"/>
        <w:bottom w:val="none" w:sz="0" w:space="0" w:color="auto"/>
        <w:right w:val="none" w:sz="0" w:space="0" w:color="auto"/>
      </w:divBdr>
    </w:div>
    <w:div w:id="9909118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1064004">
      <w:bodyDiv w:val="1"/>
      <w:marLeft w:val="0"/>
      <w:marRight w:val="0"/>
      <w:marTop w:val="0"/>
      <w:marBottom w:val="0"/>
      <w:divBdr>
        <w:top w:val="none" w:sz="0" w:space="0" w:color="auto"/>
        <w:left w:val="none" w:sz="0" w:space="0" w:color="auto"/>
        <w:bottom w:val="none" w:sz="0" w:space="0" w:color="auto"/>
        <w:right w:val="none" w:sz="0" w:space="0" w:color="auto"/>
      </w:divBdr>
    </w:div>
    <w:div w:id="152806275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r.uz/reports/fintech-adoption-2023" TargetMode="External"/><Relationship Id="rId13" Type="http://schemas.openxmlformats.org/officeDocument/2006/relationships/hyperlink" Target="https://usa.visa.com/partner-with-us/payment-innovatio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daily.uz/en/po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tic.gov.uz/en/digital20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D/Statistics/Pages/stat/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orldbank.org/globalfinde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Ali Akbar</cp:lastModifiedBy>
  <cp:revision>71</cp:revision>
  <cp:lastPrinted>2021-02-22T14:39:00Z</cp:lastPrinted>
  <dcterms:created xsi:type="dcterms:W3CDTF">2023-09-02T03:46:00Z</dcterms:created>
  <dcterms:modified xsi:type="dcterms:W3CDTF">2025-05-01T10:39:00Z</dcterms:modified>
</cp:coreProperties>
</file>