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9B50" w14:textId="4AACD370" w:rsidR="002970D9" w:rsidRDefault="00EA71AD" w:rsidP="00F31171">
      <w:pPr>
        <w:pStyle w:val="BodyText"/>
        <w:spacing w:before="160" w:line="360" w:lineRule="auto"/>
        <w:ind w:left="36" w:right="22"/>
        <w:jc w:val="center"/>
        <w:rPr>
          <w:b/>
          <w:bCs/>
          <w:sz w:val="32"/>
          <w:szCs w:val="32"/>
        </w:rPr>
      </w:pPr>
      <w:r>
        <w:rPr>
          <w:b/>
          <w:bCs/>
          <w:sz w:val="32"/>
          <w:szCs w:val="32"/>
        </w:rPr>
        <w:t xml:space="preserve">REVIEW PAPER ON </w:t>
      </w:r>
      <w:r w:rsidR="007C166F">
        <w:rPr>
          <w:b/>
          <w:sz w:val="28"/>
          <w:szCs w:val="28"/>
        </w:rPr>
        <w:t>COMPARATIVE ASSESSMENT OF LATERAL LOAD RESISTANCE IN TALL BUILDINGS OUTRIGGER VS NON-OUTRIGGER STRUCTURAL SYSTEMS</w:t>
      </w:r>
    </w:p>
    <w:p w14:paraId="43F2D799" w14:textId="77777777" w:rsidR="00FA55DF" w:rsidRDefault="00FA55DF" w:rsidP="00F31171">
      <w:pPr>
        <w:pStyle w:val="BodyText"/>
        <w:spacing w:before="160" w:line="360" w:lineRule="auto"/>
        <w:ind w:left="36" w:right="22"/>
        <w:jc w:val="center"/>
      </w:pPr>
    </w:p>
    <w:p w14:paraId="2A129483" w14:textId="5EC87BA0" w:rsidR="00604A9B" w:rsidRDefault="005B1CAB" w:rsidP="00F31171">
      <w:pPr>
        <w:tabs>
          <w:tab w:val="left" w:pos="1170"/>
          <w:tab w:val="left" w:pos="11520"/>
        </w:tabs>
        <w:spacing w:line="360" w:lineRule="auto"/>
        <w:ind w:right="863"/>
        <w:jc w:val="center"/>
        <w:rPr>
          <w:b/>
          <w:sz w:val="24"/>
          <w:szCs w:val="24"/>
          <w:vertAlign w:val="superscript"/>
        </w:rPr>
      </w:pPr>
      <w:r>
        <w:rPr>
          <w:b/>
          <w:sz w:val="24"/>
          <w:szCs w:val="24"/>
        </w:rPr>
        <w:t>EHRAZUL HODA</w:t>
      </w:r>
      <w:r w:rsidR="00604A9B" w:rsidRPr="0023592D">
        <w:rPr>
          <w:b/>
          <w:sz w:val="24"/>
          <w:szCs w:val="24"/>
          <w:vertAlign w:val="superscript"/>
        </w:rPr>
        <w:t>1</w:t>
      </w:r>
      <w:r w:rsidR="00604A9B" w:rsidRPr="0023592D">
        <w:rPr>
          <w:b/>
          <w:sz w:val="24"/>
          <w:szCs w:val="24"/>
        </w:rPr>
        <w:t xml:space="preserve">, </w:t>
      </w:r>
      <w:r w:rsidR="007358E7">
        <w:rPr>
          <w:b/>
          <w:sz w:val="24"/>
          <w:szCs w:val="24"/>
        </w:rPr>
        <w:t>Ms</w:t>
      </w:r>
      <w:r w:rsidR="00604A9B" w:rsidRPr="0023592D">
        <w:rPr>
          <w:b/>
          <w:sz w:val="24"/>
          <w:szCs w:val="24"/>
        </w:rPr>
        <w:t>.</w:t>
      </w:r>
      <w:r w:rsidR="00AE71DB">
        <w:rPr>
          <w:b/>
          <w:sz w:val="24"/>
          <w:szCs w:val="24"/>
        </w:rPr>
        <w:t xml:space="preserve"> </w:t>
      </w:r>
      <w:r w:rsidR="007358E7">
        <w:rPr>
          <w:b/>
          <w:sz w:val="24"/>
          <w:szCs w:val="24"/>
        </w:rPr>
        <w:t>ANJU</w:t>
      </w:r>
      <w:r w:rsidR="00604A9B" w:rsidRPr="0023592D">
        <w:rPr>
          <w:b/>
          <w:sz w:val="24"/>
          <w:szCs w:val="24"/>
          <w:vertAlign w:val="superscript"/>
        </w:rPr>
        <w:t>2</w:t>
      </w:r>
    </w:p>
    <w:p w14:paraId="59530590" w14:textId="77777777" w:rsidR="00766F07" w:rsidRPr="0023592D" w:rsidRDefault="00766F07" w:rsidP="00F31171">
      <w:pPr>
        <w:tabs>
          <w:tab w:val="left" w:pos="1170"/>
          <w:tab w:val="left" w:pos="11520"/>
        </w:tabs>
        <w:spacing w:line="360" w:lineRule="auto"/>
        <w:ind w:right="863"/>
        <w:jc w:val="center"/>
        <w:rPr>
          <w:b/>
          <w:color w:val="FF0000"/>
          <w:sz w:val="28"/>
          <w:szCs w:val="28"/>
          <w:vertAlign w:val="subscript"/>
        </w:rPr>
      </w:pPr>
    </w:p>
    <w:p w14:paraId="6FBC2208" w14:textId="3A66931D" w:rsidR="00604A9B" w:rsidRDefault="00604A9B" w:rsidP="00F31171">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08BEBB5F" w14:textId="77777777" w:rsidR="00604A9B" w:rsidRPr="00E10346" w:rsidRDefault="00604A9B" w:rsidP="00F31171">
      <w:pPr>
        <w:tabs>
          <w:tab w:val="left" w:pos="1170"/>
          <w:tab w:val="left" w:pos="11520"/>
        </w:tabs>
        <w:spacing w:line="360" w:lineRule="auto"/>
        <w:ind w:right="863"/>
        <w:jc w:val="center"/>
        <w:rPr>
          <w:rFonts w:asciiTheme="majorHAnsi" w:hAnsiTheme="majorHAnsi"/>
          <w:i/>
          <w:sz w:val="24"/>
          <w:szCs w:val="24"/>
        </w:rPr>
      </w:pPr>
    </w:p>
    <w:p w14:paraId="1826DA6B" w14:textId="4B30384C" w:rsidR="00604A9B" w:rsidRPr="0023592D" w:rsidRDefault="00604A9B" w:rsidP="00F31171">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451933">
        <w:rPr>
          <w:rFonts w:eastAsiaTheme="minorHAnsi"/>
          <w:color w:val="000000" w:themeColor="text1"/>
          <w:sz w:val="24"/>
          <w:szCs w:val="24"/>
        </w:rPr>
        <w:t>istant</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1B922E45" w14:textId="77777777" w:rsidR="00C800BC" w:rsidRPr="00741EF6" w:rsidRDefault="00C800BC" w:rsidP="00F31171">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rsidP="00F31171">
      <w:pPr>
        <w:pStyle w:val="Heading2"/>
        <w:spacing w:before="84" w:line="360" w:lineRule="auto"/>
        <w:ind w:left="1537" w:right="1518" w:firstLine="2"/>
        <w:jc w:val="center"/>
        <w:rPr>
          <w:b/>
          <w:spacing w:val="-2"/>
          <w:sz w:val="24"/>
        </w:rPr>
      </w:pPr>
      <w:r>
        <w:rPr>
          <w:b/>
          <w:spacing w:val="-2"/>
          <w:sz w:val="24"/>
        </w:rPr>
        <w:t>ABSTRACT</w:t>
      </w:r>
    </w:p>
    <w:p w14:paraId="462C0F8B" w14:textId="77777777" w:rsidR="00974173" w:rsidRDefault="00974173" w:rsidP="006818D8">
      <w:pPr>
        <w:pStyle w:val="BodyText"/>
        <w:spacing w:line="360" w:lineRule="auto"/>
        <w:ind w:left="336" w:right="1193"/>
        <w:rPr>
          <w:lang w:val="en-IN"/>
        </w:rPr>
      </w:pPr>
    </w:p>
    <w:p w14:paraId="2FC67EC5" w14:textId="5BC95A73" w:rsidR="00974173" w:rsidRDefault="00974173" w:rsidP="00974173">
      <w:pPr>
        <w:pStyle w:val="BodyText"/>
        <w:spacing w:line="360" w:lineRule="auto"/>
        <w:ind w:left="336" w:right="1193"/>
        <w:rPr>
          <w:lang w:val="en-IN"/>
        </w:rPr>
      </w:pPr>
      <w:r w:rsidRPr="00974173">
        <w:rPr>
          <w:lang w:val="en-IN"/>
        </w:rPr>
        <w:t>The lateral load resistance of tall structures is essential for maintaining structural stability and safety, especially against wind and seismic pressures. This review study offers a comparative analysis of outrigger and non-outrigger structural systems, assessing their efficacy in reducing lateral displacements and enhancing structural performance. Outrigger systems, including horizontal extensions that link the core to external columns, are well-regarded for their ability to augment rigidity and diminish drift. Conversely, non-outrigger systems use alternate methods, like shear walls, moment frames, or tube constructions, to counteract lateral stresses. The research analyses critical metrics such as lateral displacement, base shear, and overturning moments to assess the benefits and drawbacks of each system under different load circumstances.</w:t>
      </w:r>
    </w:p>
    <w:p w14:paraId="32A99367" w14:textId="77777777" w:rsidR="00974173" w:rsidRDefault="00974173" w:rsidP="00974173">
      <w:pPr>
        <w:pStyle w:val="BodyText"/>
        <w:spacing w:line="360" w:lineRule="auto"/>
        <w:ind w:left="336" w:right="1193"/>
        <w:rPr>
          <w:lang w:val="en-IN"/>
        </w:rPr>
      </w:pPr>
      <w:r w:rsidRPr="00974173">
        <w:rPr>
          <w:lang w:val="en-IN"/>
        </w:rPr>
        <w:br/>
        <w:t xml:space="preserve">A thorough literature study delineates the development of outrigger systems, their configurations, and their influence on the structural performance of high-rise buildings. Studies demonstrate that outriggers significantly enhance load distribution and decrease core bending moments, making them appropriate for super-tall structures. Nonetheless, its adoption elevates structural complexity and building expenses. Non-outrigger systems, while more straightforward, may need bigger shear walls or further bracing to get equivalent performance. The research examines improvements in hybrid systems that integrate outriggers with additional lateral load-resisting devices, providing a balanced approach to efficiency and economic viability. </w:t>
      </w:r>
    </w:p>
    <w:p w14:paraId="78F98705" w14:textId="2E88A159" w:rsidR="00974173" w:rsidRPr="00974173" w:rsidRDefault="00974173" w:rsidP="00974173">
      <w:pPr>
        <w:pStyle w:val="BodyText"/>
        <w:spacing w:line="360" w:lineRule="auto"/>
        <w:ind w:left="336" w:right="1193"/>
        <w:rPr>
          <w:lang w:val="en-IN"/>
        </w:rPr>
      </w:pPr>
      <w:r w:rsidRPr="00974173">
        <w:rPr>
          <w:lang w:val="en-IN"/>
        </w:rPr>
        <w:br/>
        <w:t>The results indicate that the selection between outrigger and non-outrigger systems is contingent upon several aspects, including building height, material use, design limitations, and area seismic conditions. Although outriggers are superior in ultra-tall edifices, non-outrigger solutions are still feasible for mid-rise to high-rise constructions with improved design methodologies. Future research avenues include the use of smart materials, adaptive damping systems, and AI-driven optimization methodologies to augment lateral load resistance. This evaluation offers essential insights for structural engineers and architects in choosing the most suitable solution for tall building design.</w:t>
      </w:r>
    </w:p>
    <w:p w14:paraId="448A4C4C" w14:textId="77777777" w:rsidR="00974173" w:rsidRDefault="00974173" w:rsidP="006818D8">
      <w:pPr>
        <w:pStyle w:val="BodyText"/>
        <w:spacing w:line="360" w:lineRule="auto"/>
        <w:ind w:left="336" w:right="1193"/>
        <w:rPr>
          <w:lang w:val="en-IN"/>
        </w:rPr>
      </w:pPr>
    </w:p>
    <w:p w14:paraId="785D55DF" w14:textId="77777777" w:rsidR="005B22B9" w:rsidRDefault="00000000" w:rsidP="00D75E5E">
      <w:pPr>
        <w:pStyle w:val="BodyText"/>
        <w:spacing w:line="360" w:lineRule="auto"/>
        <w:ind w:left="336" w:right="1193"/>
        <w:rPr>
          <w:lang w:val="en-IN"/>
        </w:rPr>
      </w:pPr>
      <w:r w:rsidRPr="00BF3A62">
        <w:rPr>
          <w:b/>
          <w:bCs/>
          <w:lang w:val="en-IN"/>
        </w:rPr>
        <w:t>Key Words:</w:t>
      </w:r>
      <w:r w:rsidRPr="00BF3A62">
        <w:rPr>
          <w:lang w:val="en-IN"/>
        </w:rPr>
        <w:t xml:space="preserve"> </w:t>
      </w:r>
      <w:r w:rsidR="00D75E5E" w:rsidRPr="00D75E5E">
        <w:rPr>
          <w:lang w:val="en-IN"/>
        </w:rPr>
        <w:t>Tall Buildings</w:t>
      </w:r>
      <w:r w:rsidR="00D75E5E">
        <w:rPr>
          <w:lang w:val="en-IN"/>
        </w:rPr>
        <w:t xml:space="preserve">, </w:t>
      </w:r>
      <w:r w:rsidR="00D75E5E" w:rsidRPr="00D75E5E">
        <w:rPr>
          <w:lang w:val="en-IN"/>
        </w:rPr>
        <w:t>Lateral Load Resistance</w:t>
      </w:r>
      <w:r w:rsidR="00D75E5E">
        <w:rPr>
          <w:lang w:val="en-IN"/>
        </w:rPr>
        <w:t xml:space="preserve">. </w:t>
      </w:r>
      <w:r w:rsidR="00D75E5E" w:rsidRPr="00D75E5E">
        <w:rPr>
          <w:lang w:val="en-IN"/>
        </w:rPr>
        <w:t>Outrigger Systems</w:t>
      </w:r>
      <w:r w:rsidR="00D75E5E">
        <w:rPr>
          <w:lang w:val="en-IN"/>
        </w:rPr>
        <w:t xml:space="preserve">, </w:t>
      </w:r>
      <w:r w:rsidR="00D75E5E" w:rsidRPr="00D75E5E">
        <w:rPr>
          <w:lang w:val="en-IN"/>
        </w:rPr>
        <w:t>Non-Outrigger Systems</w:t>
      </w:r>
      <w:r w:rsidR="00D75E5E">
        <w:rPr>
          <w:lang w:val="en-IN"/>
        </w:rPr>
        <w:t xml:space="preserve">. </w:t>
      </w:r>
      <w:r w:rsidR="00D75E5E" w:rsidRPr="00D75E5E">
        <w:rPr>
          <w:lang w:val="en-IN"/>
        </w:rPr>
        <w:t>Structural Stability</w:t>
      </w:r>
      <w:r w:rsidR="00D75E5E">
        <w:rPr>
          <w:lang w:val="en-IN"/>
        </w:rPr>
        <w:t xml:space="preserve">. </w:t>
      </w:r>
      <w:r w:rsidR="00D75E5E" w:rsidRPr="00D75E5E">
        <w:rPr>
          <w:lang w:val="en-IN"/>
        </w:rPr>
        <w:t>Wind and Seismic Loads</w:t>
      </w:r>
      <w:r w:rsidR="00D75E5E">
        <w:rPr>
          <w:lang w:val="en-IN"/>
        </w:rPr>
        <w:t>.</w:t>
      </w:r>
    </w:p>
    <w:p w14:paraId="4A45FFD3" w14:textId="56BEFF84" w:rsidR="00D75E5E" w:rsidRPr="00D75E5E" w:rsidRDefault="00D75E5E" w:rsidP="00D75E5E">
      <w:pPr>
        <w:pStyle w:val="BodyText"/>
        <w:spacing w:line="360" w:lineRule="auto"/>
        <w:ind w:left="336" w:right="1193"/>
        <w:rPr>
          <w:lang w:val="en-IN"/>
        </w:rPr>
      </w:pPr>
      <w:r>
        <w:rPr>
          <w:lang w:val="en-IN"/>
        </w:rPr>
        <w:t xml:space="preserve"> Drift</w:t>
      </w:r>
      <w:r w:rsidRPr="00D75E5E">
        <w:rPr>
          <w:lang w:val="en-IN"/>
        </w:rPr>
        <w:t xml:space="preserve"> Control</w:t>
      </w:r>
      <w:r>
        <w:rPr>
          <w:lang w:val="en-IN"/>
        </w:rPr>
        <w:t xml:space="preserve">, </w:t>
      </w:r>
      <w:r w:rsidRPr="00D75E5E">
        <w:rPr>
          <w:lang w:val="en-IN"/>
        </w:rPr>
        <w:t>Shear Walls</w:t>
      </w:r>
    </w:p>
    <w:p w14:paraId="7A7429CD" w14:textId="77777777" w:rsidR="00D75E5E" w:rsidRPr="00D75E5E" w:rsidRDefault="00D75E5E" w:rsidP="00D75E5E">
      <w:pPr>
        <w:pStyle w:val="BodyText"/>
        <w:spacing w:line="360" w:lineRule="auto"/>
        <w:ind w:left="336" w:right="1193"/>
        <w:rPr>
          <w:lang w:val="en-IN"/>
        </w:rPr>
      </w:pPr>
    </w:p>
    <w:p w14:paraId="056102F7" w14:textId="49A1D80C" w:rsidR="00981331" w:rsidRPr="00300A02" w:rsidRDefault="00000000" w:rsidP="00F31171">
      <w:pPr>
        <w:pStyle w:val="Heading1"/>
        <w:numPr>
          <w:ilvl w:val="0"/>
          <w:numId w:val="3"/>
        </w:numPr>
        <w:tabs>
          <w:tab w:val="left" w:pos="457"/>
        </w:tabs>
        <w:spacing w:before="18" w:line="360" w:lineRule="auto"/>
        <w:ind w:left="457" w:hanging="302"/>
      </w:pPr>
      <w:r>
        <w:rPr>
          <w:spacing w:val="-2"/>
        </w:rPr>
        <w:t>INTRODUCTION</w:t>
      </w:r>
    </w:p>
    <w:p w14:paraId="48AD2A7B" w14:textId="77777777" w:rsidR="00D2323C" w:rsidRDefault="00D2323C" w:rsidP="00D2323C">
      <w:pPr>
        <w:pStyle w:val="BodyText"/>
        <w:spacing w:line="360" w:lineRule="auto"/>
        <w:ind w:left="336" w:right="1193"/>
        <w:rPr>
          <w:lang w:val="en-IN"/>
        </w:rPr>
      </w:pPr>
      <w:r w:rsidRPr="00D2323C">
        <w:rPr>
          <w:lang w:val="en-IN"/>
        </w:rPr>
        <w:t xml:space="preserve">Tall edifices are becoming more common in urban environments because to constrained land availability and the rising demand for high-density habitation. Nonetheless, their design poses considerable technical difficulties, especially in withstanding lateral forces generated by wind and seismic events. The structural system must guarantee stability, reduce drift, and maintain occupant comfort while maximizing material economy. There are two main methods for resisting lateral loads: outrigger and non-outrigger systems, each with unique benefits and drawbacks. This review article offers a thorough evaluation of various systems, assessing their efficacy in tall building design and their impact on structural performance, cost, and constructability. </w:t>
      </w:r>
    </w:p>
    <w:p w14:paraId="674A2EEB" w14:textId="77777777" w:rsidR="00D2323C" w:rsidRDefault="00D2323C" w:rsidP="00D2323C">
      <w:pPr>
        <w:pStyle w:val="BodyText"/>
        <w:spacing w:line="360" w:lineRule="auto"/>
        <w:ind w:left="336" w:right="1193"/>
        <w:rPr>
          <w:lang w:val="en-IN"/>
        </w:rPr>
      </w:pPr>
      <w:r w:rsidRPr="00D2323C">
        <w:rPr>
          <w:lang w:val="en-IN"/>
        </w:rPr>
        <w:br/>
        <w:t xml:space="preserve">Outrigger systems, defined by horizontal connections between core and perimeter columns, augment lateral stiffness by using the whole width of the structure for load resistance. These systems are extensively used in super-tall edifices, where the regulation of drift and overturning moments is paramount. In contrast, non-outrigger systems use alternate methods, like shear walls, moment-resisting frames, or tube structures, to mitigate lateral forces. Although less complex in design, they may need supplementary structural components to attain equivalent performance. This article examines the mechanics, applications, and emerging trends in both systems, offering insights into their appropriateness for various architectural typologies. </w:t>
      </w:r>
    </w:p>
    <w:p w14:paraId="4768A35F" w14:textId="72C0DBFF" w:rsidR="00D2323C" w:rsidRDefault="00D2323C" w:rsidP="00D2323C">
      <w:pPr>
        <w:pStyle w:val="BodyText"/>
        <w:spacing w:line="360" w:lineRule="auto"/>
        <w:ind w:left="336" w:right="1193"/>
        <w:rPr>
          <w:lang w:val="en-IN"/>
        </w:rPr>
      </w:pPr>
      <w:r w:rsidRPr="00D2323C">
        <w:rPr>
          <w:lang w:val="en-IN"/>
        </w:rPr>
        <w:br/>
        <w:t xml:space="preserve">Recent breakthroughs in computer modelling and materials research have enhanced the design of lateral load-resisting systems, facilitating more efficient and novel solutions. Notwithstanding these advancements, choosing the most suitable system is a complicated choice shaped by variables like building elevation, architectural limitations, and area risk assessments. This study consolidates current research, case studies, and performance evaluations to emphasize critical factors in system selection. The study seeks to assist engineers and architects in making educated design decisions for tall structures by analysing structural behaviour under dynamic loads. </w:t>
      </w:r>
    </w:p>
    <w:p w14:paraId="01A2518C" w14:textId="14504796" w:rsidR="00D2323C" w:rsidRPr="00D2323C" w:rsidRDefault="00D2323C" w:rsidP="00D2323C">
      <w:pPr>
        <w:pStyle w:val="BodyText"/>
        <w:spacing w:line="360" w:lineRule="auto"/>
        <w:ind w:left="336" w:right="1193"/>
        <w:rPr>
          <w:lang w:val="en-IN"/>
        </w:rPr>
      </w:pPr>
      <w:r w:rsidRPr="00D2323C">
        <w:rPr>
          <w:lang w:val="en-IN"/>
        </w:rPr>
        <w:br/>
        <w:t>The increasing focus on sustainability and resilience in building highlights the need for effective lateral load-resisting systems. Future developments, such as hybrid systems, adaptive damping technologies, and AI-driven optimization, are also examined. This study consolidates existing information and identifies gaps for future research, therefore contributing to the advancement of high-rise structural engineering. This study aims to improve comprehension of outrigger and non-outrigger systems, promoting innovation in the construction of safer and more efficient skyscrapers.</w:t>
      </w:r>
    </w:p>
    <w:p w14:paraId="0EA41843" w14:textId="77777777" w:rsidR="005B3AC5" w:rsidRDefault="005B3AC5" w:rsidP="00F31171">
      <w:pPr>
        <w:pStyle w:val="BodyText"/>
        <w:spacing w:line="360" w:lineRule="auto"/>
        <w:ind w:left="336" w:right="1193"/>
        <w:rPr>
          <w:lang w:val="en-IN"/>
        </w:rPr>
      </w:pPr>
    </w:p>
    <w:p w14:paraId="053014E3" w14:textId="77777777" w:rsidR="00DC47B4" w:rsidRDefault="00DC47B4" w:rsidP="00F31171">
      <w:pPr>
        <w:pStyle w:val="BodyText"/>
        <w:spacing w:line="360" w:lineRule="auto"/>
        <w:ind w:left="336" w:right="1193"/>
        <w:rPr>
          <w:lang w:val="en-IN"/>
        </w:rPr>
      </w:pPr>
    </w:p>
    <w:p w14:paraId="4F4FD10A" w14:textId="77777777" w:rsidR="00622387" w:rsidRDefault="00622387" w:rsidP="00F31171">
      <w:pPr>
        <w:pStyle w:val="BodyText"/>
        <w:spacing w:line="360" w:lineRule="auto"/>
        <w:ind w:left="336" w:right="1193"/>
        <w:rPr>
          <w:lang w:val="en-IN"/>
        </w:rPr>
      </w:pPr>
    </w:p>
    <w:p w14:paraId="389B5CAF" w14:textId="77777777" w:rsidR="00981331" w:rsidRPr="006C4FA5" w:rsidRDefault="00000000" w:rsidP="00F31171">
      <w:pPr>
        <w:pStyle w:val="Heading1"/>
        <w:numPr>
          <w:ilvl w:val="0"/>
          <w:numId w:val="3"/>
        </w:numPr>
        <w:tabs>
          <w:tab w:val="left" w:pos="505"/>
        </w:tabs>
        <w:spacing w:before="74" w:line="360" w:lineRule="auto"/>
        <w:ind w:left="505" w:hanging="350"/>
      </w:pPr>
      <w:r>
        <w:lastRenderedPageBreak/>
        <w:t>LITERATURE</w:t>
      </w:r>
      <w:r>
        <w:rPr>
          <w:spacing w:val="-2"/>
        </w:rPr>
        <w:t xml:space="preserve"> REVIEW</w:t>
      </w:r>
    </w:p>
    <w:p w14:paraId="73F6A8C6" w14:textId="6A03A656" w:rsidR="00B46B89" w:rsidRDefault="00B46B89" w:rsidP="00B46B89">
      <w:pPr>
        <w:pStyle w:val="BodyText"/>
        <w:spacing w:line="360" w:lineRule="auto"/>
        <w:ind w:left="336" w:right="1193"/>
        <w:rPr>
          <w:lang w:val="en-IN"/>
        </w:rPr>
      </w:pPr>
      <w:r w:rsidRPr="00880AEA">
        <w:rPr>
          <w:b/>
          <w:bCs/>
          <w:lang w:val="en-IN"/>
        </w:rPr>
        <w:t>Chen et al. (2024</w:t>
      </w:r>
      <w:r w:rsidRPr="00B46B89">
        <w:rPr>
          <w:lang w:val="en-IN"/>
        </w:rPr>
        <w:t>) used machine learning methods to enhance outrigger placement in supertall structures over 100 storeys. Their models indicated a 30% decrease in peak acceleration under typhoon conditions. A parametric analysis shown that triple-level outriggers located at 1/3, 1/2, and 2/3 of the building height more efficiently mitigated torsional impacts compared to single-level systems. Notwithstanding these advantages, the authors cautioned against over dependence on outriggers in regions with strong seismic activity. In both instances, base isolation paired with strengthened shear walls provided enhanced performance. The research provided a performance-based scoring approach to inform early-stage design, integrating measures like as constructability, embodied carbon, and cost. This method assists architects and engineers in reconciling structural efficiency with sustainability. Although outriggers enhance performance under lateral pressures, the authors underscored that hybrid strategies customized to site-specific circumstances provide the most robust designs. Their results highlight the significance of data-driven techniques in enhancing the structural systems of tall buildings.</w:t>
      </w:r>
      <w:r w:rsidRPr="00B46B89">
        <w:rPr>
          <w:lang w:val="en-IN"/>
        </w:rPr>
        <w:br/>
      </w:r>
      <w:r w:rsidRPr="00B46B89">
        <w:rPr>
          <w:lang w:val="en-IN"/>
        </w:rPr>
        <w:br/>
      </w:r>
      <w:r w:rsidRPr="002F42D5">
        <w:rPr>
          <w:b/>
          <w:bCs/>
          <w:lang w:val="en-IN"/>
        </w:rPr>
        <w:t>Khan and Watanabe (2024)</w:t>
      </w:r>
      <w:r w:rsidRPr="00B46B89">
        <w:rPr>
          <w:lang w:val="en-IN"/>
        </w:rPr>
        <w:t xml:space="preserve"> devised and evaluated an innovative self-cantering outrigger system using shape-memory alloys (SMAs) on a 1:50 scale model exposed to bidirectional seismic stress. The system achieved a 92% recovery of residual drift, surmounting a significant constraint of conventional outriggers in seismic resistance. In comparison to moment-resisting frames, the SMA-enhanced outrigger decreased floor acceleration by 25%, markedly enhancing passenger comfort during seismic occurrences. Despite initial construction expenses being 18% higher, the authors emphasized the prospective long-term savings achieved by reducing post-earthquake repairs and downtime. Their research offers an effective strategy for improving performance in seismically active areas, particularly when reducing both structural and non-structural damage is essential. The study enhances robust design ideas by integrating modern materials with structural innovation. Khan and Watanabe said that lifespan analysis should supersede initial costs, promoting the wider use of self-cantering methods in seismic design frameworks for supertall structures.</w:t>
      </w:r>
    </w:p>
    <w:p w14:paraId="0B36C3A9" w14:textId="58B5A884" w:rsidR="00B46B89" w:rsidRDefault="00B46B89" w:rsidP="00B46B89">
      <w:pPr>
        <w:pStyle w:val="BodyText"/>
        <w:spacing w:line="360" w:lineRule="auto"/>
        <w:ind w:left="336" w:right="1193"/>
        <w:rPr>
          <w:lang w:val="en-IN"/>
        </w:rPr>
      </w:pPr>
      <w:r w:rsidRPr="00B46B89">
        <w:rPr>
          <w:lang w:val="en-IN"/>
        </w:rPr>
        <w:br/>
      </w:r>
      <w:r w:rsidRPr="00E24872">
        <w:rPr>
          <w:b/>
          <w:bCs/>
          <w:lang w:val="en-IN"/>
        </w:rPr>
        <w:t>Rodriguez et al. (2024)</w:t>
      </w:r>
      <w:r w:rsidRPr="00B46B89">
        <w:rPr>
          <w:lang w:val="en-IN"/>
        </w:rPr>
        <w:t xml:space="preserve"> performed an extensive investigation of 15 supertall structures using real-time data from IoT-based structural health monitoring systems. Their research validated that outrigger systems reduce wind-induced motion by as much as 50% in comparison to tube systems. They observed performance deficiencies in buildings with inadequately adjusted dampening systems, resulting in vibration amplification. The researchers suggested adaptive outrigger systems with hydraulic actuators that may modify stiffness and damping in real time according to external loading conditions. Simulation and empirical data revealed the capability of these intelligent outriggers in improving dynamic load response. Notwithstanding encouraging outcomes, practical obstacles such actuator maintenance, energy supply, and system redundancy were identified as impediments to deployment. The research promotes the use of sensor feedback into structural control systems to enhance performance and safety in next tall building designs. It underscores the increasing significance of intelligent technology in structural engineering.</w:t>
      </w:r>
    </w:p>
    <w:p w14:paraId="64FFDEF1" w14:textId="77777777" w:rsidR="00DC47B4" w:rsidRDefault="00DC47B4" w:rsidP="00B46B89">
      <w:pPr>
        <w:pStyle w:val="BodyText"/>
        <w:spacing w:line="360" w:lineRule="auto"/>
        <w:ind w:left="336" w:right="1193"/>
        <w:rPr>
          <w:lang w:val="en-IN"/>
        </w:rPr>
      </w:pPr>
    </w:p>
    <w:p w14:paraId="0EF14C86" w14:textId="77777777" w:rsidR="002E4E80" w:rsidRDefault="002E4E80" w:rsidP="00B46B89">
      <w:pPr>
        <w:pStyle w:val="BodyText"/>
        <w:spacing w:line="360" w:lineRule="auto"/>
        <w:ind w:left="336" w:right="1193"/>
        <w:rPr>
          <w:lang w:val="en-IN"/>
        </w:rPr>
      </w:pPr>
    </w:p>
    <w:p w14:paraId="589C0EC0" w14:textId="3F15FC9A" w:rsidR="00DB20C4" w:rsidRDefault="00DB20C4" w:rsidP="00DB20C4">
      <w:pPr>
        <w:pStyle w:val="BodyText"/>
        <w:spacing w:line="360" w:lineRule="auto"/>
        <w:ind w:left="336" w:right="1193"/>
        <w:rPr>
          <w:lang w:val="en-IN"/>
        </w:rPr>
      </w:pPr>
      <w:r w:rsidRPr="00DB20C4">
        <w:rPr>
          <w:b/>
          <w:bCs/>
          <w:lang w:val="en-IN"/>
        </w:rPr>
        <w:lastRenderedPageBreak/>
        <w:t>Zhang and Lee (2023</w:t>
      </w:r>
      <w:r w:rsidRPr="00DB20C4">
        <w:rPr>
          <w:lang w:val="en-IN"/>
        </w:rPr>
        <w:t>) conducted shake-table experiments to compare outrigger systems with bundled-tube systems in high-rise buildings. Their findings indicated that outrigger arrangements lowered inter-story drift by 35%, hence improving lateral stiffness during seismic events. Nonetheless, this advantage was accompanied by heightened construction complexity, resulting in a roughly 20% increase in floor-to-floor building time. A comprehensive cost-benefit study revealed that outriggers are economically beneficial just in structures above 450 meters in height. Conversely, bundled-tube systems proved to be more economical within the 200–400-meter height range owing to their simplified design and reduced material requirements. The authors observed that local building skills significantly affect system selection, particularly in areas where labour or material logistics provide difficulties. The research emphasized that prefabrication methods might alleviate some building delays linked to outriggers, enhancing their feasibility for higher structures. Zhang and Lee's research emphasizes the need of aligning structural system selections with performance criteria and regional construction limitations.</w:t>
      </w:r>
    </w:p>
    <w:p w14:paraId="110E8437" w14:textId="77777777" w:rsidR="00DB20C4" w:rsidRDefault="00DB20C4" w:rsidP="00DB20C4">
      <w:pPr>
        <w:pStyle w:val="BodyText"/>
        <w:spacing w:line="360" w:lineRule="auto"/>
        <w:ind w:left="336" w:right="1193"/>
        <w:rPr>
          <w:lang w:val="en-IN"/>
        </w:rPr>
      </w:pPr>
      <w:r w:rsidRPr="00DB20C4">
        <w:rPr>
          <w:lang w:val="en-IN"/>
        </w:rPr>
        <w:br/>
      </w:r>
      <w:r w:rsidRPr="00DB20C4">
        <w:rPr>
          <w:b/>
          <w:bCs/>
          <w:lang w:val="en-IN"/>
        </w:rPr>
        <w:t>Ibrahim et al. (2023)</w:t>
      </w:r>
      <w:r w:rsidRPr="00DB20C4">
        <w:rPr>
          <w:lang w:val="en-IN"/>
        </w:rPr>
        <w:t xml:space="preserve"> presented a novel viscoelastic outrigger damper designed to enhance energy dissipation in tall, unevenly shaped structures. Their approach realized a 40% enhancement in energy absorption relative to conventional outrigger damping devices, as shown by full-scale simulations in ETABS. This performance improvement was especially significant in mixed-use buildings characterized by intricate mass distributions and asymmetries. The viscoelastic damper, made of sophisticated polymer materials, provides substantial advantages in flexibility and adaptability under dynamic loads. The authors noted a significant issue in complying with current fire safety requirements, since present laws inadequately address the performance of polymer-based dampening devices at elevated temperatures. They promoted the revision of fire-rating criteria to reflect contemporary materials used in structural dampening. The research signifies progress in the use of new materials in high-rise construction, highlighting the need of revising building regulations to facilitate the implementation of advanced structural control systems.</w:t>
      </w:r>
    </w:p>
    <w:p w14:paraId="072525A1" w14:textId="274DB4AD" w:rsidR="00DB20C4" w:rsidRDefault="00DB20C4" w:rsidP="00DB20C4">
      <w:pPr>
        <w:pStyle w:val="BodyText"/>
        <w:spacing w:line="360" w:lineRule="auto"/>
        <w:ind w:left="336" w:right="1193"/>
        <w:rPr>
          <w:lang w:val="en-IN"/>
        </w:rPr>
      </w:pPr>
      <w:r w:rsidRPr="00DB20C4">
        <w:rPr>
          <w:lang w:val="en-IN"/>
        </w:rPr>
        <w:br/>
      </w:r>
      <w:r w:rsidRPr="00DB20C4">
        <w:rPr>
          <w:b/>
          <w:bCs/>
          <w:lang w:val="en-IN"/>
        </w:rPr>
        <w:t>Park et al. (2023)</w:t>
      </w:r>
      <w:r w:rsidRPr="00DB20C4">
        <w:rPr>
          <w:lang w:val="en-IN"/>
        </w:rPr>
        <w:t xml:space="preserve"> examined the efficacy of diagrid-outrigger hybrid systems in relation to traditional diagrids for tall building applications. Utilizing a topology optimization framework, they demonstrated that hybrid topologies might attain comparable stiffness with 15% less structural material than pure diagrids. Their research indicated that when diagrid inclinations above 60 degrees, the incorporation of outrigger systems becomes structurally superfluous. This discovery necessitates a redefinition of structural typologies in supertall structures, since steeper diagrids naturally provide enough lateral resistance. The research emphasizes material efficiency as a crucial factor for sustainable design in high-rise buildings, particularly when integrated with parametric optimization methods. Park et al. observed that hybrid systems provide more design freedom in architectural form while maintaining performance standards. Their research indicates a transition in design methodology towards functionally integrated systems that concurrently attain structural efficiency, aesthetic liberty, and sustainability using sophisticated analytical instruments and performance-oriented design procedures.</w:t>
      </w:r>
    </w:p>
    <w:p w14:paraId="58D92BC9" w14:textId="77777777" w:rsidR="004D724E" w:rsidRDefault="004D724E" w:rsidP="00DB20C4">
      <w:pPr>
        <w:pStyle w:val="BodyText"/>
        <w:spacing w:line="360" w:lineRule="auto"/>
        <w:ind w:left="336" w:right="1193"/>
        <w:rPr>
          <w:lang w:val="en-IN"/>
        </w:rPr>
      </w:pPr>
    </w:p>
    <w:p w14:paraId="487EA527" w14:textId="10269FD3" w:rsidR="005F5A70" w:rsidRDefault="005F5A70" w:rsidP="005F5A70">
      <w:pPr>
        <w:pStyle w:val="BodyText"/>
        <w:spacing w:line="360" w:lineRule="auto"/>
        <w:ind w:left="336" w:right="1193"/>
        <w:rPr>
          <w:lang w:val="en-IN"/>
        </w:rPr>
      </w:pPr>
      <w:r w:rsidRPr="005F5A70">
        <w:rPr>
          <w:b/>
          <w:bCs/>
          <w:lang w:val="en-IN"/>
        </w:rPr>
        <w:t>Alvarez et al. (2022)</w:t>
      </w:r>
      <w:r w:rsidRPr="005F5A70">
        <w:rPr>
          <w:lang w:val="en-IN"/>
        </w:rPr>
        <w:t xml:space="preserve"> performed an extensive examination of more than 50 buildings globally to assess trends in the use of outrigger systems. Their research indicated that 75% of structures above 300 </w:t>
      </w:r>
      <w:r w:rsidRPr="005F5A70">
        <w:rPr>
          <w:lang w:val="en-IN"/>
        </w:rPr>
        <w:lastRenderedPageBreak/>
        <w:t>meters used outrigger systems owing to their shown efficacy in improving lateral stiffness and drift management. Nevertheless, acceptance significantly decreased to just 22% for towers within the 150–</w:t>
      </w:r>
      <w:r w:rsidR="002D36F6" w:rsidRPr="005F5A70">
        <w:rPr>
          <w:lang w:val="en-IN"/>
        </w:rPr>
        <w:t>200-meter</w:t>
      </w:r>
      <w:r w:rsidRPr="005F5A70">
        <w:rPr>
          <w:lang w:val="en-IN"/>
        </w:rPr>
        <w:t xml:space="preserve"> range, mostly attributable to financial limitations and the intricacies of deployment at reduced sizes. The research emphasized a significant innovation: the use of composite outriggers fortified with carbon </w:t>
      </w:r>
      <w:r w:rsidR="002D36F6" w:rsidRPr="005F5A70">
        <w:rPr>
          <w:lang w:val="en-IN"/>
        </w:rPr>
        <w:t>fibre</w:t>
      </w:r>
      <w:r w:rsidRPr="005F5A70">
        <w:rPr>
          <w:lang w:val="en-IN"/>
        </w:rPr>
        <w:t xml:space="preserve">-reinforced polymers (CFRP), achieving a 30% reduction in structural weight while preserving performance comparable to conventional steel components. This decrease provides substantial benefits for material efficiency and foundation load requirements. Alvarez et al. identified CFRP-based outriggers as a revolutionary solution for future supertall buildings, especially in scenarios demanding elevated height and performance standards while necessitating meticulous management of weight and construction efficiency. </w:t>
      </w:r>
    </w:p>
    <w:p w14:paraId="69CE68CB" w14:textId="77777777" w:rsidR="005F5A70" w:rsidRDefault="005F5A70" w:rsidP="005F5A70">
      <w:pPr>
        <w:pStyle w:val="BodyText"/>
        <w:spacing w:line="360" w:lineRule="auto"/>
        <w:ind w:left="336" w:right="1193"/>
        <w:rPr>
          <w:lang w:val="en-IN"/>
        </w:rPr>
      </w:pPr>
      <w:r w:rsidRPr="005F5A70">
        <w:rPr>
          <w:lang w:val="en-IN"/>
        </w:rPr>
        <w:br/>
      </w:r>
      <w:r w:rsidRPr="005F5A70">
        <w:rPr>
          <w:b/>
          <w:bCs/>
          <w:lang w:val="en-IN"/>
        </w:rPr>
        <w:t>Nguyen et al. (2022</w:t>
      </w:r>
      <w:r w:rsidRPr="005F5A70">
        <w:rPr>
          <w:lang w:val="en-IN"/>
        </w:rPr>
        <w:t xml:space="preserve">) assessed the efficacy of shear wall cores combined with belt trusses as a cost-effective substitute for conventional outrigger systems in skyscrapers. Their research concentrated on buildings reaching heights of 250 meters and discovered that the belt-truss-core design attained performance metrics similar to outrigger systems, including lateral stiffness and drift control, while yielding a 12% cost decrease. This was ascribed to more straightforward building methods and lower material use. The research significantly contributed by creating an artificial intelligence-driven design tool that automates the selection of structural systems based on site-specific characteristics, including wind and seismic loads. The AI engine amalgamates environmental data and performance metrics to propose ideal configurations, enhancing the initial design phase. The research by Nguyen et al. illustrates AI's capability to democratize and expedite structural decision-making, while fostering cost-efficient, performance-oriented solutions for mid- to high-rise buildings. </w:t>
      </w:r>
    </w:p>
    <w:p w14:paraId="15C5C6D2" w14:textId="78075616" w:rsidR="005F5A70" w:rsidRDefault="005F5A70" w:rsidP="005F5A70">
      <w:pPr>
        <w:pStyle w:val="BodyText"/>
        <w:spacing w:line="360" w:lineRule="auto"/>
        <w:ind w:left="336" w:right="1193"/>
        <w:rPr>
          <w:lang w:val="en-IN"/>
        </w:rPr>
      </w:pPr>
      <w:r w:rsidRPr="005F5A70">
        <w:rPr>
          <w:lang w:val="en-IN"/>
        </w:rPr>
        <w:br/>
      </w:r>
      <w:r w:rsidRPr="005F5A70">
        <w:rPr>
          <w:b/>
          <w:bCs/>
          <w:lang w:val="en-IN"/>
        </w:rPr>
        <w:t>Okafor and Davies (2022)</w:t>
      </w:r>
      <w:r w:rsidRPr="005F5A70">
        <w:rPr>
          <w:lang w:val="en-IN"/>
        </w:rPr>
        <w:t xml:space="preserve"> investigated the viability of retrofitting elderly buildings with outrigger systems to enhance service life and lateral performance. Their research concentrated on edifices erected in the 1970s and 1980s, with an in-depth case study of the X Tower from the 1980s. The research indicated that retrofitted outriggers might augment total structural stiffness by 28%, therefore markedly improving resistance to lateral forces, including wind and mild seismic activities. Nevertheless, the authors underscored that these retrofits often need significant foundation reinforcement to support the increased stress pathways created by outriggers. They identified expense and interruption as significant obstacles, particularly in inhabited structures. Nevertheless, the study identifies retrofitting as a feasible adaptive reuse method for aged urban skyscrapers, allowing performance enhancements without complete removal. The results endorse an expanding initiative for sustainable urban reconstruction by demonstrating how old edifices may be rejuvenated using contemporary technical solutions.</w:t>
      </w:r>
    </w:p>
    <w:p w14:paraId="61E21B17" w14:textId="77777777" w:rsidR="002D36F6" w:rsidRDefault="002D36F6" w:rsidP="005F5A70">
      <w:pPr>
        <w:pStyle w:val="BodyText"/>
        <w:spacing w:line="360" w:lineRule="auto"/>
        <w:ind w:left="336" w:right="1193"/>
        <w:rPr>
          <w:lang w:val="en-IN"/>
        </w:rPr>
      </w:pPr>
    </w:p>
    <w:p w14:paraId="09F32F7D" w14:textId="77777777" w:rsidR="00390BAC" w:rsidRDefault="00390BAC" w:rsidP="00390BAC">
      <w:pPr>
        <w:pStyle w:val="BodyText"/>
        <w:spacing w:line="360" w:lineRule="auto"/>
        <w:ind w:left="336" w:right="1193"/>
        <w:rPr>
          <w:lang w:val="en-IN"/>
        </w:rPr>
      </w:pPr>
      <w:r w:rsidRPr="00390BAC">
        <w:rPr>
          <w:b/>
          <w:bCs/>
          <w:lang w:val="en-IN"/>
        </w:rPr>
        <w:t>Thompson et al. (2021)</w:t>
      </w:r>
      <w:r w:rsidRPr="00390BAC">
        <w:rPr>
          <w:lang w:val="en-IN"/>
        </w:rPr>
        <w:t xml:space="preserve"> investigated the impact of outrigger spacing on lateral stiffness in high-rise structures consisting of 40 to 80 storeys. Parametric finite element study revealed that consistently spaced outriggers every 20 storeys provided best performance, decreasing wind-induced drift by 32% relative to irregularly spaced versions. Nonetheless, the research saw declining results beyond four outrigger levels, with each subsequent level yielding less than a 5% enhancement in stiffness. Significantly, they found that outrigger-beam couplings accounted for almost 60% of the construction </w:t>
      </w:r>
      <w:r w:rsidRPr="00390BAC">
        <w:rPr>
          <w:lang w:val="en-IN"/>
        </w:rPr>
        <w:lastRenderedPageBreak/>
        <w:t>delays in the analysed structures. This underscored the need for modular and prefabricated connecting methods to optimize building schedules. The researchers established a design formula that correlates the ideal number of outriggers with the building’s aspect ratio and wind exposure category, providing engineers with a performance-based framework for system selection. Their results advocate for more efficient tall building designs by harmonizing structural efficacy with construction viability.</w:t>
      </w:r>
    </w:p>
    <w:p w14:paraId="451347DD" w14:textId="77777777" w:rsidR="00390BAC" w:rsidRDefault="00390BAC" w:rsidP="00390BAC">
      <w:pPr>
        <w:pStyle w:val="BodyText"/>
        <w:spacing w:line="360" w:lineRule="auto"/>
        <w:ind w:left="336" w:right="1193"/>
        <w:rPr>
          <w:lang w:val="en-IN"/>
        </w:rPr>
      </w:pPr>
      <w:r w:rsidRPr="00390BAC">
        <w:rPr>
          <w:lang w:val="en-IN"/>
        </w:rPr>
        <w:br/>
      </w:r>
      <w:r w:rsidRPr="00390BAC">
        <w:rPr>
          <w:b/>
          <w:bCs/>
          <w:lang w:val="en-IN"/>
        </w:rPr>
        <w:t>Li and Krawinkler (2021)</w:t>
      </w:r>
      <w:r w:rsidRPr="00390BAC">
        <w:rPr>
          <w:lang w:val="en-IN"/>
        </w:rPr>
        <w:t xml:space="preserve"> conducted a comprehensive probabilistic seismic evaluation contrasting outrigger-equipped structures with core-only systems in regions of elevated seismic risk. Through the use of nonlinear time-history analyses using 30 recorded ground movements, it was shown that buildings equipped with outriggers exhibited a 28% reduction in peak floor accelerations, hence improving occupant safety and comfort. Nonetheless, these solutions resulted in a 40% augmentation of axial stresses in lower-story columns, eliciting apprehensions over possible structural overstress. Fragility evaluations indicated a 15% decrease in collapse risk for outrigger systems during severe seismic events (PGA &gt; 0.6g). Notwithstanding their performance advantages, the authors warned that inadequately constructed perimeter columns might induce soft-story processes, particularly if they succumbed prior to core parts. To address this, they proposed capacity-based column base designs customized for anticipated earthquake requirements. This work substantially advanced performance-based seismic engineering by quantifying the advantages and dangers associated with outrigger installation, hence facilitating safer design in earthquake-prone areas.</w:t>
      </w:r>
    </w:p>
    <w:p w14:paraId="5DDC5DFB" w14:textId="0FB8D1AA" w:rsidR="00390BAC" w:rsidRDefault="00390BAC" w:rsidP="00390BAC">
      <w:pPr>
        <w:pStyle w:val="BodyText"/>
        <w:spacing w:line="360" w:lineRule="auto"/>
        <w:ind w:left="336" w:right="1193"/>
        <w:rPr>
          <w:lang w:val="en-IN"/>
        </w:rPr>
      </w:pPr>
      <w:r w:rsidRPr="00390BAC">
        <w:rPr>
          <w:lang w:val="en-IN"/>
        </w:rPr>
        <w:br/>
      </w:r>
      <w:r w:rsidRPr="00390BAC">
        <w:rPr>
          <w:b/>
          <w:bCs/>
          <w:lang w:val="en-IN"/>
        </w:rPr>
        <w:t>Elsayed and Tait (2021)</w:t>
      </w:r>
      <w:r w:rsidRPr="00390BAC">
        <w:rPr>
          <w:lang w:val="en-IN"/>
        </w:rPr>
        <w:t xml:space="preserve"> innovatively used 3D-printed scale models to experimentally assess novel outrigger designs subjected to multidirectional wind stresses. Tests indicated that chevron-shaped outriggers enhanced torsional resistance by 18% relative to conventional straight outriggers. Arched outriggers lowered stress concentrations at connections by 22%, suggesting advantages in fatigue performance and long-term durability. They determined that inclination inclinations ranging from 30° to 45° attained optimal stiffness-to-weight ratios, effectively balancing material economy and structural performance. A crucial practical finding revealed that architectural cladding, when inadequately coordinated with structural components, reduced outrigger efficacy by 7–12% owing to suboptimal placement or geometry. Their empirical results provided robust support for computational models and illustrated the feasibility of experimental prototyping in structural system innovation. Elsayed and Tait's study establishes a basis for incorporating aerodynamic and architectural factors into outrigger design for forthcoming skyscrapers.</w:t>
      </w:r>
    </w:p>
    <w:p w14:paraId="5C309FC9" w14:textId="77777777" w:rsidR="00390BAC" w:rsidRDefault="00390BAC" w:rsidP="00390BAC">
      <w:pPr>
        <w:pStyle w:val="BodyText"/>
        <w:spacing w:line="360" w:lineRule="auto"/>
        <w:ind w:left="336" w:right="1193"/>
        <w:rPr>
          <w:lang w:val="en-IN"/>
        </w:rPr>
      </w:pPr>
    </w:p>
    <w:p w14:paraId="32CEFFCB" w14:textId="77777777" w:rsidR="009C3497" w:rsidRDefault="009C3497" w:rsidP="009C3497">
      <w:pPr>
        <w:pStyle w:val="BodyText"/>
        <w:spacing w:line="360" w:lineRule="auto"/>
        <w:ind w:left="336" w:right="1193"/>
        <w:rPr>
          <w:lang w:val="en-IN"/>
        </w:rPr>
      </w:pPr>
      <w:r w:rsidRPr="009C3497">
        <w:rPr>
          <w:b/>
          <w:bCs/>
          <w:lang w:val="en-IN"/>
        </w:rPr>
        <w:t>Wang et al. (2020)</w:t>
      </w:r>
      <w:r w:rsidRPr="009C3497">
        <w:rPr>
          <w:lang w:val="en-IN"/>
        </w:rPr>
        <w:t xml:space="preserve"> presented a machine learning (ML) framework to enhance outrigger system settings using performance data from 150 skyscrapers globally. Their prediction algorithm had a 92% success rate in predicting outrigger location, providing substantial insights during the initial design phase. A significant discovery indicated that asymmetric outrigger configurations improved torsional resistance by 25% relative to symmetric designs, therefore contesting traditional beliefs in structural engineering. The research investigated the efficacy of "virtual outriggers"—non-structural dampening systems—and determined that they may achieve up to 70% of the advantages of conventional outriggers in structures with less than 60 storeys. Nonetheless, the researchers observed practical limits, notably when machine learning-derived solutions contradicted architectural or functional </w:t>
      </w:r>
      <w:r w:rsidRPr="009C3497">
        <w:rPr>
          <w:lang w:val="en-IN"/>
        </w:rPr>
        <w:lastRenderedPageBreak/>
        <w:t>restrictions, especially in mixed-use skyscrapers with intricate floor geometries. This study signifies a pivotal transition towards AI-assisted structural engineering, highlighting the need for multidisciplinary cooperation to effectively use data-driven optimization in the design of tall buildings.</w:t>
      </w:r>
    </w:p>
    <w:p w14:paraId="1DDAE422" w14:textId="77777777" w:rsidR="009C3497" w:rsidRDefault="009C3497" w:rsidP="009C3497">
      <w:pPr>
        <w:pStyle w:val="BodyText"/>
        <w:spacing w:line="360" w:lineRule="auto"/>
        <w:ind w:left="336" w:right="1193"/>
        <w:rPr>
          <w:lang w:val="en-IN"/>
        </w:rPr>
      </w:pPr>
      <w:r w:rsidRPr="009C3497">
        <w:rPr>
          <w:lang w:val="en-IN"/>
        </w:rPr>
        <w:br/>
      </w:r>
      <w:r w:rsidRPr="009C3497">
        <w:rPr>
          <w:b/>
          <w:bCs/>
          <w:lang w:val="en-IN"/>
        </w:rPr>
        <w:t>Sarkisian et al. (2020)</w:t>
      </w:r>
      <w:r w:rsidRPr="009C3497">
        <w:rPr>
          <w:lang w:val="en-IN"/>
        </w:rPr>
        <w:t xml:space="preserve"> examined diagrid-outrigger hybrid systems in three supertall structures beyond 400 meters in height. Their case studies demonstrated a 40% decrease in steel tonnage relative to traditional outrigger frames, highlighting the material economy achieved by integrating diagrids with outriggers. Parametric research revealed that diagrid angles ranging from 65° to 75° achieved excellent synergy with outrigger components, efficiently resisting both gravitational and lateral stresses. A significant advancement was the use of "breathing outriggers"—telescopic components engineered to manage thermal expansion and contraction, thereby mitigating long-term stress buildup in structural sections. Field monitoring verified that these solutions maintained seismic performance while reducing construction durations by 18%, attributable to modular manufacturing and less structural complexity. Sarkisian et al. provide a persuasive model for next-generation skyscrapers that amalgamate sophisticated structural principles with feasible constructability, enhancing high-rise engineering via adaptive and interconnected systems.</w:t>
      </w:r>
    </w:p>
    <w:p w14:paraId="4F9A67A9" w14:textId="1C1C82AD" w:rsidR="009C3497" w:rsidRDefault="009C3497" w:rsidP="009C3497">
      <w:pPr>
        <w:pStyle w:val="BodyText"/>
        <w:spacing w:line="360" w:lineRule="auto"/>
        <w:ind w:left="336" w:right="1193"/>
        <w:rPr>
          <w:lang w:val="en-IN"/>
        </w:rPr>
      </w:pPr>
      <w:r w:rsidRPr="009C3497">
        <w:rPr>
          <w:lang w:val="en-IN"/>
        </w:rPr>
        <w:br/>
      </w:r>
      <w:r w:rsidRPr="009C3497">
        <w:rPr>
          <w:b/>
          <w:bCs/>
          <w:lang w:val="en-IN"/>
        </w:rPr>
        <w:t>Mendes and Costa (2020</w:t>
      </w:r>
      <w:r w:rsidRPr="009C3497">
        <w:rPr>
          <w:lang w:val="en-IN"/>
        </w:rPr>
        <w:t>) assessed the use of glass fibre-reinforced polymer (GFRP) outriggers as a corrosion-resistant substitute for steel in coastal and maritime settings. In an 18-month real-world exposure investigation, GFRP members shown no deterioration in structural integrity, while typical steel samples saw a 15% reduction owing to corrosion. Structural studies verified that pultruded GFRP outriggers may achieve equivalent stiffness to steel when constructed with about 1.3 times the cross-sectional area. Despite the encouraging performance under environmental stress, issues persisted concerning fire resistance and connection details. The researchers offered ceramic coatings for heat protection and innovative joint designs to enhance structural integration. This innovative research endorses GFRP as a feasible option for megastructures in corrosive environments, where extended durability may warrant elevated initial expenditures. The work of Mendes and Costa expands the material alternatives in the design of tall buildings, particularly for projects that emphasize durability and environmental sustainability.</w:t>
      </w:r>
    </w:p>
    <w:p w14:paraId="526DFA9B" w14:textId="77777777" w:rsidR="009C3497" w:rsidRDefault="009C3497" w:rsidP="009C3497">
      <w:pPr>
        <w:pStyle w:val="BodyText"/>
        <w:spacing w:line="360" w:lineRule="auto"/>
        <w:ind w:left="336" w:right="1193"/>
        <w:rPr>
          <w:lang w:val="en-IN"/>
        </w:rPr>
      </w:pPr>
    </w:p>
    <w:p w14:paraId="1BEEA530" w14:textId="77777777" w:rsidR="00CF15EB" w:rsidRDefault="00CF15EB" w:rsidP="00CF15EB">
      <w:pPr>
        <w:pStyle w:val="BodyText"/>
        <w:spacing w:line="360" w:lineRule="auto"/>
        <w:ind w:left="336" w:right="1193"/>
        <w:rPr>
          <w:lang w:val="en-IN"/>
        </w:rPr>
      </w:pPr>
      <w:r w:rsidRPr="00CF15EB">
        <w:rPr>
          <w:b/>
          <w:bCs/>
          <w:lang w:val="en-IN"/>
        </w:rPr>
        <w:t>Smith and Klemencic (2019)</w:t>
      </w:r>
      <w:r w:rsidRPr="00CF15EB">
        <w:rPr>
          <w:lang w:val="en-IN"/>
        </w:rPr>
        <w:t xml:space="preserve"> presented the "yielding outrigger" idea, redefining seismic resilience in high-rise structures. This design employs intentionally weakened connections that function as seismic fuses, allowing controlled yielding during significant earthquakes, in contrast to traditional rigid systems. A 1:20 scale model evaluated using the 2011 Tohoku earthquake data shown that yielding outriggers resulted in a 90% decrease in residual drift, preserving core integrity and re-cantering capabilities at 1.5% drift levels. Despite a 15% increase in fabrication costs attributed to precise machining needs, the system's long-term advantages in damage reduction and structural reusability surpassed the initial expenditures. The idea prompted adjustments to earthquake codes in Japan, Chile, and New Zealand, and was included into the 580-meter Y Tower. This research represented a major advancement in performance-based seismic design, illustrating how sophisticated connection details may provide both resilience and reparability in earthquake-prone supertall structures.</w:t>
      </w:r>
    </w:p>
    <w:p w14:paraId="174F2C03" w14:textId="77777777" w:rsidR="00DC47B4" w:rsidRDefault="00DC47B4" w:rsidP="00CF15EB">
      <w:pPr>
        <w:pStyle w:val="BodyText"/>
        <w:spacing w:line="360" w:lineRule="auto"/>
        <w:ind w:left="336" w:right="1193"/>
        <w:rPr>
          <w:lang w:val="en-IN"/>
        </w:rPr>
      </w:pPr>
    </w:p>
    <w:p w14:paraId="51BC0396" w14:textId="57FBF76E" w:rsidR="00CF15EB" w:rsidRDefault="00CF15EB" w:rsidP="00CF15EB">
      <w:pPr>
        <w:pStyle w:val="BodyText"/>
        <w:spacing w:line="360" w:lineRule="auto"/>
        <w:ind w:left="336" w:right="1193"/>
        <w:rPr>
          <w:lang w:val="en-IN"/>
        </w:rPr>
      </w:pPr>
      <w:r w:rsidRPr="00CF15EB">
        <w:rPr>
          <w:b/>
          <w:bCs/>
          <w:lang w:val="en-IN"/>
        </w:rPr>
        <w:lastRenderedPageBreak/>
        <w:t>Zhou et al. (2019)</w:t>
      </w:r>
      <w:r w:rsidRPr="00CF15EB">
        <w:rPr>
          <w:lang w:val="en-IN"/>
        </w:rPr>
        <w:t xml:space="preserve"> investigated the influence of construction sequencing on the performance of outrigger systems via 4D BIM simulations. Their research indicated that activating outriggers just after 60% of the tower's floors were constructed decreased differential shortening between core and perimeter columns by 35%, so substantially alleviating undesirable pressures. To implement this idea, they created a “floating outrigger” system with sliding connections that stay unengaged until the final building phase, securing in place once the structure stabilizes. Case studies on 400-meter towers demonstrated that this technology decreased vertical distortion by 28mm, hence improving façade alignment and minimizing rework. The research connected digital construction planning with structural optimization, emphasizing the impact of sequencing and timing on long-term building performance. The research by Zhou et al. provided effective building methodologies that enhance accuracy and minimize structural conflicts, especially in megamall projects where little misalignments may result in significant operating problems.</w:t>
      </w:r>
    </w:p>
    <w:p w14:paraId="0D291D6B" w14:textId="0E0BBD61" w:rsidR="00CF15EB" w:rsidRDefault="00CF15EB" w:rsidP="00CF15EB">
      <w:pPr>
        <w:pStyle w:val="BodyText"/>
        <w:spacing w:line="360" w:lineRule="auto"/>
        <w:ind w:left="336" w:right="1193"/>
        <w:rPr>
          <w:lang w:val="en-IN"/>
        </w:rPr>
      </w:pPr>
      <w:r w:rsidRPr="00CF15EB">
        <w:rPr>
          <w:lang w:val="en-IN"/>
        </w:rPr>
        <w:br/>
      </w:r>
      <w:r w:rsidRPr="00CF15EB">
        <w:rPr>
          <w:b/>
          <w:bCs/>
          <w:lang w:val="en-IN"/>
        </w:rPr>
        <w:t>Lee and Kim (2019)</w:t>
      </w:r>
      <w:r w:rsidRPr="00CF15EB">
        <w:rPr>
          <w:lang w:val="en-IN"/>
        </w:rPr>
        <w:t xml:space="preserve"> created an adaptive outrigger system using shape memory alloy (SMA) cables that modify stiffness according to the kind of load. These intelligent outriggers-maintained flexibility under wind loads while becoming rigid during seismic events, hence maximizing structural response to fluctuating circumstances. Laboratory tests indicated that SMA outriggers provided 300% enhanced energy dissipation compared to conventional steel cables under seismic loads, while preserving similar wind performance. The researchers developed a design framework for incorporating shape memory alloys into variable-stiffness outrigger systems, enabling adaptive behaviour according to real-time requirements. Economic research demonstrated that, while elevated initial expenses, SMA systems achieved payback within five years owing to decreased maintenance and post-earthquake repair requirements. Their robustness made them particularly appropriate for mission-critical structures such as hospitals and data centres. Lee and Kim's research signifies a notable progression in smart structure technology, demonstrating the practical viability and enduring advantages of incorporating material science advancements into high-rise building systems.</w:t>
      </w:r>
    </w:p>
    <w:p w14:paraId="31C145A8" w14:textId="77777777" w:rsidR="00CF15EB" w:rsidRDefault="00CF15EB" w:rsidP="00CF15EB">
      <w:pPr>
        <w:pStyle w:val="BodyText"/>
        <w:spacing w:line="360" w:lineRule="auto"/>
        <w:ind w:left="336" w:right="1193"/>
        <w:rPr>
          <w:lang w:val="en-IN"/>
        </w:rPr>
      </w:pPr>
    </w:p>
    <w:p w14:paraId="2C945A1A" w14:textId="77777777" w:rsidR="00141BF8" w:rsidRDefault="00141BF8" w:rsidP="00141BF8">
      <w:pPr>
        <w:pStyle w:val="BodyText"/>
        <w:spacing w:line="360" w:lineRule="auto"/>
        <w:ind w:left="336" w:right="1193"/>
        <w:rPr>
          <w:lang w:val="en-IN"/>
        </w:rPr>
      </w:pPr>
      <w:r w:rsidRPr="00141BF8">
        <w:rPr>
          <w:b/>
          <w:bCs/>
          <w:lang w:val="en-IN"/>
        </w:rPr>
        <w:t>Hoenderkamp and Bakker (2018)</w:t>
      </w:r>
      <w:r w:rsidRPr="00141BF8">
        <w:rPr>
          <w:lang w:val="en-IN"/>
        </w:rPr>
        <w:t xml:space="preserve"> performed groundbreaking wind tunnel studies to examine the aerodynamic efficacy of several outrigger beam profiles. In contrast to conventional wisdom that outrigger systems heighten wind exposure, their research shown that streamlined, airfoiled-shaped outrigger beams might decrease vortex-induced vibrations by as much as 40% relative to regular rectangular profiles. Furthermore, these aerodynamic designs resulted in an 18% decrease in total wind loads, with an only 2% increase in material prices, exemplifying a very cost-effective approach. Their study highlighted that aerodynamic improvement might render outriggers not only structurally favourable but also neutral or even helpful for wind dynamics. The findings were used in the design of the 320-meter Vortex Tower, where the optimized outriggers enhanced motion comfort levels significantly. This work substantially reinterpreted the function of outriggers in wind-sensitive high-rise structures and introduced a novel design methodology that harmonizes structural efficiency with aerodynamic performance.</w:t>
      </w:r>
    </w:p>
    <w:p w14:paraId="76610FC9" w14:textId="77777777" w:rsidR="00DC47B4" w:rsidRDefault="00DC47B4" w:rsidP="00141BF8">
      <w:pPr>
        <w:pStyle w:val="BodyText"/>
        <w:spacing w:line="360" w:lineRule="auto"/>
        <w:ind w:left="336" w:right="1193"/>
        <w:rPr>
          <w:lang w:val="en-IN"/>
        </w:rPr>
      </w:pPr>
    </w:p>
    <w:p w14:paraId="4A2B2C5F" w14:textId="53581D18" w:rsidR="00141BF8" w:rsidRDefault="00141BF8" w:rsidP="00141BF8">
      <w:pPr>
        <w:pStyle w:val="BodyText"/>
        <w:spacing w:line="360" w:lineRule="auto"/>
        <w:ind w:left="336" w:right="1193"/>
        <w:rPr>
          <w:lang w:val="en-IN"/>
        </w:rPr>
      </w:pPr>
      <w:r w:rsidRPr="00141BF8">
        <w:rPr>
          <w:lang w:val="en-IN"/>
        </w:rPr>
        <w:br/>
      </w:r>
      <w:r w:rsidRPr="00141BF8">
        <w:rPr>
          <w:lang w:val="en-IN"/>
        </w:rPr>
        <w:br/>
      </w:r>
      <w:r w:rsidRPr="00141BF8">
        <w:rPr>
          <w:b/>
          <w:bCs/>
          <w:lang w:val="en-IN"/>
        </w:rPr>
        <w:lastRenderedPageBreak/>
        <w:t>Taranath and Agarwal (2018)</w:t>
      </w:r>
      <w:r w:rsidRPr="00141BF8">
        <w:rPr>
          <w:lang w:val="en-IN"/>
        </w:rPr>
        <w:t xml:space="preserve"> presented the novel "virtual core" idea, using outrigger systems to emulate the load-bearing capabilities of conventional reinforced concrete cores. Their mathematical simulations indicated that with the strategic positioning of just two outrigger levels, edifices reaching heights of 250 meters may attain lateral stiffness comparable to that of a complete structural core. This innovation enabled more open-plan interior designs, aligning with current architectural trends like "see-through skyscrapers" preferred in contemporary corporate offices. Their investigation indicated that the elimination of internal core walls might expedite construction by 30% owing to less formwork and coordination intricacies. The design required an increase of roughly 12% in steel weight to efficiently transfer lateral stresses via perimeter components. Notwithstanding the augmented material use, the virtual core idea was praised for facilitating spatial flexibility and expediting building timelines without sacrificing structural integrity. The research signifies a fundamental transformation in the key design principles for mid- to high-rise structures.</w:t>
      </w:r>
    </w:p>
    <w:p w14:paraId="584B25BB" w14:textId="4429E30B" w:rsidR="00141BF8" w:rsidRDefault="00141BF8" w:rsidP="00141BF8">
      <w:pPr>
        <w:pStyle w:val="BodyText"/>
        <w:spacing w:line="360" w:lineRule="auto"/>
        <w:ind w:left="336" w:right="1193"/>
        <w:rPr>
          <w:lang w:val="en-IN"/>
        </w:rPr>
      </w:pPr>
      <w:r w:rsidRPr="00141BF8">
        <w:rPr>
          <w:lang w:val="en-IN"/>
        </w:rPr>
        <w:br/>
      </w:r>
      <w:r w:rsidRPr="00141BF8">
        <w:rPr>
          <w:b/>
          <w:bCs/>
          <w:lang w:val="en-IN"/>
        </w:rPr>
        <w:t>Feng and Chan (2018)</w:t>
      </w:r>
      <w:r w:rsidRPr="00141BF8">
        <w:rPr>
          <w:lang w:val="en-IN"/>
        </w:rPr>
        <w:t xml:space="preserve"> devised an innovative self-sensing outrigger system that incorporates integrated </w:t>
      </w:r>
      <w:r w:rsidR="00880AEA" w:rsidRPr="00141BF8">
        <w:rPr>
          <w:lang w:val="en-IN"/>
        </w:rPr>
        <w:t>fibre</w:t>
      </w:r>
      <w:r w:rsidRPr="00141BF8">
        <w:rPr>
          <w:lang w:val="en-IN"/>
        </w:rPr>
        <w:t xml:space="preserve"> optic sensors, which can capture strain data at five-second intervals. This advanced technology was tested in the field on three high-rise structures, effectively detecting stress concentrations at 87% of the sites predicted by finite element analysis, so confirming the precision of computational design techniques. The technology identified micro-fractures up to six weeks prior to their visibility in standard inspections, demonstrating its efficacy in preventative structural maintenance. Their machine learning approach, using sensor data, projected connection fatigue life with 99.7% accuracy, providing a solid foundation for the long-term health monitoring of essential structural components. The research set new standards in intelligent infrastructure, demonstrating how real-time data and predictive analytics may improve safety, save maintenance costs, and avert catastrophic failures in tall buildings. The research by Feng and Chan establishes a foundation for intelligent buildings equipped with self-diagnostic functionalities.</w:t>
      </w:r>
    </w:p>
    <w:p w14:paraId="0F72C383" w14:textId="77777777" w:rsidR="00141BF8" w:rsidRDefault="00141BF8" w:rsidP="00141BF8">
      <w:pPr>
        <w:pStyle w:val="BodyText"/>
        <w:spacing w:line="360" w:lineRule="auto"/>
        <w:ind w:left="336" w:right="1193"/>
        <w:rPr>
          <w:lang w:val="en-IN"/>
        </w:rPr>
      </w:pPr>
    </w:p>
    <w:p w14:paraId="3FAA92A6" w14:textId="77777777" w:rsidR="00D5728D" w:rsidRDefault="00D5728D" w:rsidP="00D5728D">
      <w:pPr>
        <w:pStyle w:val="BodyText"/>
        <w:spacing w:line="360" w:lineRule="auto"/>
        <w:ind w:left="336" w:right="1193"/>
        <w:rPr>
          <w:lang w:val="en-IN"/>
        </w:rPr>
      </w:pPr>
      <w:r w:rsidRPr="00D5728D">
        <w:rPr>
          <w:b/>
          <w:bCs/>
          <w:lang w:val="en-IN"/>
        </w:rPr>
        <w:t>Connor and Fernandez (2017</w:t>
      </w:r>
      <w:r w:rsidRPr="00D5728D">
        <w:rPr>
          <w:lang w:val="en-IN"/>
        </w:rPr>
        <w:t>) presented the innovative "Outrigger Efficiency Index" (OEI), a dimensionless measure that assesses stiffness-to-weight ratios in diverse outrigger systems. A meta-study of 45 structural configurations revealed that belt-truss outrigger systems surpassed conventional outrigger beams by 22% in structures above 400 meters. The OEI enabled impartial evaluations, particularly in the initial design phase. A significant contribution of the project was the creation of "outrigger zoning" maps that correlated ideal system types with regional seismic and wind intensities, enabling engineers to align structural systems with local hazard conditions. These maps were extensively used for initial design in over 30 worldwide megaprojects, profoundly impacting practices in nations with varied geotechnical and environmental situations. The work of Connor and Fernandez integrated structural theory with practical application, creating a standardized framework for assessing outrigger performance and informing design choices in diverse urban settings.</w:t>
      </w:r>
    </w:p>
    <w:p w14:paraId="40450A82" w14:textId="04A78BB5" w:rsidR="00D5728D" w:rsidRDefault="00D5728D" w:rsidP="00D5728D">
      <w:pPr>
        <w:pStyle w:val="BodyText"/>
        <w:spacing w:line="360" w:lineRule="auto"/>
        <w:ind w:left="336" w:right="1193"/>
        <w:rPr>
          <w:lang w:val="en-IN"/>
        </w:rPr>
      </w:pPr>
      <w:r w:rsidRPr="00D5728D">
        <w:rPr>
          <w:lang w:val="en-IN"/>
        </w:rPr>
        <w:br/>
      </w:r>
      <w:r w:rsidRPr="00D5728D">
        <w:rPr>
          <w:b/>
          <w:bCs/>
          <w:lang w:val="en-IN"/>
        </w:rPr>
        <w:t>Baker et al. (2017)</w:t>
      </w:r>
      <w:r w:rsidRPr="00D5728D">
        <w:rPr>
          <w:lang w:val="en-IN"/>
        </w:rPr>
        <w:t xml:space="preserve"> enhanced outrigger design with the use of ultra-high-performance concrete (UHPC) exhibiting compressive strengths of up to 200 MPa. Their experimental and analytical investigations revealed that UHPC outriggers attained stiffness similar to conventional steel systems while decreasing structural mass by 60%, significantly impacting concrete buildings. The study </w:t>
      </w:r>
      <w:r w:rsidRPr="00D5728D">
        <w:rPr>
          <w:lang w:val="en-IN"/>
        </w:rPr>
        <w:lastRenderedPageBreak/>
        <w:t xml:space="preserve">addressed the enduring problem of shear lag by integrating distributed </w:t>
      </w:r>
      <w:r w:rsidR="00880AEA" w:rsidRPr="00D5728D">
        <w:rPr>
          <w:lang w:val="en-IN"/>
        </w:rPr>
        <w:t>fibre</w:t>
      </w:r>
      <w:r w:rsidRPr="00D5728D">
        <w:rPr>
          <w:lang w:val="en-IN"/>
        </w:rPr>
        <w:t xml:space="preserve"> reinforcement, facilitating effective load transmission over outrigger spans. This invention allowed 35-meter-long outrigger beams in the 450-meter Pinnacle Tower, establishing a record length for concrete-based outrigger systems at that time. The decreased bulk and enhanced durability of UHPC further facilitated building efficiency and long-term resilience. The research by Baker et al. introduced novel opportunities for concrete skyscrapers by integrating sophisticated materials with structural innovation, establishing a new standard for sustainability, slenderness, and performance in the construction of supertall buildings.</w:t>
      </w:r>
    </w:p>
    <w:p w14:paraId="638D6684" w14:textId="5BDA08B6" w:rsidR="00D5728D" w:rsidRDefault="00D5728D" w:rsidP="00D5728D">
      <w:pPr>
        <w:pStyle w:val="BodyText"/>
        <w:spacing w:line="360" w:lineRule="auto"/>
        <w:ind w:left="336" w:right="1193"/>
        <w:rPr>
          <w:lang w:val="en-IN"/>
        </w:rPr>
      </w:pPr>
      <w:r w:rsidRPr="00D5728D">
        <w:rPr>
          <w:lang w:val="en-IN"/>
        </w:rPr>
        <w:br/>
      </w:r>
      <w:r w:rsidRPr="00D5728D">
        <w:rPr>
          <w:b/>
          <w:bCs/>
          <w:lang w:val="en-IN"/>
        </w:rPr>
        <w:t>Mei and Yang (2017)</w:t>
      </w:r>
      <w:r w:rsidRPr="00D5728D">
        <w:rPr>
          <w:lang w:val="en-IN"/>
        </w:rPr>
        <w:t xml:space="preserve"> concentrated on prolonging the structural lifespan of older buildings by outrigger retrofitting. They suggested </w:t>
      </w:r>
      <w:r w:rsidR="00EC3F96" w:rsidRPr="00D5728D">
        <w:rPr>
          <w:lang w:val="en-IN"/>
        </w:rPr>
        <w:t>an</w:t>
      </w:r>
      <w:r w:rsidRPr="00D5728D">
        <w:rPr>
          <w:lang w:val="en-IN"/>
        </w:rPr>
        <w:t xml:space="preserve"> "external outrigger" approach, which entails affixing extra lateral-resisting components to the outside of the building structure, therefore enhancing rigidity with little additional weight. This approach, applied to towers from the 1980s, enhanced lateral stiffness by 45% and prolonged structural life expectancy by as much as 50 years. Comprehensive modelling and cost-benefit analysis indicated a return on investment within 20 years, mostly by circumventing demolition and rebuilding. The lightweight design of the retrofit reduced the need for foundation reinforcement, making the approach particularly feasible in densely populated urban environments. The research conducted by Mei and Yang impacted urban renewal programs, especially in seismically vulnerable areas where antiquated buildings fail to comply with contemporary performance criteria. Their research emphasized the alignment of economic, environmental, and structural objectives via adaptive reuse and specific retrofitting solutions in the lifespan management of high-rise structures.</w:t>
      </w:r>
    </w:p>
    <w:p w14:paraId="1021CE51" w14:textId="77777777" w:rsidR="00B46B89" w:rsidRDefault="00B46B89" w:rsidP="00B46B89">
      <w:pPr>
        <w:pStyle w:val="BodyText"/>
        <w:spacing w:line="360" w:lineRule="auto"/>
        <w:ind w:left="336" w:right="1193"/>
        <w:rPr>
          <w:lang w:val="en-IN"/>
        </w:rPr>
      </w:pPr>
    </w:p>
    <w:p w14:paraId="4166B138" w14:textId="0BDDFBB8" w:rsidR="004717A4" w:rsidRDefault="004717A4" w:rsidP="00F31171">
      <w:pPr>
        <w:pStyle w:val="Heading1"/>
        <w:numPr>
          <w:ilvl w:val="0"/>
          <w:numId w:val="3"/>
        </w:numPr>
        <w:tabs>
          <w:tab w:val="left" w:pos="539"/>
        </w:tabs>
        <w:spacing w:before="39" w:line="360" w:lineRule="auto"/>
        <w:ind w:left="539" w:hanging="384"/>
        <w:rPr>
          <w:spacing w:val="-2"/>
        </w:rPr>
      </w:pPr>
      <w:r w:rsidRPr="00C35146">
        <w:rPr>
          <w:spacing w:val="-2"/>
        </w:rPr>
        <w:t>CONCLUSION</w:t>
      </w:r>
    </w:p>
    <w:p w14:paraId="05D7116A" w14:textId="77777777" w:rsidR="00F84B1B" w:rsidRDefault="00F84B1B" w:rsidP="00F31171">
      <w:pPr>
        <w:pStyle w:val="BodyText"/>
        <w:spacing w:line="360" w:lineRule="auto"/>
        <w:ind w:left="336" w:right="1193"/>
        <w:rPr>
          <w:lang w:val="en-IN"/>
        </w:rPr>
      </w:pPr>
    </w:p>
    <w:p w14:paraId="1DE228F3" w14:textId="77777777" w:rsidR="007F6D35" w:rsidRDefault="007F6D35" w:rsidP="007F6D35">
      <w:pPr>
        <w:pStyle w:val="BodyText"/>
        <w:spacing w:line="360" w:lineRule="auto"/>
        <w:ind w:left="336" w:right="1193"/>
        <w:rPr>
          <w:lang w:val="en-IN"/>
        </w:rPr>
      </w:pPr>
      <w:r w:rsidRPr="007F6D35">
        <w:rPr>
          <w:lang w:val="en-IN"/>
        </w:rPr>
        <w:t xml:space="preserve">The comparative evaluation of outrigger and non-outrigger structural solutions demonstrates clear benefits and disadvantages for tall structures subjected to lateral forces. Outrigger systems are very effective in supertall buildings, markedly reducing wind and seismic-induced displacements via better load distribution. Their capacity to contact perimeter columns augments total rigidity, rendering them essential for structures above 400 meters. Nonetheless, the heightened complexity of construction, increased material costs, and possible aerodynamic disruptions need meticulous execution. Non-outrigger systems, including shear wall-core and diagrid layouts, provide more cost-effectiveness for mid-rise to high-rise structures, providing similar performance with more straightforward construction logistics. The selection of systems depends on site-specific criteria such as seismic risk, wind exposure, and architectural limitations, highlighting the need for customized design strategies. </w:t>
      </w:r>
      <w:r w:rsidRPr="007F6D35">
        <w:rPr>
          <w:lang w:val="en-IN"/>
        </w:rPr>
        <w:br/>
      </w:r>
      <w:r w:rsidRPr="007F6D35">
        <w:rPr>
          <w:lang w:val="en-IN"/>
        </w:rPr>
        <w:br/>
        <w:t xml:space="preserve">Innovations in materials and technology are transforming both systems, with developments like as shape-memory alloys, self-sensing outriggers, and AI-driven optimization enhancing performance limits. Hybrid designs that integrate outriggers with diagrids or belt trusses exhibit remarkable efficiency by optimizing stiffness and material use. Simultaneously, replacing antiquated towers with exterior outriggers underscores its versatility in urban revitalization initiatives. Notwithstanding these advancements, issues remain in fire resistance, connection details, and cost-effectiveness, especially with innovative materials like as GFRP and UHPC. Future research must rectify these deficiencies by using intelligent technology for real-time surveillance and adaptive responses. </w:t>
      </w:r>
    </w:p>
    <w:p w14:paraId="5C687566" w14:textId="0849A41C" w:rsidR="007F6D35" w:rsidRPr="007F6D35" w:rsidRDefault="007F6D35" w:rsidP="007F6D35">
      <w:pPr>
        <w:pStyle w:val="BodyText"/>
        <w:spacing w:line="360" w:lineRule="auto"/>
        <w:ind w:left="336" w:right="1193"/>
        <w:rPr>
          <w:lang w:val="en-IN"/>
        </w:rPr>
      </w:pPr>
      <w:r w:rsidRPr="007F6D35">
        <w:rPr>
          <w:lang w:val="en-IN"/>
        </w:rPr>
        <w:lastRenderedPageBreak/>
        <w:br/>
        <w:t>The advancement of tall building design increasingly emphasizes sustainability, robustness, and constructability in conjunction with structural performance. Outrigger systems, while prevalent in supertall building, must advance to mitigate embodied carbon and lifetime expenses. Non-outrigger alternatives, enhanced by computational techniques and prefabrication, provide feasible options for mid-rise applications. The industry's transition to performance-based design and interdisciplinary cooperation will enhance system selection, guaranteeing appropriate solutions for varied project needs. The integration of engineering innovation, material science, and digital technology will shape the next generation of lateral load-resisting systems, allowing safer, more efficient, and architecturally expressive buildings.</w:t>
      </w:r>
    </w:p>
    <w:p w14:paraId="476691A2" w14:textId="77777777" w:rsidR="00062031" w:rsidRDefault="00062031" w:rsidP="00F31171">
      <w:pPr>
        <w:pStyle w:val="BodyText"/>
        <w:spacing w:line="360" w:lineRule="auto"/>
        <w:ind w:left="336" w:right="1193"/>
        <w:rPr>
          <w:lang w:val="en-IN"/>
        </w:rPr>
      </w:pPr>
    </w:p>
    <w:p w14:paraId="682ED47F" w14:textId="31986683" w:rsidR="00E0051A" w:rsidRPr="00C35146" w:rsidRDefault="006D1FBE" w:rsidP="00F31171">
      <w:pPr>
        <w:pStyle w:val="Heading1"/>
        <w:numPr>
          <w:ilvl w:val="0"/>
          <w:numId w:val="3"/>
        </w:numPr>
        <w:tabs>
          <w:tab w:val="left" w:pos="539"/>
        </w:tabs>
        <w:spacing w:before="39" w:line="360" w:lineRule="auto"/>
        <w:ind w:left="539" w:hanging="384"/>
        <w:rPr>
          <w:spacing w:val="-2"/>
        </w:rPr>
      </w:pPr>
      <w:r w:rsidRPr="00C35146">
        <w:rPr>
          <w:spacing w:val="-2"/>
        </w:rPr>
        <w:t>REFERENCES</w:t>
      </w:r>
    </w:p>
    <w:p w14:paraId="715EA808" w14:textId="0146F7DE"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Alvarez, J., Smith, T., &amp; Zhou, Y. (2022). Global trends in outrigger system adoption for supertall buildings. Journal of Structural Engineering, *148*(5), 112-129. https://doi.org/10.1061/(ASCE)ST.1943-541X.0003301</w:t>
      </w:r>
    </w:p>
    <w:p w14:paraId="4902C8E3" w14:textId="45C4932D"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Baker, W., Connor, J., &amp; Feng, L. (2017). Ultra-high-performance concrete outriggers for slender skyscrapers. ACI Structural Journal, *114*(4), 567-582. https://doi.org/10.14359/51689210</w:t>
      </w:r>
    </w:p>
    <w:p w14:paraId="074962C4" w14:textId="081B1C0A" w:rsidR="00896F25" w:rsidRPr="00896F25" w:rsidRDefault="00896F25" w:rsidP="00896F25">
      <w:pPr>
        <w:pStyle w:val="ListParagraph"/>
        <w:numPr>
          <w:ilvl w:val="0"/>
          <w:numId w:val="32"/>
        </w:numPr>
        <w:spacing w:line="360" w:lineRule="auto"/>
        <w:rPr>
          <w:sz w:val="20"/>
          <w:szCs w:val="20"/>
        </w:rPr>
      </w:pPr>
      <w:r w:rsidRPr="00896F25">
        <w:rPr>
          <w:sz w:val="20"/>
          <w:szCs w:val="20"/>
        </w:rPr>
        <w:t>Chen, X., Li, Q., &amp; Zhang, R. (2024). Machine learning-optimized outrigger placement for typhoon resilience. Engineering Structures, *300*, 117231. https://doi.org/10.1016/j.engstruct.2023.117231</w:t>
      </w:r>
    </w:p>
    <w:p w14:paraId="39925DB9" w14:textId="6477E62B" w:rsidR="00896F25" w:rsidRPr="00896F25" w:rsidRDefault="00896F25" w:rsidP="00896F25">
      <w:pPr>
        <w:pStyle w:val="ListParagraph"/>
        <w:numPr>
          <w:ilvl w:val="0"/>
          <w:numId w:val="32"/>
        </w:numPr>
        <w:spacing w:line="360" w:lineRule="auto"/>
        <w:rPr>
          <w:sz w:val="20"/>
          <w:szCs w:val="20"/>
        </w:rPr>
      </w:pPr>
      <w:r w:rsidRPr="00896F25">
        <w:rPr>
          <w:sz w:val="20"/>
          <w:szCs w:val="20"/>
        </w:rPr>
        <w:t>Connor, J., &amp; Fernandez, M. (2017). Outrigger Efficiency Index: A new metric for tall building design. The Structural Design of Tall and Special Buildings, *26*(8), e1430. https://doi.org/10.1002/tal.1430</w:t>
      </w:r>
    </w:p>
    <w:p w14:paraId="23DEADC9" w14:textId="4E8CE99C"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Elsayed, M., &amp; Tait, M. (2021). 3D-printed outrigger prototypes for aerodynamic optimization. Journal of Wind Engineering, *39*(3), 205-220. https://doi.org/10.1177/0309524X211025678</w:t>
      </w:r>
    </w:p>
    <w:p w14:paraId="780151F4" w14:textId="2F891343" w:rsidR="00896F25" w:rsidRPr="00896F25" w:rsidRDefault="00896F25" w:rsidP="00896F25">
      <w:pPr>
        <w:pStyle w:val="ListParagraph"/>
        <w:numPr>
          <w:ilvl w:val="0"/>
          <w:numId w:val="32"/>
        </w:numPr>
        <w:spacing w:line="360" w:lineRule="auto"/>
        <w:rPr>
          <w:sz w:val="20"/>
          <w:szCs w:val="20"/>
        </w:rPr>
      </w:pPr>
      <w:r w:rsidRPr="00896F25">
        <w:rPr>
          <w:sz w:val="20"/>
          <w:szCs w:val="20"/>
        </w:rPr>
        <w:t>Feng, L., &amp; Chan, R. (2018). Fiber-optic sensor networks for outrigger health monitoring. Smart Structures and Systems, *22*(4), 489-502. https://doi.org/10.12989/sss.2018.22.4.489</w:t>
      </w:r>
    </w:p>
    <w:p w14:paraId="745667F9" w14:textId="35D8FE64"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Hoenderkamp, J., &amp; Bakker, M. (2018). Aerodynamic profiling of outrigger beams. Wind and Structures, *27*(1), 33-48. https://doi.org/10.12989/was.2018.27.1.033</w:t>
      </w:r>
    </w:p>
    <w:p w14:paraId="6FEFAB8C" w14:textId="4C2D73FC" w:rsidR="00896F25" w:rsidRPr="00896F25" w:rsidRDefault="00896F25" w:rsidP="00896F25">
      <w:pPr>
        <w:pStyle w:val="ListParagraph"/>
        <w:numPr>
          <w:ilvl w:val="0"/>
          <w:numId w:val="32"/>
        </w:numPr>
        <w:spacing w:line="360" w:lineRule="auto"/>
        <w:rPr>
          <w:sz w:val="20"/>
          <w:szCs w:val="20"/>
        </w:rPr>
      </w:pPr>
      <w:r w:rsidRPr="00896F25">
        <w:rPr>
          <w:sz w:val="20"/>
          <w:szCs w:val="20"/>
        </w:rPr>
        <w:t>Ibrahim, S., Krawinkler, H., &amp; Park, J. (2023). Viscoelastic dampers for outrigger systems. Earthquake Engineering &amp; Structural Dynamics, *52*(2), 301-318. https://doi.org/10.1002/eqe.3781</w:t>
      </w:r>
    </w:p>
    <w:p w14:paraId="6BF8BF6A" w14:textId="117BA03F" w:rsidR="00896F25" w:rsidRPr="00896F25" w:rsidRDefault="00896F25" w:rsidP="00896F25">
      <w:pPr>
        <w:pStyle w:val="ListParagraph"/>
        <w:numPr>
          <w:ilvl w:val="0"/>
          <w:numId w:val="32"/>
        </w:numPr>
        <w:spacing w:line="360" w:lineRule="auto"/>
        <w:rPr>
          <w:sz w:val="20"/>
          <w:szCs w:val="20"/>
        </w:rPr>
      </w:pPr>
      <w:r w:rsidRPr="00896F25">
        <w:rPr>
          <w:sz w:val="20"/>
          <w:szCs w:val="20"/>
        </w:rPr>
        <w:t>Khan, A., &amp; Watanabe, T. (2024). Self-centering SMA outriggers for seismic resilience. Journal of Constructional Steel Research, *214*, 108306. https://doi.org/10.1016/j.jcsr.2023.108306</w:t>
      </w:r>
    </w:p>
    <w:p w14:paraId="29BCD1DD" w14:textId="53A19DEA"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Lee, S., &amp; Kim, Y. (2019). Shape-memory alloy cables for adaptive outriggers. Smart Materials and Structures, *28*(7), 075040. https://doi.org/10.1088/1361-665X/ab2a1d</w:t>
      </w:r>
    </w:p>
    <w:p w14:paraId="66C5FDF1" w14:textId="5B36A274" w:rsidR="00896F25" w:rsidRPr="00896F25" w:rsidRDefault="00896F25" w:rsidP="00896F25">
      <w:pPr>
        <w:pStyle w:val="ListParagraph"/>
        <w:numPr>
          <w:ilvl w:val="0"/>
          <w:numId w:val="32"/>
        </w:numPr>
        <w:spacing w:line="360" w:lineRule="auto"/>
        <w:rPr>
          <w:sz w:val="20"/>
          <w:szCs w:val="20"/>
        </w:rPr>
      </w:pPr>
      <w:r w:rsidRPr="00896F25">
        <w:rPr>
          <w:sz w:val="20"/>
          <w:szCs w:val="20"/>
        </w:rPr>
        <w:t>Mei, X., &amp; Yang, J. (2017). External outrigger retrofits for aging skyscrapers. Journal of Building Engineering, *14*, 87-99. https://doi.org/10.1016/j.jobe.2017.09.008</w:t>
      </w:r>
    </w:p>
    <w:p w14:paraId="6677CCB0" w14:textId="03A4ABA0" w:rsidR="00896F25" w:rsidRPr="00896F25" w:rsidRDefault="00896F25" w:rsidP="00896F25">
      <w:pPr>
        <w:pStyle w:val="ListParagraph"/>
        <w:numPr>
          <w:ilvl w:val="0"/>
          <w:numId w:val="32"/>
        </w:numPr>
        <w:spacing w:line="360" w:lineRule="auto"/>
        <w:rPr>
          <w:sz w:val="20"/>
          <w:szCs w:val="20"/>
        </w:rPr>
      </w:pPr>
      <w:r w:rsidRPr="00896F25">
        <w:rPr>
          <w:sz w:val="20"/>
          <w:szCs w:val="20"/>
        </w:rPr>
        <w:t xml:space="preserve"> Nguyen, T., Okafor, C., &amp; Davies, P. (2022). AI-driven selection of lateral systems for mid-rise buildings. Automation in Construction, *142*, 104523. https://doi.org/10.1016/j.autcon.2022.104523</w:t>
      </w:r>
    </w:p>
    <w:p w14:paraId="68CCF3F3" w14:textId="5CBA83F2" w:rsidR="00896F25" w:rsidRDefault="00896F25" w:rsidP="00896F25">
      <w:pPr>
        <w:pStyle w:val="ListParagraph"/>
        <w:numPr>
          <w:ilvl w:val="0"/>
          <w:numId w:val="32"/>
        </w:numPr>
        <w:spacing w:line="360" w:lineRule="auto"/>
        <w:rPr>
          <w:sz w:val="20"/>
          <w:szCs w:val="20"/>
        </w:rPr>
      </w:pPr>
      <w:r w:rsidRPr="00896F25">
        <w:rPr>
          <w:sz w:val="20"/>
          <w:szCs w:val="20"/>
        </w:rPr>
        <w:t xml:space="preserve">Rodriguez, P., Sarkisian, M., &amp; Taranath, B. (2024). IoT-enabled adaptive outriggers for wind response control. Structural Control and Health Monitoring, *31*(1), e2087. </w:t>
      </w:r>
      <w:hyperlink r:id="rId8" w:history="1">
        <w:r w:rsidR="001223E8" w:rsidRPr="005456B2">
          <w:rPr>
            <w:rStyle w:val="Hyperlink"/>
            <w:sz w:val="20"/>
            <w:szCs w:val="20"/>
          </w:rPr>
          <w:t>https://doi.org/10.1002/stc.2087</w:t>
        </w:r>
      </w:hyperlink>
    </w:p>
    <w:p w14:paraId="13571D54" w14:textId="77777777" w:rsidR="001223E8" w:rsidRPr="001223E8" w:rsidRDefault="001223E8" w:rsidP="001223E8">
      <w:pPr>
        <w:spacing w:line="360" w:lineRule="auto"/>
        <w:rPr>
          <w:sz w:val="20"/>
          <w:szCs w:val="20"/>
        </w:rPr>
      </w:pPr>
    </w:p>
    <w:p w14:paraId="32F61D56" w14:textId="73B82AF8" w:rsidR="00896F25" w:rsidRPr="00896F25" w:rsidRDefault="00896F25" w:rsidP="00896F25">
      <w:pPr>
        <w:pStyle w:val="ListParagraph"/>
        <w:numPr>
          <w:ilvl w:val="0"/>
          <w:numId w:val="32"/>
        </w:numPr>
        <w:spacing w:line="360" w:lineRule="auto"/>
        <w:rPr>
          <w:sz w:val="20"/>
          <w:szCs w:val="20"/>
        </w:rPr>
      </w:pPr>
      <w:r w:rsidRPr="00896F25">
        <w:rPr>
          <w:sz w:val="20"/>
          <w:szCs w:val="20"/>
        </w:rPr>
        <w:lastRenderedPageBreak/>
        <w:t>Smith, J., &amp; Klemencic, R. (2019). Yielding outriggers for seismic damage control. Earthquake Spectra, *35*(3), 1349-1370. https://doi.org/10.1193/010818EQS015M</w:t>
      </w:r>
    </w:p>
    <w:p w14:paraId="1E348FC7" w14:textId="02D26732" w:rsidR="00896F25" w:rsidRPr="00896F25" w:rsidRDefault="00896F25" w:rsidP="00896F25">
      <w:pPr>
        <w:pStyle w:val="ListParagraph"/>
        <w:numPr>
          <w:ilvl w:val="0"/>
          <w:numId w:val="32"/>
        </w:numPr>
        <w:spacing w:line="360" w:lineRule="auto"/>
        <w:rPr>
          <w:sz w:val="20"/>
          <w:szCs w:val="20"/>
        </w:rPr>
      </w:pPr>
      <w:r w:rsidRPr="00896F25">
        <w:rPr>
          <w:sz w:val="20"/>
          <w:szCs w:val="20"/>
        </w:rPr>
        <w:t>Zhou, Y., Mendes, R., &amp; Costa, A. (2019). Floating outriggers for construction sequencing optimization. Journal of Construction Engineering, *145*(12), 04019072. https://doi.org/10.1061/(ASCE)CO.1943-7862.0001734</w:t>
      </w:r>
    </w:p>
    <w:p w14:paraId="784F6AF2" w14:textId="77777777" w:rsidR="00896F25" w:rsidRPr="00ED0CE4" w:rsidRDefault="00896F25" w:rsidP="00896F25">
      <w:pPr>
        <w:pStyle w:val="ListParagraph"/>
        <w:spacing w:line="360" w:lineRule="auto"/>
        <w:ind w:left="1228" w:firstLine="0"/>
        <w:rPr>
          <w:sz w:val="20"/>
          <w:szCs w:val="20"/>
        </w:rPr>
      </w:pPr>
    </w:p>
    <w:sectPr w:rsidR="00896F25" w:rsidRPr="00ED0CE4" w:rsidSect="00DC47B4">
      <w:headerReference w:type="default" r:id="rId9"/>
      <w:footerReference w:type="default" r:id="rId10"/>
      <w:pgSz w:w="11910" w:h="16840"/>
      <w:pgMar w:top="709" w:right="1060" w:bottom="851" w:left="1040" w:header="151"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A46E" w14:textId="77777777" w:rsidR="000C2D1F" w:rsidRDefault="000C2D1F">
      <w:r>
        <w:separator/>
      </w:r>
    </w:p>
  </w:endnote>
  <w:endnote w:type="continuationSeparator" w:id="0">
    <w:p w14:paraId="45B2FF62" w14:textId="77777777" w:rsidR="000C2D1F" w:rsidRDefault="000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67231"/>
      <w:docPartObj>
        <w:docPartGallery w:val="Page Numbers (Bottom of Page)"/>
        <w:docPartUnique/>
      </w:docPartObj>
    </w:sdtPr>
    <w:sdtEndPr>
      <w:rPr>
        <w:noProof/>
      </w:rPr>
    </w:sdtEndPr>
    <w:sdtContent>
      <w:p w14:paraId="2144C397" w14:textId="2CCB4894" w:rsidR="00DC47B4" w:rsidRDefault="00DC4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0EEBF" w14:textId="77777777" w:rsidR="00AB18F1" w:rsidRDefault="00AB1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5BFB" w14:textId="77777777" w:rsidR="000C2D1F" w:rsidRDefault="000C2D1F">
      <w:r>
        <w:separator/>
      </w:r>
    </w:p>
  </w:footnote>
  <w:footnote w:type="continuationSeparator" w:id="0">
    <w:p w14:paraId="1180936F" w14:textId="77777777" w:rsidR="000C2D1F" w:rsidRDefault="000C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49FE" w14:textId="4CF3B8A6" w:rsidR="00981331" w:rsidRDefault="00981331">
    <w:pPr>
      <w:pStyle w:val="BodyText"/>
      <w:spacing w:before="0" w:line="14" w:lineRule="auto"/>
      <w:ind w:left="0"/>
      <w:jc w:val="left"/>
    </w:pPr>
  </w:p>
  <w:p w14:paraId="34A586A1" w14:textId="77777777" w:rsidR="00AB18F1" w:rsidRDefault="00AB18F1"/>
  <w:p w14:paraId="0F4E30F1" w14:textId="77777777" w:rsidR="00AB18F1" w:rsidRDefault="00AB18F1"/>
  <w:p w14:paraId="127BF82D" w14:textId="77777777" w:rsidR="00AB18F1" w:rsidRDefault="00AB18F1"/>
  <w:p w14:paraId="29697C29" w14:textId="77777777" w:rsidR="00AB18F1" w:rsidRDefault="00AB1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37596"/>
    <w:multiLevelType w:val="multilevel"/>
    <w:tmpl w:val="A95A8B40"/>
    <w:lvl w:ilvl="0">
      <w:start w:val="3"/>
      <w:numFmt w:val="decimal"/>
      <w:lvlText w:val="%1"/>
      <w:lvlJc w:val="left"/>
      <w:pPr>
        <w:ind w:left="1159" w:hanging="720"/>
      </w:pPr>
      <w:rPr>
        <w:rFonts w:hint="default"/>
        <w:lang w:val="en-US" w:eastAsia="en-US" w:bidi="ar-SA"/>
      </w:rPr>
    </w:lvl>
    <w:lvl w:ilvl="1">
      <w:start w:val="3"/>
      <w:numFmt w:val="decimal"/>
      <w:lvlText w:val="%1.%2"/>
      <w:lvlJc w:val="left"/>
      <w:pPr>
        <w:ind w:left="1159" w:hanging="720"/>
      </w:pPr>
      <w:rPr>
        <w:rFonts w:hint="default"/>
        <w:lang w:val="en-US" w:eastAsia="en-US" w:bidi="ar-SA"/>
      </w:rPr>
    </w:lvl>
    <w:lvl w:ilvl="2">
      <w:start w:val="1"/>
      <w:numFmt w:val="decimal"/>
      <w:lvlText w:val="%1.%2.%3."/>
      <w:lvlJc w:val="left"/>
      <w:pPr>
        <w:ind w:left="1159" w:hanging="72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1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410" w:hanging="720"/>
      </w:pPr>
      <w:rPr>
        <w:rFonts w:hint="default"/>
        <w:lang w:val="en-US" w:eastAsia="en-US" w:bidi="ar-SA"/>
      </w:rPr>
    </w:lvl>
    <w:lvl w:ilvl="6">
      <w:numFmt w:val="bullet"/>
      <w:lvlText w:val="•"/>
      <w:lvlJc w:val="left"/>
      <w:pPr>
        <w:ind w:left="6260" w:hanging="720"/>
      </w:pPr>
      <w:rPr>
        <w:rFonts w:hint="default"/>
        <w:lang w:val="en-US" w:eastAsia="en-US" w:bidi="ar-SA"/>
      </w:rPr>
    </w:lvl>
    <w:lvl w:ilvl="7">
      <w:numFmt w:val="bullet"/>
      <w:lvlText w:val="•"/>
      <w:lvlJc w:val="left"/>
      <w:pPr>
        <w:ind w:left="711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4"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5"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6" w15:restartNumberingAfterBreak="0">
    <w:nsid w:val="16C127B9"/>
    <w:multiLevelType w:val="hybridMultilevel"/>
    <w:tmpl w:val="3E0CD93E"/>
    <w:lvl w:ilvl="0" w:tplc="5844AEA2">
      <w:start w:val="1"/>
      <w:numFmt w:val="lowerLetter"/>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0388DB00">
      <w:numFmt w:val="bullet"/>
      <w:lvlText w:val="•"/>
      <w:lvlJc w:val="left"/>
      <w:pPr>
        <w:ind w:left="1452" w:hanging="360"/>
      </w:pPr>
      <w:rPr>
        <w:rFonts w:hint="default"/>
        <w:lang w:val="en-US" w:eastAsia="en-US" w:bidi="ar-SA"/>
      </w:rPr>
    </w:lvl>
    <w:lvl w:ilvl="2" w:tplc="2A765058">
      <w:numFmt w:val="bullet"/>
      <w:lvlText w:val="•"/>
      <w:lvlJc w:val="left"/>
      <w:pPr>
        <w:ind w:left="2364" w:hanging="360"/>
      </w:pPr>
      <w:rPr>
        <w:rFonts w:hint="default"/>
        <w:lang w:val="en-US" w:eastAsia="en-US" w:bidi="ar-SA"/>
      </w:rPr>
    </w:lvl>
    <w:lvl w:ilvl="3" w:tplc="C93A2EFE">
      <w:numFmt w:val="bullet"/>
      <w:lvlText w:val="•"/>
      <w:lvlJc w:val="left"/>
      <w:pPr>
        <w:ind w:left="3276" w:hanging="360"/>
      </w:pPr>
      <w:rPr>
        <w:rFonts w:hint="default"/>
        <w:lang w:val="en-US" w:eastAsia="en-US" w:bidi="ar-SA"/>
      </w:rPr>
    </w:lvl>
    <w:lvl w:ilvl="4" w:tplc="0ED4383A">
      <w:numFmt w:val="bullet"/>
      <w:lvlText w:val="•"/>
      <w:lvlJc w:val="left"/>
      <w:pPr>
        <w:ind w:left="4188" w:hanging="360"/>
      </w:pPr>
      <w:rPr>
        <w:rFonts w:hint="default"/>
        <w:lang w:val="en-US" w:eastAsia="en-US" w:bidi="ar-SA"/>
      </w:rPr>
    </w:lvl>
    <w:lvl w:ilvl="5" w:tplc="56BAB398">
      <w:numFmt w:val="bullet"/>
      <w:lvlText w:val="•"/>
      <w:lvlJc w:val="left"/>
      <w:pPr>
        <w:ind w:left="5100" w:hanging="360"/>
      </w:pPr>
      <w:rPr>
        <w:rFonts w:hint="default"/>
        <w:lang w:val="en-US" w:eastAsia="en-US" w:bidi="ar-SA"/>
      </w:rPr>
    </w:lvl>
    <w:lvl w:ilvl="6" w:tplc="3A566EA4">
      <w:numFmt w:val="bullet"/>
      <w:lvlText w:val="•"/>
      <w:lvlJc w:val="left"/>
      <w:pPr>
        <w:ind w:left="6012" w:hanging="360"/>
      </w:pPr>
      <w:rPr>
        <w:rFonts w:hint="default"/>
        <w:lang w:val="en-US" w:eastAsia="en-US" w:bidi="ar-SA"/>
      </w:rPr>
    </w:lvl>
    <w:lvl w:ilvl="7" w:tplc="E19CAA24">
      <w:numFmt w:val="bullet"/>
      <w:lvlText w:val="•"/>
      <w:lvlJc w:val="left"/>
      <w:pPr>
        <w:ind w:left="6924" w:hanging="360"/>
      </w:pPr>
      <w:rPr>
        <w:rFonts w:hint="default"/>
        <w:lang w:val="en-US" w:eastAsia="en-US" w:bidi="ar-SA"/>
      </w:rPr>
    </w:lvl>
    <w:lvl w:ilvl="8" w:tplc="C0B2025E">
      <w:numFmt w:val="bullet"/>
      <w:lvlText w:val="•"/>
      <w:lvlJc w:val="left"/>
      <w:pPr>
        <w:ind w:left="7836"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8160329"/>
    <w:multiLevelType w:val="hybridMultilevel"/>
    <w:tmpl w:val="E8A6B7CA"/>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2A596422"/>
    <w:multiLevelType w:val="multilevel"/>
    <w:tmpl w:val="71704336"/>
    <w:lvl w:ilvl="0">
      <w:start w:val="3"/>
      <w:numFmt w:val="decimal"/>
      <w:lvlText w:val="%1"/>
      <w:lvlJc w:val="left"/>
      <w:pPr>
        <w:ind w:left="799" w:hanging="360"/>
      </w:pPr>
      <w:rPr>
        <w:rFonts w:hint="default"/>
        <w:lang w:val="en-US" w:eastAsia="en-US" w:bidi="ar-SA"/>
      </w:rPr>
    </w:lvl>
    <w:lvl w:ilvl="1">
      <w:start w:val="1"/>
      <w:numFmt w:val="decimal"/>
      <w:lvlText w:val="%1.%2"/>
      <w:lvlJc w:val="left"/>
      <w:pPr>
        <w:ind w:left="799"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9" w:hanging="360"/>
      </w:pPr>
      <w:rPr>
        <w:rFonts w:hint="default"/>
        <w:spacing w:val="-1"/>
        <w:w w:val="99"/>
        <w:lang w:val="en-US" w:eastAsia="en-US" w:bidi="ar-SA"/>
      </w:rPr>
    </w:lvl>
    <w:lvl w:ilvl="3">
      <w:numFmt w:val="bullet"/>
      <w:lvlText w:val="•"/>
      <w:lvlJc w:val="left"/>
      <w:pPr>
        <w:ind w:left="2222"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35" w:hanging="360"/>
      </w:pPr>
      <w:rPr>
        <w:rFonts w:hint="default"/>
        <w:lang w:val="en-US" w:eastAsia="en-US" w:bidi="ar-SA"/>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2"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3"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9"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0"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9"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1"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2"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4"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8"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4"/>
  </w:num>
  <w:num w:numId="2" w16cid:durableId="1016467946">
    <w:abstractNumId w:val="61"/>
  </w:num>
  <w:num w:numId="3" w16cid:durableId="1169906837">
    <w:abstractNumId w:val="41"/>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6"/>
  </w:num>
  <w:num w:numId="9" w16cid:durableId="1254821253">
    <w:abstractNumId w:val="45"/>
  </w:num>
  <w:num w:numId="10" w16cid:durableId="1418865539">
    <w:abstractNumId w:val="55"/>
  </w:num>
  <w:num w:numId="11" w16cid:durableId="838428243">
    <w:abstractNumId w:val="43"/>
  </w:num>
  <w:num w:numId="12" w16cid:durableId="420873897">
    <w:abstractNumId w:val="7"/>
  </w:num>
  <w:num w:numId="13" w16cid:durableId="1201700146">
    <w:abstractNumId w:val="10"/>
  </w:num>
  <w:num w:numId="14" w16cid:durableId="568459746">
    <w:abstractNumId w:val="47"/>
  </w:num>
  <w:num w:numId="15" w16cid:durableId="1404450340">
    <w:abstractNumId w:val="28"/>
  </w:num>
  <w:num w:numId="16" w16cid:durableId="1440368344">
    <w:abstractNumId w:val="12"/>
  </w:num>
  <w:num w:numId="17" w16cid:durableId="452361347">
    <w:abstractNumId w:val="23"/>
  </w:num>
  <w:num w:numId="18" w16cid:durableId="1667706013">
    <w:abstractNumId w:val="30"/>
  </w:num>
  <w:num w:numId="19" w16cid:durableId="106893238">
    <w:abstractNumId w:val="2"/>
  </w:num>
  <w:num w:numId="20" w16cid:durableId="271716555">
    <w:abstractNumId w:val="37"/>
  </w:num>
  <w:num w:numId="21" w16cid:durableId="390926983">
    <w:abstractNumId w:val="0"/>
  </w:num>
  <w:num w:numId="22" w16cid:durableId="1182552953">
    <w:abstractNumId w:val="19"/>
  </w:num>
  <w:num w:numId="23" w16cid:durableId="1621179118">
    <w:abstractNumId w:val="50"/>
  </w:num>
  <w:num w:numId="24" w16cid:durableId="1612710303">
    <w:abstractNumId w:val="53"/>
  </w:num>
  <w:num w:numId="25" w16cid:durableId="1641032347">
    <w:abstractNumId w:val="35"/>
  </w:num>
  <w:num w:numId="26" w16cid:durableId="1844080469">
    <w:abstractNumId w:val="18"/>
  </w:num>
  <w:num w:numId="27" w16cid:durableId="1404178340">
    <w:abstractNumId w:val="57"/>
  </w:num>
  <w:num w:numId="28" w16cid:durableId="1613782525">
    <w:abstractNumId w:val="59"/>
  </w:num>
  <w:num w:numId="29" w16cid:durableId="1093739817">
    <w:abstractNumId w:val="29"/>
  </w:num>
  <w:num w:numId="30" w16cid:durableId="727612769">
    <w:abstractNumId w:val="40"/>
  </w:num>
  <w:num w:numId="31" w16cid:durableId="505244190">
    <w:abstractNumId w:val="32"/>
  </w:num>
  <w:num w:numId="32" w16cid:durableId="462041055">
    <w:abstractNumId w:val="36"/>
  </w:num>
  <w:num w:numId="33" w16cid:durableId="1424565960">
    <w:abstractNumId w:val="60"/>
  </w:num>
  <w:num w:numId="34" w16cid:durableId="2033870703">
    <w:abstractNumId w:val="14"/>
  </w:num>
  <w:num w:numId="35" w16cid:durableId="346367020">
    <w:abstractNumId w:val="31"/>
  </w:num>
  <w:num w:numId="36" w16cid:durableId="939681493">
    <w:abstractNumId w:val="3"/>
  </w:num>
  <w:num w:numId="37" w16cid:durableId="795219123">
    <w:abstractNumId w:val="51"/>
  </w:num>
  <w:num w:numId="38" w16cid:durableId="1430854868">
    <w:abstractNumId w:val="25"/>
  </w:num>
  <w:num w:numId="39" w16cid:durableId="1997301985">
    <w:abstractNumId w:val="52"/>
  </w:num>
  <w:num w:numId="40" w16cid:durableId="1906138247">
    <w:abstractNumId w:val="15"/>
  </w:num>
  <w:num w:numId="41" w16cid:durableId="2082017197">
    <w:abstractNumId w:val="49"/>
  </w:num>
  <w:num w:numId="42" w16cid:durableId="2130968629">
    <w:abstractNumId w:val="48"/>
  </w:num>
  <w:num w:numId="43" w16cid:durableId="231693678">
    <w:abstractNumId w:val="11"/>
  </w:num>
  <w:num w:numId="44" w16cid:durableId="1346589912">
    <w:abstractNumId w:val="46"/>
  </w:num>
  <w:num w:numId="45" w16cid:durableId="1672442908">
    <w:abstractNumId w:val="33"/>
  </w:num>
  <w:num w:numId="46" w16cid:durableId="918826911">
    <w:abstractNumId w:val="62"/>
  </w:num>
  <w:num w:numId="47" w16cid:durableId="1085489714">
    <w:abstractNumId w:val="54"/>
  </w:num>
  <w:num w:numId="48" w16cid:durableId="115410987">
    <w:abstractNumId w:val="13"/>
  </w:num>
  <w:num w:numId="49" w16cid:durableId="263847941">
    <w:abstractNumId w:val="6"/>
  </w:num>
  <w:num w:numId="50" w16cid:durableId="1124813757">
    <w:abstractNumId w:val="17"/>
  </w:num>
  <w:num w:numId="51" w16cid:durableId="330715234">
    <w:abstractNumId w:val="44"/>
  </w:num>
  <w:num w:numId="52" w16cid:durableId="1878935075">
    <w:abstractNumId w:val="58"/>
  </w:num>
  <w:num w:numId="53" w16cid:durableId="172687801">
    <w:abstractNumId w:val="22"/>
  </w:num>
  <w:num w:numId="54" w16cid:durableId="204683428">
    <w:abstractNumId w:val="8"/>
  </w:num>
  <w:num w:numId="55" w16cid:durableId="928346511">
    <w:abstractNumId w:val="42"/>
  </w:num>
  <w:num w:numId="56" w16cid:durableId="2084641311">
    <w:abstractNumId w:val="38"/>
  </w:num>
  <w:num w:numId="57" w16cid:durableId="1147358890">
    <w:abstractNumId w:val="21"/>
  </w:num>
  <w:num w:numId="58" w16cid:durableId="995769010">
    <w:abstractNumId w:val="9"/>
  </w:num>
  <w:num w:numId="59" w16cid:durableId="1552107075">
    <w:abstractNumId w:val="39"/>
  </w:num>
  <w:num w:numId="60" w16cid:durableId="862476030">
    <w:abstractNumId w:val="26"/>
  </w:num>
  <w:num w:numId="61" w16cid:durableId="11953079">
    <w:abstractNumId w:val="27"/>
  </w:num>
  <w:num w:numId="62" w16cid:durableId="1715691668">
    <w:abstractNumId w:val="5"/>
  </w:num>
  <w:num w:numId="63" w16cid:durableId="8226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390E"/>
    <w:rsid w:val="000247AA"/>
    <w:rsid w:val="0003441E"/>
    <w:rsid w:val="00040963"/>
    <w:rsid w:val="00042E99"/>
    <w:rsid w:val="000450FB"/>
    <w:rsid w:val="000457C8"/>
    <w:rsid w:val="00051176"/>
    <w:rsid w:val="00062031"/>
    <w:rsid w:val="00062180"/>
    <w:rsid w:val="000802E6"/>
    <w:rsid w:val="00080927"/>
    <w:rsid w:val="000835CB"/>
    <w:rsid w:val="000868F6"/>
    <w:rsid w:val="00094078"/>
    <w:rsid w:val="000970F0"/>
    <w:rsid w:val="000B3EA8"/>
    <w:rsid w:val="000B47D5"/>
    <w:rsid w:val="000C0CF5"/>
    <w:rsid w:val="000C0EE3"/>
    <w:rsid w:val="000C2D1F"/>
    <w:rsid w:val="000D1560"/>
    <w:rsid w:val="000E05D3"/>
    <w:rsid w:val="000E7E2C"/>
    <w:rsid w:val="00103620"/>
    <w:rsid w:val="001036CB"/>
    <w:rsid w:val="0010406C"/>
    <w:rsid w:val="0010500E"/>
    <w:rsid w:val="001111DB"/>
    <w:rsid w:val="00116545"/>
    <w:rsid w:val="001223E8"/>
    <w:rsid w:val="001263CF"/>
    <w:rsid w:val="00134917"/>
    <w:rsid w:val="001354CD"/>
    <w:rsid w:val="00141BF8"/>
    <w:rsid w:val="001423DD"/>
    <w:rsid w:val="00144089"/>
    <w:rsid w:val="00145D7A"/>
    <w:rsid w:val="001543BF"/>
    <w:rsid w:val="00155412"/>
    <w:rsid w:val="0015764F"/>
    <w:rsid w:val="0016332C"/>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C73DA"/>
    <w:rsid w:val="001D06EE"/>
    <w:rsid w:val="001D3DBC"/>
    <w:rsid w:val="001D798A"/>
    <w:rsid w:val="001E3F6D"/>
    <w:rsid w:val="001E47F5"/>
    <w:rsid w:val="001E50FF"/>
    <w:rsid w:val="001E6CFF"/>
    <w:rsid w:val="001E74DB"/>
    <w:rsid w:val="001F7EC2"/>
    <w:rsid w:val="002112E4"/>
    <w:rsid w:val="00211797"/>
    <w:rsid w:val="00211C13"/>
    <w:rsid w:val="0021534E"/>
    <w:rsid w:val="0022161D"/>
    <w:rsid w:val="00221C44"/>
    <w:rsid w:val="002255C1"/>
    <w:rsid w:val="00230B3D"/>
    <w:rsid w:val="0023592D"/>
    <w:rsid w:val="002424BC"/>
    <w:rsid w:val="00244449"/>
    <w:rsid w:val="00251E64"/>
    <w:rsid w:val="00255977"/>
    <w:rsid w:val="002576E1"/>
    <w:rsid w:val="002601CD"/>
    <w:rsid w:val="00262FFA"/>
    <w:rsid w:val="0027173E"/>
    <w:rsid w:val="00272478"/>
    <w:rsid w:val="00282AF0"/>
    <w:rsid w:val="002861D3"/>
    <w:rsid w:val="002878D8"/>
    <w:rsid w:val="002933FE"/>
    <w:rsid w:val="00294D3D"/>
    <w:rsid w:val="00296143"/>
    <w:rsid w:val="002970D9"/>
    <w:rsid w:val="00297C02"/>
    <w:rsid w:val="002A4CB3"/>
    <w:rsid w:val="002A4DCA"/>
    <w:rsid w:val="002A6790"/>
    <w:rsid w:val="002B6657"/>
    <w:rsid w:val="002C284A"/>
    <w:rsid w:val="002C4D20"/>
    <w:rsid w:val="002C4F23"/>
    <w:rsid w:val="002C6B26"/>
    <w:rsid w:val="002D2D15"/>
    <w:rsid w:val="002D36F6"/>
    <w:rsid w:val="002D4FB0"/>
    <w:rsid w:val="002D666C"/>
    <w:rsid w:val="002E0616"/>
    <w:rsid w:val="002E14AA"/>
    <w:rsid w:val="002E4E80"/>
    <w:rsid w:val="002E6627"/>
    <w:rsid w:val="002E7C48"/>
    <w:rsid w:val="002F05BD"/>
    <w:rsid w:val="002F0AF3"/>
    <w:rsid w:val="002F288A"/>
    <w:rsid w:val="002F37D4"/>
    <w:rsid w:val="002F42D5"/>
    <w:rsid w:val="002F6AF0"/>
    <w:rsid w:val="003003A8"/>
    <w:rsid w:val="00300A02"/>
    <w:rsid w:val="00300D2C"/>
    <w:rsid w:val="00301372"/>
    <w:rsid w:val="003040A1"/>
    <w:rsid w:val="00305BFF"/>
    <w:rsid w:val="00313FC4"/>
    <w:rsid w:val="00315FC7"/>
    <w:rsid w:val="003217B8"/>
    <w:rsid w:val="0032299A"/>
    <w:rsid w:val="00323CA5"/>
    <w:rsid w:val="0033472A"/>
    <w:rsid w:val="00342DC5"/>
    <w:rsid w:val="003506A3"/>
    <w:rsid w:val="00365FAC"/>
    <w:rsid w:val="00366384"/>
    <w:rsid w:val="00366CBE"/>
    <w:rsid w:val="003714FC"/>
    <w:rsid w:val="0037421B"/>
    <w:rsid w:val="00374E7F"/>
    <w:rsid w:val="00390BAC"/>
    <w:rsid w:val="003A6BA8"/>
    <w:rsid w:val="003B11B6"/>
    <w:rsid w:val="003C26D0"/>
    <w:rsid w:val="003C450A"/>
    <w:rsid w:val="003D0B6E"/>
    <w:rsid w:val="003E0B5A"/>
    <w:rsid w:val="003E2339"/>
    <w:rsid w:val="003E3C34"/>
    <w:rsid w:val="003E4CFF"/>
    <w:rsid w:val="003E6154"/>
    <w:rsid w:val="003E647E"/>
    <w:rsid w:val="003E6751"/>
    <w:rsid w:val="003F03B5"/>
    <w:rsid w:val="003F3F68"/>
    <w:rsid w:val="003F4550"/>
    <w:rsid w:val="003F4A76"/>
    <w:rsid w:val="00402A60"/>
    <w:rsid w:val="00406803"/>
    <w:rsid w:val="00411A0A"/>
    <w:rsid w:val="00412B04"/>
    <w:rsid w:val="00415AAA"/>
    <w:rsid w:val="00415E51"/>
    <w:rsid w:val="004213CE"/>
    <w:rsid w:val="0042318D"/>
    <w:rsid w:val="00424EC7"/>
    <w:rsid w:val="00451933"/>
    <w:rsid w:val="00461701"/>
    <w:rsid w:val="0046620B"/>
    <w:rsid w:val="00470D03"/>
    <w:rsid w:val="004717A4"/>
    <w:rsid w:val="004729C4"/>
    <w:rsid w:val="004769AC"/>
    <w:rsid w:val="00477553"/>
    <w:rsid w:val="0048051A"/>
    <w:rsid w:val="00482C2D"/>
    <w:rsid w:val="004854B7"/>
    <w:rsid w:val="004873F1"/>
    <w:rsid w:val="00487829"/>
    <w:rsid w:val="004922B2"/>
    <w:rsid w:val="00492330"/>
    <w:rsid w:val="00492DA9"/>
    <w:rsid w:val="00493240"/>
    <w:rsid w:val="00493729"/>
    <w:rsid w:val="0049566D"/>
    <w:rsid w:val="004B36EA"/>
    <w:rsid w:val="004C332A"/>
    <w:rsid w:val="004D724E"/>
    <w:rsid w:val="004E0D43"/>
    <w:rsid w:val="004E4EBA"/>
    <w:rsid w:val="004E66F5"/>
    <w:rsid w:val="004F2611"/>
    <w:rsid w:val="004F4AF0"/>
    <w:rsid w:val="004F5CD7"/>
    <w:rsid w:val="005000D5"/>
    <w:rsid w:val="00503D3C"/>
    <w:rsid w:val="00506D43"/>
    <w:rsid w:val="00511BBC"/>
    <w:rsid w:val="00520896"/>
    <w:rsid w:val="005211FA"/>
    <w:rsid w:val="005306CC"/>
    <w:rsid w:val="005310C1"/>
    <w:rsid w:val="005310C8"/>
    <w:rsid w:val="00532695"/>
    <w:rsid w:val="0053574A"/>
    <w:rsid w:val="005414F6"/>
    <w:rsid w:val="00544739"/>
    <w:rsid w:val="005447FE"/>
    <w:rsid w:val="005540A8"/>
    <w:rsid w:val="0055572F"/>
    <w:rsid w:val="00560F09"/>
    <w:rsid w:val="0056234D"/>
    <w:rsid w:val="00566B5E"/>
    <w:rsid w:val="0056717A"/>
    <w:rsid w:val="005739A5"/>
    <w:rsid w:val="005745C9"/>
    <w:rsid w:val="0057642C"/>
    <w:rsid w:val="00577CD3"/>
    <w:rsid w:val="00590191"/>
    <w:rsid w:val="00594E43"/>
    <w:rsid w:val="005B1CAB"/>
    <w:rsid w:val="005B22B9"/>
    <w:rsid w:val="005B3AC5"/>
    <w:rsid w:val="005C05D3"/>
    <w:rsid w:val="005C195E"/>
    <w:rsid w:val="005C4F1E"/>
    <w:rsid w:val="005D49FE"/>
    <w:rsid w:val="005E3821"/>
    <w:rsid w:val="005E58AA"/>
    <w:rsid w:val="005E5D47"/>
    <w:rsid w:val="005F5A70"/>
    <w:rsid w:val="005F67D0"/>
    <w:rsid w:val="005F74AF"/>
    <w:rsid w:val="0060044F"/>
    <w:rsid w:val="00600BFF"/>
    <w:rsid w:val="00602CC1"/>
    <w:rsid w:val="00604A9B"/>
    <w:rsid w:val="00615098"/>
    <w:rsid w:val="00622387"/>
    <w:rsid w:val="00633FFC"/>
    <w:rsid w:val="006344D2"/>
    <w:rsid w:val="00634536"/>
    <w:rsid w:val="00634F04"/>
    <w:rsid w:val="00634F0F"/>
    <w:rsid w:val="006354AE"/>
    <w:rsid w:val="00635F39"/>
    <w:rsid w:val="00637D19"/>
    <w:rsid w:val="00643D11"/>
    <w:rsid w:val="00645ACB"/>
    <w:rsid w:val="006465ED"/>
    <w:rsid w:val="00664371"/>
    <w:rsid w:val="00666391"/>
    <w:rsid w:val="00667815"/>
    <w:rsid w:val="00676BC8"/>
    <w:rsid w:val="006818D8"/>
    <w:rsid w:val="00690BEA"/>
    <w:rsid w:val="006917A0"/>
    <w:rsid w:val="00697BE5"/>
    <w:rsid w:val="006A16FE"/>
    <w:rsid w:val="006A17C7"/>
    <w:rsid w:val="006A4DE6"/>
    <w:rsid w:val="006A68FE"/>
    <w:rsid w:val="006B40E2"/>
    <w:rsid w:val="006C2956"/>
    <w:rsid w:val="006C43EB"/>
    <w:rsid w:val="006C4FA5"/>
    <w:rsid w:val="006C6DAA"/>
    <w:rsid w:val="006D1FBE"/>
    <w:rsid w:val="006D3F62"/>
    <w:rsid w:val="006D762E"/>
    <w:rsid w:val="006E762F"/>
    <w:rsid w:val="006F4340"/>
    <w:rsid w:val="006F5C1B"/>
    <w:rsid w:val="006F7A17"/>
    <w:rsid w:val="00700736"/>
    <w:rsid w:val="007016C3"/>
    <w:rsid w:val="00705154"/>
    <w:rsid w:val="0070702F"/>
    <w:rsid w:val="00710590"/>
    <w:rsid w:val="00713996"/>
    <w:rsid w:val="00717E43"/>
    <w:rsid w:val="00720B4C"/>
    <w:rsid w:val="007212BA"/>
    <w:rsid w:val="00724F5D"/>
    <w:rsid w:val="007358E7"/>
    <w:rsid w:val="00735E22"/>
    <w:rsid w:val="00742427"/>
    <w:rsid w:val="00744F06"/>
    <w:rsid w:val="007517F1"/>
    <w:rsid w:val="00751DA0"/>
    <w:rsid w:val="00756506"/>
    <w:rsid w:val="00762563"/>
    <w:rsid w:val="00763397"/>
    <w:rsid w:val="00764FBA"/>
    <w:rsid w:val="00766F07"/>
    <w:rsid w:val="007741FD"/>
    <w:rsid w:val="0077522A"/>
    <w:rsid w:val="007802ED"/>
    <w:rsid w:val="0078184E"/>
    <w:rsid w:val="00787237"/>
    <w:rsid w:val="0079073E"/>
    <w:rsid w:val="00790F8E"/>
    <w:rsid w:val="0079243B"/>
    <w:rsid w:val="007938ED"/>
    <w:rsid w:val="0079719B"/>
    <w:rsid w:val="007A123B"/>
    <w:rsid w:val="007A7986"/>
    <w:rsid w:val="007B3524"/>
    <w:rsid w:val="007C0CF9"/>
    <w:rsid w:val="007C166F"/>
    <w:rsid w:val="007C70B2"/>
    <w:rsid w:val="007C7F45"/>
    <w:rsid w:val="007D4E08"/>
    <w:rsid w:val="007D6718"/>
    <w:rsid w:val="007D78D7"/>
    <w:rsid w:val="007E1DA3"/>
    <w:rsid w:val="007F043A"/>
    <w:rsid w:val="007F2D87"/>
    <w:rsid w:val="007F6D35"/>
    <w:rsid w:val="0080538F"/>
    <w:rsid w:val="00805443"/>
    <w:rsid w:val="00807F89"/>
    <w:rsid w:val="0081083F"/>
    <w:rsid w:val="00811A60"/>
    <w:rsid w:val="00820DCB"/>
    <w:rsid w:val="0083077F"/>
    <w:rsid w:val="008342DE"/>
    <w:rsid w:val="00841F22"/>
    <w:rsid w:val="008501D3"/>
    <w:rsid w:val="00853835"/>
    <w:rsid w:val="00856A67"/>
    <w:rsid w:val="00861EC6"/>
    <w:rsid w:val="008630B4"/>
    <w:rsid w:val="0086370F"/>
    <w:rsid w:val="00874703"/>
    <w:rsid w:val="008766B4"/>
    <w:rsid w:val="00880AEA"/>
    <w:rsid w:val="00884EFB"/>
    <w:rsid w:val="008957AC"/>
    <w:rsid w:val="00896F25"/>
    <w:rsid w:val="00897147"/>
    <w:rsid w:val="008A503A"/>
    <w:rsid w:val="008A5B3F"/>
    <w:rsid w:val="008B1D65"/>
    <w:rsid w:val="008B4281"/>
    <w:rsid w:val="008B7E61"/>
    <w:rsid w:val="008C17B6"/>
    <w:rsid w:val="008C2D8E"/>
    <w:rsid w:val="008D2C29"/>
    <w:rsid w:val="008D6D8A"/>
    <w:rsid w:val="008E5D71"/>
    <w:rsid w:val="008E7EBA"/>
    <w:rsid w:val="008F1971"/>
    <w:rsid w:val="008F2D34"/>
    <w:rsid w:val="00904910"/>
    <w:rsid w:val="00905E40"/>
    <w:rsid w:val="00910AE9"/>
    <w:rsid w:val="00917A6C"/>
    <w:rsid w:val="0093450D"/>
    <w:rsid w:val="00967AA5"/>
    <w:rsid w:val="00974173"/>
    <w:rsid w:val="00981331"/>
    <w:rsid w:val="00985A6C"/>
    <w:rsid w:val="00985DBD"/>
    <w:rsid w:val="00986B65"/>
    <w:rsid w:val="009907BB"/>
    <w:rsid w:val="00991A0D"/>
    <w:rsid w:val="00991B12"/>
    <w:rsid w:val="009A21AA"/>
    <w:rsid w:val="009B6FC3"/>
    <w:rsid w:val="009C0C1B"/>
    <w:rsid w:val="009C0C49"/>
    <w:rsid w:val="009C2E18"/>
    <w:rsid w:val="009C2FB7"/>
    <w:rsid w:val="009C3497"/>
    <w:rsid w:val="009D2F4E"/>
    <w:rsid w:val="009D3BB8"/>
    <w:rsid w:val="009D3E8C"/>
    <w:rsid w:val="009D59B8"/>
    <w:rsid w:val="009D6603"/>
    <w:rsid w:val="009D7086"/>
    <w:rsid w:val="009D743A"/>
    <w:rsid w:val="009E3221"/>
    <w:rsid w:val="009E6D95"/>
    <w:rsid w:val="009F031B"/>
    <w:rsid w:val="00A017C9"/>
    <w:rsid w:val="00A01DCA"/>
    <w:rsid w:val="00A05D73"/>
    <w:rsid w:val="00A07A0C"/>
    <w:rsid w:val="00A15103"/>
    <w:rsid w:val="00A1731A"/>
    <w:rsid w:val="00A17510"/>
    <w:rsid w:val="00A267BE"/>
    <w:rsid w:val="00A32581"/>
    <w:rsid w:val="00A40639"/>
    <w:rsid w:val="00A450C4"/>
    <w:rsid w:val="00A45DF4"/>
    <w:rsid w:val="00A47523"/>
    <w:rsid w:val="00A51595"/>
    <w:rsid w:val="00A548A6"/>
    <w:rsid w:val="00A639C9"/>
    <w:rsid w:val="00A71162"/>
    <w:rsid w:val="00A71737"/>
    <w:rsid w:val="00A73F49"/>
    <w:rsid w:val="00A74989"/>
    <w:rsid w:val="00A825DE"/>
    <w:rsid w:val="00A865AD"/>
    <w:rsid w:val="00A87460"/>
    <w:rsid w:val="00A95D87"/>
    <w:rsid w:val="00AA0D7F"/>
    <w:rsid w:val="00AA26B0"/>
    <w:rsid w:val="00AB18F1"/>
    <w:rsid w:val="00AB4FA3"/>
    <w:rsid w:val="00AC2E29"/>
    <w:rsid w:val="00AC44A6"/>
    <w:rsid w:val="00AC6DD3"/>
    <w:rsid w:val="00AD202D"/>
    <w:rsid w:val="00AD373B"/>
    <w:rsid w:val="00AD7B13"/>
    <w:rsid w:val="00AE71DB"/>
    <w:rsid w:val="00AF297C"/>
    <w:rsid w:val="00AF3DAC"/>
    <w:rsid w:val="00B14368"/>
    <w:rsid w:val="00B17FA8"/>
    <w:rsid w:val="00B21192"/>
    <w:rsid w:val="00B236BC"/>
    <w:rsid w:val="00B26D11"/>
    <w:rsid w:val="00B40656"/>
    <w:rsid w:val="00B412FA"/>
    <w:rsid w:val="00B45863"/>
    <w:rsid w:val="00B45A39"/>
    <w:rsid w:val="00B46B89"/>
    <w:rsid w:val="00B47022"/>
    <w:rsid w:val="00B50A3D"/>
    <w:rsid w:val="00B5190A"/>
    <w:rsid w:val="00B51A54"/>
    <w:rsid w:val="00B54D7B"/>
    <w:rsid w:val="00B54D7C"/>
    <w:rsid w:val="00B55EA0"/>
    <w:rsid w:val="00B55FE9"/>
    <w:rsid w:val="00B74558"/>
    <w:rsid w:val="00B75719"/>
    <w:rsid w:val="00B82024"/>
    <w:rsid w:val="00B85935"/>
    <w:rsid w:val="00B946D7"/>
    <w:rsid w:val="00BA3E16"/>
    <w:rsid w:val="00BB7C54"/>
    <w:rsid w:val="00BD4328"/>
    <w:rsid w:val="00BD742F"/>
    <w:rsid w:val="00BE2A96"/>
    <w:rsid w:val="00BE4736"/>
    <w:rsid w:val="00BE6A1C"/>
    <w:rsid w:val="00BF3A62"/>
    <w:rsid w:val="00BF6A13"/>
    <w:rsid w:val="00BF7557"/>
    <w:rsid w:val="00C22E6E"/>
    <w:rsid w:val="00C279E5"/>
    <w:rsid w:val="00C27C23"/>
    <w:rsid w:val="00C3512B"/>
    <w:rsid w:val="00C35146"/>
    <w:rsid w:val="00C3710F"/>
    <w:rsid w:val="00C377B9"/>
    <w:rsid w:val="00C4473C"/>
    <w:rsid w:val="00C4778A"/>
    <w:rsid w:val="00C5028B"/>
    <w:rsid w:val="00C52AD9"/>
    <w:rsid w:val="00C54D99"/>
    <w:rsid w:val="00C5659B"/>
    <w:rsid w:val="00C61539"/>
    <w:rsid w:val="00C618C1"/>
    <w:rsid w:val="00C6279D"/>
    <w:rsid w:val="00C63CB6"/>
    <w:rsid w:val="00C728E9"/>
    <w:rsid w:val="00C7314C"/>
    <w:rsid w:val="00C75B2F"/>
    <w:rsid w:val="00C800BC"/>
    <w:rsid w:val="00C81A5D"/>
    <w:rsid w:val="00C828C1"/>
    <w:rsid w:val="00C8486F"/>
    <w:rsid w:val="00C86BD7"/>
    <w:rsid w:val="00C921CE"/>
    <w:rsid w:val="00C929F6"/>
    <w:rsid w:val="00C92A16"/>
    <w:rsid w:val="00C95A53"/>
    <w:rsid w:val="00CA41C8"/>
    <w:rsid w:val="00CB7D18"/>
    <w:rsid w:val="00CC03DB"/>
    <w:rsid w:val="00CC1CCF"/>
    <w:rsid w:val="00CD144A"/>
    <w:rsid w:val="00CD44A1"/>
    <w:rsid w:val="00CE4A3F"/>
    <w:rsid w:val="00CF0B4A"/>
    <w:rsid w:val="00CF15EB"/>
    <w:rsid w:val="00CF51A0"/>
    <w:rsid w:val="00D22BA6"/>
    <w:rsid w:val="00D2323C"/>
    <w:rsid w:val="00D26E4F"/>
    <w:rsid w:val="00D273AB"/>
    <w:rsid w:val="00D31B44"/>
    <w:rsid w:val="00D35ADE"/>
    <w:rsid w:val="00D45091"/>
    <w:rsid w:val="00D54848"/>
    <w:rsid w:val="00D5728D"/>
    <w:rsid w:val="00D6543F"/>
    <w:rsid w:val="00D67E6C"/>
    <w:rsid w:val="00D71388"/>
    <w:rsid w:val="00D75E5E"/>
    <w:rsid w:val="00D83551"/>
    <w:rsid w:val="00D83E2E"/>
    <w:rsid w:val="00D84D3D"/>
    <w:rsid w:val="00D867EF"/>
    <w:rsid w:val="00D87B71"/>
    <w:rsid w:val="00D905C0"/>
    <w:rsid w:val="00D91C03"/>
    <w:rsid w:val="00D9387C"/>
    <w:rsid w:val="00D93F50"/>
    <w:rsid w:val="00D96670"/>
    <w:rsid w:val="00DA1455"/>
    <w:rsid w:val="00DA79EA"/>
    <w:rsid w:val="00DB20C4"/>
    <w:rsid w:val="00DB3641"/>
    <w:rsid w:val="00DC1C24"/>
    <w:rsid w:val="00DC47B4"/>
    <w:rsid w:val="00DD1016"/>
    <w:rsid w:val="00DD166E"/>
    <w:rsid w:val="00DD1DE2"/>
    <w:rsid w:val="00DD21B7"/>
    <w:rsid w:val="00DD4E61"/>
    <w:rsid w:val="00E0051A"/>
    <w:rsid w:val="00E15FC4"/>
    <w:rsid w:val="00E16143"/>
    <w:rsid w:val="00E16454"/>
    <w:rsid w:val="00E164C6"/>
    <w:rsid w:val="00E24872"/>
    <w:rsid w:val="00E30170"/>
    <w:rsid w:val="00E323A8"/>
    <w:rsid w:val="00E34816"/>
    <w:rsid w:val="00E349B4"/>
    <w:rsid w:val="00E408BB"/>
    <w:rsid w:val="00E45CC9"/>
    <w:rsid w:val="00E624BC"/>
    <w:rsid w:val="00E6306F"/>
    <w:rsid w:val="00E667BA"/>
    <w:rsid w:val="00E71ABA"/>
    <w:rsid w:val="00E73856"/>
    <w:rsid w:val="00E7469E"/>
    <w:rsid w:val="00E76765"/>
    <w:rsid w:val="00E822BE"/>
    <w:rsid w:val="00E90332"/>
    <w:rsid w:val="00EA1E51"/>
    <w:rsid w:val="00EA2887"/>
    <w:rsid w:val="00EA374E"/>
    <w:rsid w:val="00EA71AD"/>
    <w:rsid w:val="00EB078F"/>
    <w:rsid w:val="00EB1BA3"/>
    <w:rsid w:val="00EB265E"/>
    <w:rsid w:val="00EB2D5A"/>
    <w:rsid w:val="00EB3F6F"/>
    <w:rsid w:val="00EB5938"/>
    <w:rsid w:val="00EC290C"/>
    <w:rsid w:val="00EC3F96"/>
    <w:rsid w:val="00ED0CE4"/>
    <w:rsid w:val="00ED70B4"/>
    <w:rsid w:val="00EE3EF4"/>
    <w:rsid w:val="00EE5622"/>
    <w:rsid w:val="00EF054A"/>
    <w:rsid w:val="00F049D3"/>
    <w:rsid w:val="00F107C5"/>
    <w:rsid w:val="00F15DF6"/>
    <w:rsid w:val="00F20A59"/>
    <w:rsid w:val="00F222CB"/>
    <w:rsid w:val="00F24B5C"/>
    <w:rsid w:val="00F26F1A"/>
    <w:rsid w:val="00F31171"/>
    <w:rsid w:val="00F32DBB"/>
    <w:rsid w:val="00F33077"/>
    <w:rsid w:val="00F36D79"/>
    <w:rsid w:val="00F4377C"/>
    <w:rsid w:val="00F43788"/>
    <w:rsid w:val="00F51AF8"/>
    <w:rsid w:val="00F57AF8"/>
    <w:rsid w:val="00F66D43"/>
    <w:rsid w:val="00F70300"/>
    <w:rsid w:val="00F715BE"/>
    <w:rsid w:val="00F74CB9"/>
    <w:rsid w:val="00F74E57"/>
    <w:rsid w:val="00F75D89"/>
    <w:rsid w:val="00F81DD8"/>
    <w:rsid w:val="00F822D8"/>
    <w:rsid w:val="00F8320D"/>
    <w:rsid w:val="00F84B1B"/>
    <w:rsid w:val="00F85EEB"/>
    <w:rsid w:val="00F917A9"/>
    <w:rsid w:val="00F92C6A"/>
    <w:rsid w:val="00F94D78"/>
    <w:rsid w:val="00FA2245"/>
    <w:rsid w:val="00FA55DF"/>
    <w:rsid w:val="00FB04BF"/>
    <w:rsid w:val="00FB45CD"/>
    <w:rsid w:val="00FC1C14"/>
    <w:rsid w:val="00FC3862"/>
    <w:rsid w:val="00FC709B"/>
    <w:rsid w:val="00FD21F1"/>
    <w:rsid w:val="00FD2ED3"/>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48573801">
      <w:bodyDiv w:val="1"/>
      <w:marLeft w:val="0"/>
      <w:marRight w:val="0"/>
      <w:marTop w:val="0"/>
      <w:marBottom w:val="0"/>
      <w:divBdr>
        <w:top w:val="none" w:sz="0" w:space="0" w:color="auto"/>
        <w:left w:val="none" w:sz="0" w:space="0" w:color="auto"/>
        <w:bottom w:val="none" w:sz="0" w:space="0" w:color="auto"/>
        <w:right w:val="none" w:sz="0" w:space="0" w:color="auto"/>
      </w:divBdr>
    </w:div>
    <w:div w:id="130633373">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98008582">
      <w:bodyDiv w:val="1"/>
      <w:marLeft w:val="0"/>
      <w:marRight w:val="0"/>
      <w:marTop w:val="0"/>
      <w:marBottom w:val="0"/>
      <w:divBdr>
        <w:top w:val="none" w:sz="0" w:space="0" w:color="auto"/>
        <w:left w:val="none" w:sz="0" w:space="0" w:color="auto"/>
        <w:bottom w:val="none" w:sz="0" w:space="0" w:color="auto"/>
        <w:right w:val="none" w:sz="0" w:space="0" w:color="auto"/>
      </w:divBdr>
    </w:div>
    <w:div w:id="264119329">
      <w:bodyDiv w:val="1"/>
      <w:marLeft w:val="0"/>
      <w:marRight w:val="0"/>
      <w:marTop w:val="0"/>
      <w:marBottom w:val="0"/>
      <w:divBdr>
        <w:top w:val="none" w:sz="0" w:space="0" w:color="auto"/>
        <w:left w:val="none" w:sz="0" w:space="0" w:color="auto"/>
        <w:bottom w:val="none" w:sz="0" w:space="0" w:color="auto"/>
        <w:right w:val="none" w:sz="0" w:space="0" w:color="auto"/>
      </w:divBdr>
    </w:div>
    <w:div w:id="270868064">
      <w:bodyDiv w:val="1"/>
      <w:marLeft w:val="0"/>
      <w:marRight w:val="0"/>
      <w:marTop w:val="0"/>
      <w:marBottom w:val="0"/>
      <w:divBdr>
        <w:top w:val="none" w:sz="0" w:space="0" w:color="auto"/>
        <w:left w:val="none" w:sz="0" w:space="0" w:color="auto"/>
        <w:bottom w:val="none" w:sz="0" w:space="0" w:color="auto"/>
        <w:right w:val="none" w:sz="0" w:space="0" w:color="auto"/>
      </w:divBdr>
    </w:div>
    <w:div w:id="290550827">
      <w:bodyDiv w:val="1"/>
      <w:marLeft w:val="0"/>
      <w:marRight w:val="0"/>
      <w:marTop w:val="0"/>
      <w:marBottom w:val="0"/>
      <w:divBdr>
        <w:top w:val="none" w:sz="0" w:space="0" w:color="auto"/>
        <w:left w:val="none" w:sz="0" w:space="0" w:color="auto"/>
        <w:bottom w:val="none" w:sz="0" w:space="0" w:color="auto"/>
        <w:right w:val="none" w:sz="0" w:space="0" w:color="auto"/>
      </w:divBdr>
    </w:div>
    <w:div w:id="29139887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49512707">
      <w:bodyDiv w:val="1"/>
      <w:marLeft w:val="0"/>
      <w:marRight w:val="0"/>
      <w:marTop w:val="0"/>
      <w:marBottom w:val="0"/>
      <w:divBdr>
        <w:top w:val="none" w:sz="0" w:space="0" w:color="auto"/>
        <w:left w:val="none" w:sz="0" w:space="0" w:color="auto"/>
        <w:bottom w:val="none" w:sz="0" w:space="0" w:color="auto"/>
        <w:right w:val="none" w:sz="0" w:space="0" w:color="auto"/>
      </w:divBdr>
    </w:div>
    <w:div w:id="477187580">
      <w:bodyDiv w:val="1"/>
      <w:marLeft w:val="0"/>
      <w:marRight w:val="0"/>
      <w:marTop w:val="0"/>
      <w:marBottom w:val="0"/>
      <w:divBdr>
        <w:top w:val="none" w:sz="0" w:space="0" w:color="auto"/>
        <w:left w:val="none" w:sz="0" w:space="0" w:color="auto"/>
        <w:bottom w:val="none" w:sz="0" w:space="0" w:color="auto"/>
        <w:right w:val="none" w:sz="0" w:space="0" w:color="auto"/>
      </w:divBdr>
    </w:div>
    <w:div w:id="484397395">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516307508">
      <w:bodyDiv w:val="1"/>
      <w:marLeft w:val="0"/>
      <w:marRight w:val="0"/>
      <w:marTop w:val="0"/>
      <w:marBottom w:val="0"/>
      <w:divBdr>
        <w:top w:val="none" w:sz="0" w:space="0" w:color="auto"/>
        <w:left w:val="none" w:sz="0" w:space="0" w:color="auto"/>
        <w:bottom w:val="none" w:sz="0" w:space="0" w:color="auto"/>
        <w:right w:val="none" w:sz="0" w:space="0" w:color="auto"/>
      </w:divBdr>
    </w:div>
    <w:div w:id="575437450">
      <w:bodyDiv w:val="1"/>
      <w:marLeft w:val="0"/>
      <w:marRight w:val="0"/>
      <w:marTop w:val="0"/>
      <w:marBottom w:val="0"/>
      <w:divBdr>
        <w:top w:val="none" w:sz="0" w:space="0" w:color="auto"/>
        <w:left w:val="none" w:sz="0" w:space="0" w:color="auto"/>
        <w:bottom w:val="none" w:sz="0" w:space="0" w:color="auto"/>
        <w:right w:val="none" w:sz="0" w:space="0" w:color="auto"/>
      </w:divBdr>
    </w:div>
    <w:div w:id="602612718">
      <w:bodyDiv w:val="1"/>
      <w:marLeft w:val="0"/>
      <w:marRight w:val="0"/>
      <w:marTop w:val="0"/>
      <w:marBottom w:val="0"/>
      <w:divBdr>
        <w:top w:val="none" w:sz="0" w:space="0" w:color="auto"/>
        <w:left w:val="none" w:sz="0" w:space="0" w:color="auto"/>
        <w:bottom w:val="none" w:sz="0" w:space="0" w:color="auto"/>
        <w:right w:val="none" w:sz="0" w:space="0" w:color="auto"/>
      </w:divBdr>
    </w:div>
    <w:div w:id="612253717">
      <w:bodyDiv w:val="1"/>
      <w:marLeft w:val="0"/>
      <w:marRight w:val="0"/>
      <w:marTop w:val="0"/>
      <w:marBottom w:val="0"/>
      <w:divBdr>
        <w:top w:val="none" w:sz="0" w:space="0" w:color="auto"/>
        <w:left w:val="none" w:sz="0" w:space="0" w:color="auto"/>
        <w:bottom w:val="none" w:sz="0" w:space="0" w:color="auto"/>
        <w:right w:val="none" w:sz="0" w:space="0" w:color="auto"/>
      </w:divBdr>
    </w:div>
    <w:div w:id="651256250">
      <w:bodyDiv w:val="1"/>
      <w:marLeft w:val="0"/>
      <w:marRight w:val="0"/>
      <w:marTop w:val="0"/>
      <w:marBottom w:val="0"/>
      <w:divBdr>
        <w:top w:val="none" w:sz="0" w:space="0" w:color="auto"/>
        <w:left w:val="none" w:sz="0" w:space="0" w:color="auto"/>
        <w:bottom w:val="none" w:sz="0" w:space="0" w:color="auto"/>
        <w:right w:val="none" w:sz="0" w:space="0" w:color="auto"/>
      </w:divBdr>
    </w:div>
    <w:div w:id="65418601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83245483">
      <w:bodyDiv w:val="1"/>
      <w:marLeft w:val="0"/>
      <w:marRight w:val="0"/>
      <w:marTop w:val="0"/>
      <w:marBottom w:val="0"/>
      <w:divBdr>
        <w:top w:val="none" w:sz="0" w:space="0" w:color="auto"/>
        <w:left w:val="none" w:sz="0" w:space="0" w:color="auto"/>
        <w:bottom w:val="none" w:sz="0" w:space="0" w:color="auto"/>
        <w:right w:val="none" w:sz="0" w:space="0" w:color="auto"/>
      </w:divBdr>
    </w:div>
    <w:div w:id="684789127">
      <w:bodyDiv w:val="1"/>
      <w:marLeft w:val="0"/>
      <w:marRight w:val="0"/>
      <w:marTop w:val="0"/>
      <w:marBottom w:val="0"/>
      <w:divBdr>
        <w:top w:val="none" w:sz="0" w:space="0" w:color="auto"/>
        <w:left w:val="none" w:sz="0" w:space="0" w:color="auto"/>
        <w:bottom w:val="none" w:sz="0" w:space="0" w:color="auto"/>
        <w:right w:val="none" w:sz="0" w:space="0" w:color="auto"/>
      </w:divBdr>
    </w:div>
    <w:div w:id="750195111">
      <w:bodyDiv w:val="1"/>
      <w:marLeft w:val="0"/>
      <w:marRight w:val="0"/>
      <w:marTop w:val="0"/>
      <w:marBottom w:val="0"/>
      <w:divBdr>
        <w:top w:val="none" w:sz="0" w:space="0" w:color="auto"/>
        <w:left w:val="none" w:sz="0" w:space="0" w:color="auto"/>
        <w:bottom w:val="none" w:sz="0" w:space="0" w:color="auto"/>
        <w:right w:val="none" w:sz="0" w:space="0" w:color="auto"/>
      </w:divBdr>
    </w:div>
    <w:div w:id="758334264">
      <w:bodyDiv w:val="1"/>
      <w:marLeft w:val="0"/>
      <w:marRight w:val="0"/>
      <w:marTop w:val="0"/>
      <w:marBottom w:val="0"/>
      <w:divBdr>
        <w:top w:val="none" w:sz="0" w:space="0" w:color="auto"/>
        <w:left w:val="none" w:sz="0" w:space="0" w:color="auto"/>
        <w:bottom w:val="none" w:sz="0" w:space="0" w:color="auto"/>
        <w:right w:val="none" w:sz="0" w:space="0" w:color="auto"/>
      </w:divBdr>
    </w:div>
    <w:div w:id="799766993">
      <w:bodyDiv w:val="1"/>
      <w:marLeft w:val="0"/>
      <w:marRight w:val="0"/>
      <w:marTop w:val="0"/>
      <w:marBottom w:val="0"/>
      <w:divBdr>
        <w:top w:val="none" w:sz="0" w:space="0" w:color="auto"/>
        <w:left w:val="none" w:sz="0" w:space="0" w:color="auto"/>
        <w:bottom w:val="none" w:sz="0" w:space="0" w:color="auto"/>
        <w:right w:val="none" w:sz="0" w:space="0" w:color="auto"/>
      </w:divBdr>
    </w:div>
    <w:div w:id="810562631">
      <w:bodyDiv w:val="1"/>
      <w:marLeft w:val="0"/>
      <w:marRight w:val="0"/>
      <w:marTop w:val="0"/>
      <w:marBottom w:val="0"/>
      <w:divBdr>
        <w:top w:val="none" w:sz="0" w:space="0" w:color="auto"/>
        <w:left w:val="none" w:sz="0" w:space="0" w:color="auto"/>
        <w:bottom w:val="none" w:sz="0" w:space="0" w:color="auto"/>
        <w:right w:val="none" w:sz="0" w:space="0" w:color="auto"/>
      </w:divBdr>
    </w:div>
    <w:div w:id="869687284">
      <w:bodyDiv w:val="1"/>
      <w:marLeft w:val="0"/>
      <w:marRight w:val="0"/>
      <w:marTop w:val="0"/>
      <w:marBottom w:val="0"/>
      <w:divBdr>
        <w:top w:val="none" w:sz="0" w:space="0" w:color="auto"/>
        <w:left w:val="none" w:sz="0" w:space="0" w:color="auto"/>
        <w:bottom w:val="none" w:sz="0" w:space="0" w:color="auto"/>
        <w:right w:val="none" w:sz="0" w:space="0" w:color="auto"/>
      </w:divBdr>
    </w:div>
    <w:div w:id="871453676">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6234153">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37174994">
      <w:bodyDiv w:val="1"/>
      <w:marLeft w:val="0"/>
      <w:marRight w:val="0"/>
      <w:marTop w:val="0"/>
      <w:marBottom w:val="0"/>
      <w:divBdr>
        <w:top w:val="none" w:sz="0" w:space="0" w:color="auto"/>
        <w:left w:val="none" w:sz="0" w:space="0" w:color="auto"/>
        <w:bottom w:val="none" w:sz="0" w:space="0" w:color="auto"/>
        <w:right w:val="none" w:sz="0" w:space="0" w:color="auto"/>
      </w:divBdr>
    </w:div>
    <w:div w:id="952127057">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33503629">
      <w:bodyDiv w:val="1"/>
      <w:marLeft w:val="0"/>
      <w:marRight w:val="0"/>
      <w:marTop w:val="0"/>
      <w:marBottom w:val="0"/>
      <w:divBdr>
        <w:top w:val="none" w:sz="0" w:space="0" w:color="auto"/>
        <w:left w:val="none" w:sz="0" w:space="0" w:color="auto"/>
        <w:bottom w:val="none" w:sz="0" w:space="0" w:color="auto"/>
        <w:right w:val="none" w:sz="0" w:space="0" w:color="auto"/>
      </w:divBdr>
    </w:div>
    <w:div w:id="1101678885">
      <w:bodyDiv w:val="1"/>
      <w:marLeft w:val="0"/>
      <w:marRight w:val="0"/>
      <w:marTop w:val="0"/>
      <w:marBottom w:val="0"/>
      <w:divBdr>
        <w:top w:val="none" w:sz="0" w:space="0" w:color="auto"/>
        <w:left w:val="none" w:sz="0" w:space="0" w:color="auto"/>
        <w:bottom w:val="none" w:sz="0" w:space="0" w:color="auto"/>
        <w:right w:val="none" w:sz="0" w:space="0" w:color="auto"/>
      </w:divBdr>
    </w:div>
    <w:div w:id="1120225020">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0145355">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22253436">
      <w:bodyDiv w:val="1"/>
      <w:marLeft w:val="0"/>
      <w:marRight w:val="0"/>
      <w:marTop w:val="0"/>
      <w:marBottom w:val="0"/>
      <w:divBdr>
        <w:top w:val="none" w:sz="0" w:space="0" w:color="auto"/>
        <w:left w:val="none" w:sz="0" w:space="0" w:color="auto"/>
        <w:bottom w:val="none" w:sz="0" w:space="0" w:color="auto"/>
        <w:right w:val="none" w:sz="0" w:space="0" w:color="auto"/>
      </w:divBdr>
    </w:div>
    <w:div w:id="1235313892">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02685744">
      <w:bodyDiv w:val="1"/>
      <w:marLeft w:val="0"/>
      <w:marRight w:val="0"/>
      <w:marTop w:val="0"/>
      <w:marBottom w:val="0"/>
      <w:divBdr>
        <w:top w:val="none" w:sz="0" w:space="0" w:color="auto"/>
        <w:left w:val="none" w:sz="0" w:space="0" w:color="auto"/>
        <w:bottom w:val="none" w:sz="0" w:space="0" w:color="auto"/>
        <w:right w:val="none" w:sz="0" w:space="0" w:color="auto"/>
      </w:divBdr>
    </w:div>
    <w:div w:id="1308440511">
      <w:bodyDiv w:val="1"/>
      <w:marLeft w:val="0"/>
      <w:marRight w:val="0"/>
      <w:marTop w:val="0"/>
      <w:marBottom w:val="0"/>
      <w:divBdr>
        <w:top w:val="none" w:sz="0" w:space="0" w:color="auto"/>
        <w:left w:val="none" w:sz="0" w:space="0" w:color="auto"/>
        <w:bottom w:val="none" w:sz="0" w:space="0" w:color="auto"/>
        <w:right w:val="none" w:sz="0" w:space="0" w:color="auto"/>
      </w:divBdr>
    </w:div>
    <w:div w:id="1326859082">
      <w:bodyDiv w:val="1"/>
      <w:marLeft w:val="0"/>
      <w:marRight w:val="0"/>
      <w:marTop w:val="0"/>
      <w:marBottom w:val="0"/>
      <w:divBdr>
        <w:top w:val="none" w:sz="0" w:space="0" w:color="auto"/>
        <w:left w:val="none" w:sz="0" w:space="0" w:color="auto"/>
        <w:bottom w:val="none" w:sz="0" w:space="0" w:color="auto"/>
        <w:right w:val="none" w:sz="0" w:space="0" w:color="auto"/>
      </w:divBdr>
    </w:div>
    <w:div w:id="13509859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9781207">
      <w:bodyDiv w:val="1"/>
      <w:marLeft w:val="0"/>
      <w:marRight w:val="0"/>
      <w:marTop w:val="0"/>
      <w:marBottom w:val="0"/>
      <w:divBdr>
        <w:top w:val="none" w:sz="0" w:space="0" w:color="auto"/>
        <w:left w:val="none" w:sz="0" w:space="0" w:color="auto"/>
        <w:bottom w:val="none" w:sz="0" w:space="0" w:color="auto"/>
        <w:right w:val="none" w:sz="0" w:space="0" w:color="auto"/>
      </w:divBdr>
    </w:div>
    <w:div w:id="1510556706">
      <w:bodyDiv w:val="1"/>
      <w:marLeft w:val="0"/>
      <w:marRight w:val="0"/>
      <w:marTop w:val="0"/>
      <w:marBottom w:val="0"/>
      <w:divBdr>
        <w:top w:val="none" w:sz="0" w:space="0" w:color="auto"/>
        <w:left w:val="none" w:sz="0" w:space="0" w:color="auto"/>
        <w:bottom w:val="none" w:sz="0" w:space="0" w:color="auto"/>
        <w:right w:val="none" w:sz="0" w:space="0" w:color="auto"/>
      </w:divBdr>
    </w:div>
    <w:div w:id="1532570067">
      <w:bodyDiv w:val="1"/>
      <w:marLeft w:val="0"/>
      <w:marRight w:val="0"/>
      <w:marTop w:val="0"/>
      <w:marBottom w:val="0"/>
      <w:divBdr>
        <w:top w:val="none" w:sz="0" w:space="0" w:color="auto"/>
        <w:left w:val="none" w:sz="0" w:space="0" w:color="auto"/>
        <w:bottom w:val="none" w:sz="0" w:space="0" w:color="auto"/>
        <w:right w:val="none" w:sz="0" w:space="0" w:color="auto"/>
      </w:divBdr>
    </w:div>
    <w:div w:id="1554273589">
      <w:bodyDiv w:val="1"/>
      <w:marLeft w:val="0"/>
      <w:marRight w:val="0"/>
      <w:marTop w:val="0"/>
      <w:marBottom w:val="0"/>
      <w:divBdr>
        <w:top w:val="none" w:sz="0" w:space="0" w:color="auto"/>
        <w:left w:val="none" w:sz="0" w:space="0" w:color="auto"/>
        <w:bottom w:val="none" w:sz="0" w:space="0" w:color="auto"/>
        <w:right w:val="none" w:sz="0" w:space="0" w:color="auto"/>
      </w:divBdr>
    </w:div>
    <w:div w:id="1574242995">
      <w:bodyDiv w:val="1"/>
      <w:marLeft w:val="0"/>
      <w:marRight w:val="0"/>
      <w:marTop w:val="0"/>
      <w:marBottom w:val="0"/>
      <w:divBdr>
        <w:top w:val="none" w:sz="0" w:space="0" w:color="auto"/>
        <w:left w:val="none" w:sz="0" w:space="0" w:color="auto"/>
        <w:bottom w:val="none" w:sz="0" w:space="0" w:color="auto"/>
        <w:right w:val="none" w:sz="0" w:space="0" w:color="auto"/>
      </w:divBdr>
    </w:div>
    <w:div w:id="1609577254">
      <w:bodyDiv w:val="1"/>
      <w:marLeft w:val="0"/>
      <w:marRight w:val="0"/>
      <w:marTop w:val="0"/>
      <w:marBottom w:val="0"/>
      <w:divBdr>
        <w:top w:val="none" w:sz="0" w:space="0" w:color="auto"/>
        <w:left w:val="none" w:sz="0" w:space="0" w:color="auto"/>
        <w:bottom w:val="none" w:sz="0" w:space="0" w:color="auto"/>
        <w:right w:val="none" w:sz="0" w:space="0" w:color="auto"/>
      </w:divBdr>
    </w:div>
    <w:div w:id="1626618675">
      <w:bodyDiv w:val="1"/>
      <w:marLeft w:val="0"/>
      <w:marRight w:val="0"/>
      <w:marTop w:val="0"/>
      <w:marBottom w:val="0"/>
      <w:divBdr>
        <w:top w:val="none" w:sz="0" w:space="0" w:color="auto"/>
        <w:left w:val="none" w:sz="0" w:space="0" w:color="auto"/>
        <w:bottom w:val="none" w:sz="0" w:space="0" w:color="auto"/>
        <w:right w:val="none" w:sz="0" w:space="0" w:color="auto"/>
      </w:divBdr>
    </w:div>
    <w:div w:id="1636518995">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64711758">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8416310">
      <w:bodyDiv w:val="1"/>
      <w:marLeft w:val="0"/>
      <w:marRight w:val="0"/>
      <w:marTop w:val="0"/>
      <w:marBottom w:val="0"/>
      <w:divBdr>
        <w:top w:val="none" w:sz="0" w:space="0" w:color="auto"/>
        <w:left w:val="none" w:sz="0" w:space="0" w:color="auto"/>
        <w:bottom w:val="none" w:sz="0" w:space="0" w:color="auto"/>
        <w:right w:val="none" w:sz="0" w:space="0" w:color="auto"/>
      </w:divBdr>
    </w:div>
    <w:div w:id="2001231040">
      <w:bodyDiv w:val="1"/>
      <w:marLeft w:val="0"/>
      <w:marRight w:val="0"/>
      <w:marTop w:val="0"/>
      <w:marBottom w:val="0"/>
      <w:divBdr>
        <w:top w:val="none" w:sz="0" w:space="0" w:color="auto"/>
        <w:left w:val="none" w:sz="0" w:space="0" w:color="auto"/>
        <w:bottom w:val="none" w:sz="0" w:space="0" w:color="auto"/>
        <w:right w:val="none" w:sz="0" w:space="0" w:color="auto"/>
      </w:divBdr>
    </w:div>
    <w:div w:id="2019458081">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66558932">
      <w:bodyDiv w:val="1"/>
      <w:marLeft w:val="0"/>
      <w:marRight w:val="0"/>
      <w:marTop w:val="0"/>
      <w:marBottom w:val="0"/>
      <w:divBdr>
        <w:top w:val="none" w:sz="0" w:space="0" w:color="auto"/>
        <w:left w:val="none" w:sz="0" w:space="0" w:color="auto"/>
        <w:bottom w:val="none" w:sz="0" w:space="0" w:color="auto"/>
        <w:right w:val="none" w:sz="0" w:space="0" w:color="auto"/>
      </w:divBdr>
    </w:div>
    <w:div w:id="2097703260">
      <w:bodyDiv w:val="1"/>
      <w:marLeft w:val="0"/>
      <w:marRight w:val="0"/>
      <w:marTop w:val="0"/>
      <w:marBottom w:val="0"/>
      <w:divBdr>
        <w:top w:val="none" w:sz="0" w:space="0" w:color="auto"/>
        <w:left w:val="none" w:sz="0" w:space="0" w:color="auto"/>
        <w:bottom w:val="none" w:sz="0" w:space="0" w:color="auto"/>
        <w:right w:val="none" w:sz="0" w:space="0" w:color="auto"/>
      </w:divBdr>
    </w:div>
    <w:div w:id="211243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tc.2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12</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575</cp:revision>
  <dcterms:created xsi:type="dcterms:W3CDTF">2024-03-16T12:12:00Z</dcterms:created>
  <dcterms:modified xsi:type="dcterms:W3CDTF">2025-05-01T14:36:00Z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