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3F9D0" w14:textId="77777777" w:rsidR="00C825A2" w:rsidRDefault="008904C8">
      <w:pPr>
        <w:spacing w:after="0" w:line="259" w:lineRule="auto"/>
        <w:ind w:right="17"/>
        <w:jc w:val="center"/>
      </w:pPr>
      <w:r>
        <w:rPr>
          <w:b/>
          <w:sz w:val="28"/>
        </w:rPr>
        <w:t xml:space="preserve">FORMULATION AND EVALUATION OF BUCCAL DISPERSIBLE </w:t>
      </w:r>
    </w:p>
    <w:p w14:paraId="3F436C8A" w14:textId="77777777" w:rsidR="00C825A2" w:rsidRDefault="008904C8">
      <w:pPr>
        <w:spacing w:after="155" w:line="259" w:lineRule="auto"/>
        <w:jc w:val="center"/>
      </w:pPr>
      <w:r>
        <w:rPr>
          <w:b/>
          <w:sz w:val="28"/>
        </w:rPr>
        <w:t xml:space="preserve">TABLETS OF REPAGLINIDE </w:t>
      </w:r>
    </w:p>
    <w:p w14:paraId="18A7CB05" w14:textId="77777777" w:rsidR="00C825A2" w:rsidRDefault="008904C8">
      <w:pPr>
        <w:spacing w:after="157" w:line="259" w:lineRule="auto"/>
        <w:ind w:left="190" w:right="0"/>
        <w:jc w:val="left"/>
      </w:pPr>
      <w:r>
        <w:rPr>
          <w:b/>
          <w:sz w:val="28"/>
        </w:rPr>
        <w:t>Miss</w:t>
      </w:r>
      <w:r>
        <w:rPr>
          <w:b/>
          <w:color w:val="D13438"/>
          <w:sz w:val="28"/>
          <w:u w:val="single" w:color="D13438"/>
        </w:rPr>
        <w:t>.</w:t>
      </w:r>
      <w:r>
        <w:rPr>
          <w:b/>
          <w:sz w:val="28"/>
        </w:rPr>
        <w:t xml:space="preserve"> Wagh Pranali Sudam, Prof. Lokhane Prajakta Dr. Megha T. Salve. </w:t>
      </w:r>
    </w:p>
    <w:p w14:paraId="78242CF8" w14:textId="77777777" w:rsidR="00C825A2" w:rsidRDefault="008904C8">
      <w:pPr>
        <w:spacing w:after="0" w:line="259" w:lineRule="auto"/>
        <w:jc w:val="center"/>
      </w:pPr>
      <w:r>
        <w:rPr>
          <w:sz w:val="28"/>
        </w:rPr>
        <w:t xml:space="preserve">Shivajirao pawar college of pharmacy Pachegaon Tal : Newasa , Dist : </w:t>
      </w:r>
    </w:p>
    <w:p w14:paraId="1EDE221A" w14:textId="77777777" w:rsidR="00C825A2" w:rsidRDefault="008904C8">
      <w:pPr>
        <w:spacing w:after="157" w:line="259" w:lineRule="auto"/>
        <w:jc w:val="center"/>
      </w:pPr>
      <w:r>
        <w:rPr>
          <w:sz w:val="28"/>
        </w:rPr>
        <w:t xml:space="preserve">Ahilyanagar  </w:t>
      </w:r>
    </w:p>
    <w:p w14:paraId="4ACF0A99" w14:textId="77777777" w:rsidR="00C825A2" w:rsidRDefault="008904C8">
      <w:pPr>
        <w:spacing w:after="155" w:line="259" w:lineRule="auto"/>
        <w:ind w:left="0" w:right="0" w:firstLine="0"/>
        <w:jc w:val="left"/>
      </w:pPr>
      <w:r>
        <w:rPr>
          <w:b/>
          <w:sz w:val="28"/>
        </w:rPr>
        <w:t xml:space="preserve"> </w:t>
      </w:r>
    </w:p>
    <w:p w14:paraId="03D6708B" w14:textId="77777777" w:rsidR="00C825A2" w:rsidRDefault="008904C8">
      <w:pPr>
        <w:spacing w:after="157" w:line="259" w:lineRule="auto"/>
        <w:ind w:left="0" w:right="0" w:firstLine="0"/>
        <w:jc w:val="left"/>
      </w:pPr>
      <w:r>
        <w:rPr>
          <w:b/>
          <w:sz w:val="28"/>
        </w:rPr>
        <w:t xml:space="preserve"> </w:t>
      </w:r>
    </w:p>
    <w:p w14:paraId="54A8399F" w14:textId="77777777" w:rsidR="00C825A2" w:rsidRDefault="008904C8">
      <w:pPr>
        <w:pStyle w:val="Heading1"/>
        <w:spacing w:after="117"/>
        <w:ind w:left="-5" w:right="0"/>
      </w:pPr>
      <w:r>
        <w:t xml:space="preserve">ABSTRACT  </w:t>
      </w:r>
    </w:p>
    <w:p w14:paraId="54B75A48" w14:textId="77777777" w:rsidR="00C825A2" w:rsidRDefault="008904C8">
      <w:pPr>
        <w:ind w:left="-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C9F182" wp14:editId="0542EA03">
                <wp:simplePos x="0" y="0"/>
                <wp:positionH relativeFrom="page">
                  <wp:posOffset>457200</wp:posOffset>
                </wp:positionH>
                <wp:positionV relativeFrom="page">
                  <wp:posOffset>1457198</wp:posOffset>
                </wp:positionV>
                <wp:extent cx="9144" cy="323088"/>
                <wp:effectExtent l="0" t="0" r="0" b="0"/>
                <wp:wrapSquare wrapText="bothSides"/>
                <wp:docPr id="13672" name="Group 13672"/>
                <wp:cNvGraphicFramePr/>
                <a:graphic xmlns:a="http://schemas.openxmlformats.org/drawingml/2006/main">
                  <a:graphicData uri="http://schemas.microsoft.com/office/word/2010/wordprocessingGroup">
                    <wpg:wgp>
                      <wpg:cNvGrpSpPr/>
                      <wpg:grpSpPr>
                        <a:xfrm>
                          <a:off x="0" y="0"/>
                          <a:ext cx="9144" cy="323088"/>
                          <a:chOff x="0" y="0"/>
                          <a:chExt cx="9144" cy="323088"/>
                        </a:xfrm>
                      </wpg:grpSpPr>
                      <wps:wsp>
                        <wps:cNvPr id="17154" name="Shape 17154"/>
                        <wps:cNvSpPr/>
                        <wps:spPr>
                          <a:xfrm>
                            <a:off x="0" y="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2" style="width:0.720001pt;height:25.44pt;position:absolute;mso-position-horizontal-relative:page;mso-position-horizontal:absolute;margin-left:36pt;mso-position-vertical-relative:page;margin-top:114.74pt;" coordsize="91,3230">
                <v:shape id="Shape 17155" style="position:absolute;width:91;height:3230;left:0;top:0;" coordsize="9144,323088" path="m0,0l9144,0l9144,323088l0,323088l0,0">
                  <v:stroke weight="0pt" endcap="flat" joinstyle="miter" miterlimit="10" on="false" color="#000000" opacity="0"/>
                  <v:fill on="true" color="#000000"/>
                </v:shape>
                <w10:wrap type="square"/>
              </v:group>
            </w:pict>
          </mc:Fallback>
        </mc:AlternateContent>
      </w:r>
      <w:r>
        <w:t>Buccal dispersible tablets (BDTs) are an innovative oral drug delivery system designed to enhance drug absorption and patient compliance. These tablets dissolve quickly in the buccal cavity without the need for water, offering an alternative for patients with swallowing difficulties. Repaglinide, a short-acting oral hypoglycemic agent used in the management of type 2 diabetes mellitus, suffers from low bioavailability due to extensive first-pass metabolism. The present study focuses on the formulation and e</w:t>
      </w:r>
      <w:r>
        <w:t xml:space="preserve">valuation of buccal dispersible tablets of Repaglinide to enhance its dissolution rate and bioavailability. Various formulations were developed using direct compression techniques, incorporating different concentrations of super disintegrants such as, Sodium Starch Glycolate, and Croscarmellose Sodium. Pre compression parameters, including bulk density, tapped density, angle of repose, and compressibility index, were evaluated to ensure good flow properties of the powder blend. Post-compression evaluations </w:t>
      </w:r>
      <w:r>
        <w:t>were conducted for hardness, thickness, friability, wetting time, disintegration time, drug content uniformity. The results indicated that formulations containing Sodium Starch Glycolate exhibited the fastest disintegration time and superior drug release profile compared to other super disintegrants. The optimized formulation showed rapid dissolution, achieving significant drug release within the first 10 minutes. Stability studies confirmed that the selected formulation remained stable under accelerated co</w:t>
      </w:r>
      <w:r>
        <w:t xml:space="preserve">nditions for a specified period. The findings suggest that buccal dispersible tablets of Repaglinide could serve as an effective and convenient alternative for managing postprandial hyperglycemia in diabetic patients </w:t>
      </w:r>
    </w:p>
    <w:p w14:paraId="190F6DFA" w14:textId="77777777" w:rsidR="00C825A2" w:rsidRDefault="008904C8">
      <w:pPr>
        <w:ind w:left="-5" w:right="0"/>
      </w:pPr>
      <w:r>
        <w:t xml:space="preserve">Keyword:- Buccal dispersible tablets, Repaglinide, Super disintegrants, hyperglycemia, Diabetics. </w:t>
      </w:r>
    </w:p>
    <w:p w14:paraId="7FFABFEC" w14:textId="77777777" w:rsidR="00C825A2" w:rsidRDefault="008904C8">
      <w:pPr>
        <w:spacing w:after="0" w:line="259" w:lineRule="auto"/>
        <w:ind w:left="0" w:right="0" w:firstLine="0"/>
        <w:jc w:val="left"/>
      </w:pPr>
      <w:r>
        <w:rPr>
          <w:b/>
        </w:rPr>
        <w:t xml:space="preserve"> </w:t>
      </w:r>
    </w:p>
    <w:p w14:paraId="51A1B21A" w14:textId="77777777" w:rsidR="00C825A2" w:rsidRDefault="008904C8">
      <w:pPr>
        <w:spacing w:after="274" w:line="259" w:lineRule="auto"/>
        <w:ind w:left="0" w:right="0" w:firstLine="0"/>
        <w:jc w:val="left"/>
      </w:pPr>
      <w:r>
        <w:rPr>
          <w:b/>
        </w:rPr>
        <w:t xml:space="preserve"> </w:t>
      </w:r>
    </w:p>
    <w:p w14:paraId="433A628A" w14:textId="77777777" w:rsidR="00C825A2" w:rsidRDefault="008904C8">
      <w:pPr>
        <w:spacing w:after="312" w:line="259" w:lineRule="auto"/>
        <w:ind w:left="0" w:right="0" w:firstLine="0"/>
        <w:jc w:val="left"/>
      </w:pPr>
      <w:r>
        <w:rPr>
          <w:b/>
        </w:rPr>
        <w:t xml:space="preserve"> </w:t>
      </w:r>
    </w:p>
    <w:p w14:paraId="31E332D5" w14:textId="77777777" w:rsidR="00C825A2" w:rsidRDefault="008904C8">
      <w:pPr>
        <w:pStyle w:val="Heading1"/>
        <w:ind w:left="-5" w:right="0"/>
      </w:pPr>
      <w:r>
        <w:lastRenderedPageBreak/>
        <w:t xml:space="preserve">INTRODUCTION </w:t>
      </w:r>
    </w:p>
    <w:p w14:paraId="7421E207" w14:textId="77777777" w:rsidR="00C825A2" w:rsidRDefault="008904C8">
      <w:pPr>
        <w:spacing w:after="0"/>
        <w:ind w:left="-5" w:right="0"/>
      </w:pPr>
      <w:r>
        <w:t>The pharmaceutical industry has engendered considerable interest making it a major participant in the healthcare industry. The advances and progress made by pharmaceutical industry have greatly contributed in terms of treatment of disease, thereby enhancing the quality of life.[1] Over the time, scientists and researchers in the drug development industries are focusing on alternate routes of administration to add to the potential of approved drug products, or to overcome the drawbacks of the oral route. Alt</w:t>
      </w:r>
      <w:r>
        <w:t>hough oral route is preferred for administration of drugs, it is associated with some restrictions for example: hepatic first pass metabolism, local GI toxicity and enzymatic degradation within the GI tract. One strategy that has been reasonably successful to circumvent such problems is to deliver drugs systemically via an alternate route of administration such as intranasal (IN), buccal/sublingual, pulmonary, or transdermal (TD).[2] Transmucosal routes of drug delivery which comprise of the mucosal linings</w:t>
      </w:r>
      <w:r>
        <w:t xml:space="preserve"> of the nasal, rectal, vaginal, ocular, and oral cavity offer excellent opportunities and potential advantages over peroral administration for systemic drug delivery. These advantages include possible bypass of first pass effect, avoidance of pre-systemic elimination within the GI tract and depending on the particular drug, a better enzymatic flora for drug absorption.[3] The sites of drug administration in the oral cavity include the floor of the mouth (sublingual), the inside of the cheeks (buccal) and th</w:t>
      </w:r>
      <w:r>
        <w:t>e gums (gingival).[4] With the advances and progress in biotechnology, hydrophilic high molecular weight therapeutic agents such as proteins and peptides are readily available for therapeutic use. However, when administered by the oral route, these agents suffer from problems such as degradation and poor absorption. To overcome these obstacles and for successful delivery of proteins and peptides, the buccal route of drug delivery has acquired significant attention.[5] In view of the systemic transmucosal dr</w:t>
      </w:r>
      <w:r>
        <w:t>ug delivery, the buccal mucosa is the preferred region as compared to the sublingual mucosa. One of the reasons is that buccal mucosa is less permeable and is thus not able to elicit a rapid onset of absorption and hence better suited for formulations that are intended for sustained release action. Further, the buccal mucosa being relatively immobile mucosa and readily accessible, it makes it more advantageous for retentive systems used for oral transmucosal drug delivery. Over the past few decades, the con</w:t>
      </w:r>
      <w:r>
        <w:t>cept of use of bioadhesive polymers to prolong the contact time has gained remarkable attention in transmucosal drug delivery. Adhesion as a process is simply defined as the “fixing” of two surfaces to one another. Bioadhesion may be defined as the state in which two materials, at least one of which is biological in nature, are held together for extended periods of time by interfacial forces. In the pharmaceutical sciences, when the adhesive attachment is to mucus or a mucous membrane, the phenomenon is ref</w:t>
      </w:r>
      <w:r>
        <w:t xml:space="preserve">erred to as mucoadhesion.[6] Thorough and vast research over the past few years has resulted in profound advances in understanding the concepts and aspects of mucoadhesion. To accomplish site-specific drug delivery, a lot of interest has been turned on to the concept of mucoadhesion, </w:t>
      </w:r>
      <w:r>
        <w:lastRenderedPageBreak/>
        <w:t xml:space="preserve">which encompasses a pharmaceutical formulation incorporating mucoadhesive hydrophilic polymers along with the active pharmaceutical ingredient (API). </w:t>
      </w:r>
    </w:p>
    <w:p w14:paraId="52E91FC7" w14:textId="77777777" w:rsidR="00C825A2" w:rsidRDefault="008904C8">
      <w:pPr>
        <w:spacing w:after="196"/>
        <w:ind w:left="-5" w:right="0"/>
      </w:pPr>
      <w:r>
        <w:t>The rationale being that the formulation will be ‘held’ on a biological surface for localized drug delivery and the release of API will be close to the site of action leading to enhanced bioavailability.[7] In the early 1980’s, Professor Joseph R. Robinson at the University of Wisconsin pioneered the concept of mucoadhesion as a new strategy to prolong the residence time of various drugs on the ocular surface. Over the years, mucoadhesive polymers were shown to be able to adhere to various other mucosal mem</w:t>
      </w:r>
      <w:r>
        <w:t>branes. The capability to adhere to the mucus gel layer which covers epithelial tissues makes such polymers very useful excipients in drug delivery.[8]</w:t>
      </w:r>
      <w:r>
        <w:rPr>
          <w:rFonts w:ascii="Calibri" w:eastAsia="Calibri" w:hAnsi="Calibri" w:cs="Calibri"/>
        </w:rPr>
        <w:t xml:space="preserve"> </w:t>
      </w:r>
      <w:r>
        <w:t>Mucoadhesion is known to increase the intimacy and duration of contact between drug- containing polymer and a mucous surface. It is believed that the mucoadhesive nature of the device can increase the residence time of the drug in the body. The bioavailability of the drug is improved because of the combined effects of the direct drug absorption and the decre</w:t>
      </w:r>
      <w:r>
        <w:t xml:space="preserve">ase in excretion rate. Increased residence time and adhesion may lead to lower API concentrations and lower administration frequency to achieve the desired therapeutic outcome.[9] </w:t>
      </w:r>
    </w:p>
    <w:p w14:paraId="5474EB16" w14:textId="77777777" w:rsidR="00C825A2" w:rsidRDefault="008904C8">
      <w:pPr>
        <w:pStyle w:val="Heading1"/>
        <w:ind w:left="-5" w:right="0"/>
      </w:pPr>
      <w:r>
        <w:t xml:space="preserve">Advantages of Buccal Drug Delivery System </w:t>
      </w:r>
      <w:r>
        <w:rPr>
          <w:b w:val="0"/>
        </w:rPr>
        <w:t xml:space="preserve">[10-15] </w:t>
      </w:r>
    </w:p>
    <w:p w14:paraId="246B8402" w14:textId="77777777" w:rsidR="00C825A2" w:rsidRDefault="008904C8">
      <w:pPr>
        <w:numPr>
          <w:ilvl w:val="0"/>
          <w:numId w:val="1"/>
        </w:numPr>
        <w:ind w:right="0" w:hanging="240"/>
      </w:pPr>
      <w:r>
        <w:t xml:space="preserve">The buccal mucosa is relatively permeable with a rich blood supply, robust in comparison to the other mucosal tissues.  </w:t>
      </w:r>
    </w:p>
    <w:p w14:paraId="4BB41279" w14:textId="77777777" w:rsidR="00C825A2" w:rsidRDefault="008904C8">
      <w:pPr>
        <w:numPr>
          <w:ilvl w:val="0"/>
          <w:numId w:val="1"/>
        </w:numPr>
        <w:spacing w:after="273" w:line="259" w:lineRule="auto"/>
        <w:ind w:right="0" w:hanging="240"/>
      </w:pPr>
      <w:r>
        <w:t xml:space="preserve">Bypass the first-pass effect and non-exposure of the drugs to the gastrointestinal fluids.  </w:t>
      </w:r>
    </w:p>
    <w:p w14:paraId="56358C50" w14:textId="77777777" w:rsidR="00C825A2" w:rsidRDefault="008904C8">
      <w:pPr>
        <w:numPr>
          <w:ilvl w:val="0"/>
          <w:numId w:val="1"/>
        </w:numPr>
        <w:ind w:right="0" w:hanging="240"/>
      </w:pPr>
      <w:r>
        <w:t xml:space="preserve">Easy access to the membrane sites so that the delivery system can be applied, localized and removed easily.  </w:t>
      </w:r>
    </w:p>
    <w:p w14:paraId="5F54C987" w14:textId="77777777" w:rsidR="00C825A2" w:rsidRDefault="008904C8">
      <w:pPr>
        <w:numPr>
          <w:ilvl w:val="0"/>
          <w:numId w:val="1"/>
        </w:numPr>
        <w:ind w:right="0" w:hanging="240"/>
      </w:pPr>
      <w:r>
        <w:t xml:space="preserve">Improve the performance of many drugs, as they are having prolonged contact time with the mucosa.  </w:t>
      </w:r>
    </w:p>
    <w:p w14:paraId="52C43288" w14:textId="77777777" w:rsidR="00C825A2" w:rsidRDefault="008904C8">
      <w:pPr>
        <w:numPr>
          <w:ilvl w:val="0"/>
          <w:numId w:val="1"/>
        </w:numPr>
        <w:spacing w:after="273" w:line="259" w:lineRule="auto"/>
        <w:ind w:right="0" w:hanging="240"/>
      </w:pPr>
      <w:r>
        <w:t xml:space="preserve">High patient acceptance compared to other non-oral routes of drug administration.  </w:t>
      </w:r>
    </w:p>
    <w:p w14:paraId="4BD37A3A" w14:textId="77777777" w:rsidR="00C825A2" w:rsidRDefault="008904C8">
      <w:pPr>
        <w:numPr>
          <w:ilvl w:val="0"/>
          <w:numId w:val="1"/>
        </w:numPr>
        <w:spacing w:after="273" w:line="259" w:lineRule="auto"/>
        <w:ind w:right="0" w:hanging="240"/>
      </w:pPr>
      <w:r>
        <w:t xml:space="preserve">Tolerance (in comparison with the nasal mucosa and skin) to potential sensitizers.  </w:t>
      </w:r>
    </w:p>
    <w:p w14:paraId="0B04CF5A" w14:textId="77777777" w:rsidR="00C825A2" w:rsidRDefault="008904C8">
      <w:pPr>
        <w:numPr>
          <w:ilvl w:val="0"/>
          <w:numId w:val="1"/>
        </w:numPr>
        <w:ind w:right="0" w:hanging="240"/>
      </w:pPr>
      <w:r>
        <w:t xml:space="preserve">Increased residence time combined with controlled API release may lead to lower administration frequency.  </w:t>
      </w:r>
    </w:p>
    <w:p w14:paraId="52935FB9" w14:textId="77777777" w:rsidR="00C825A2" w:rsidRDefault="008904C8">
      <w:pPr>
        <w:numPr>
          <w:ilvl w:val="0"/>
          <w:numId w:val="1"/>
        </w:numPr>
        <w:ind w:right="0" w:hanging="240"/>
      </w:pPr>
      <w:r>
        <w:t xml:space="preserve">Additionally significant cost reductions may be achieved and dose-related side effects may be reduced due to API localization at the disease site.  </w:t>
      </w:r>
    </w:p>
    <w:p w14:paraId="7ACC269A" w14:textId="77777777" w:rsidR="00C825A2" w:rsidRDefault="008904C8">
      <w:pPr>
        <w:numPr>
          <w:ilvl w:val="0"/>
          <w:numId w:val="1"/>
        </w:numPr>
        <w:ind w:right="0" w:hanging="240"/>
      </w:pPr>
      <w:r>
        <w:t xml:space="preserve">As a result of adhesion and intimate contact, the formulation stays longer at the delivery site improving API bioavailability using lower API concentrations for disease treatment.  </w:t>
      </w:r>
    </w:p>
    <w:p w14:paraId="04F1DF74" w14:textId="77777777" w:rsidR="00C825A2" w:rsidRDefault="008904C8">
      <w:pPr>
        <w:numPr>
          <w:ilvl w:val="0"/>
          <w:numId w:val="1"/>
        </w:numPr>
        <w:spacing w:after="196"/>
        <w:ind w:right="0" w:hanging="240"/>
      </w:pPr>
      <w:r>
        <w:lastRenderedPageBreak/>
        <w:t xml:space="preserve">Harsh environmental factors that exist in oral delivery of a drug are circumvented by buccal drug delivery. </w:t>
      </w:r>
    </w:p>
    <w:p w14:paraId="4E162235" w14:textId="77777777" w:rsidR="00C825A2" w:rsidRDefault="008904C8">
      <w:pPr>
        <w:pStyle w:val="Heading1"/>
        <w:ind w:left="-5" w:right="0"/>
      </w:pPr>
      <w:r>
        <w:t xml:space="preserve">Disadvantages of Buccal Drug Delivery System </w:t>
      </w:r>
      <w:r>
        <w:rPr>
          <w:b w:val="0"/>
        </w:rPr>
        <w:t xml:space="preserve">[16]  </w:t>
      </w:r>
    </w:p>
    <w:p w14:paraId="422B2684" w14:textId="77777777" w:rsidR="00C825A2" w:rsidRDefault="008904C8">
      <w:pPr>
        <w:numPr>
          <w:ilvl w:val="0"/>
          <w:numId w:val="2"/>
        </w:numPr>
        <w:ind w:right="0" w:hanging="180"/>
      </w:pPr>
      <w:r>
        <w:t xml:space="preserve">Limited absorption area- the total surface area of the membranes of the oral cavity available for drug absorption is 170 cm2 of which ~50 cm2 represents non-keratinized tissues, including buccal membrane.  </w:t>
      </w:r>
    </w:p>
    <w:p w14:paraId="0C7178F0" w14:textId="77777777" w:rsidR="00C825A2" w:rsidRDefault="008904C8">
      <w:pPr>
        <w:numPr>
          <w:ilvl w:val="0"/>
          <w:numId w:val="2"/>
        </w:numPr>
        <w:spacing w:after="273" w:line="259" w:lineRule="auto"/>
        <w:ind w:right="0" w:hanging="180"/>
      </w:pPr>
      <w:r>
        <w:t xml:space="preserve">Barrier properties of the mucosa.  </w:t>
      </w:r>
    </w:p>
    <w:p w14:paraId="783940A3" w14:textId="77777777" w:rsidR="00C825A2" w:rsidRDefault="008904C8">
      <w:pPr>
        <w:numPr>
          <w:ilvl w:val="0"/>
          <w:numId w:val="2"/>
        </w:numPr>
        <w:ind w:right="0" w:hanging="180"/>
      </w:pPr>
      <w:r>
        <w:t>The continuous secretion of the saliva (0.5-</w:t>
      </w:r>
      <w:r>
        <w:t xml:space="preserve">2 l/day) leads to subsequent dilution of the drug. 4 The hazard of choking by involuntarily swallowing the delivery system is a concern.  </w:t>
      </w:r>
    </w:p>
    <w:p w14:paraId="4771A8EC" w14:textId="77777777" w:rsidR="00C825A2" w:rsidRDefault="008904C8">
      <w:pPr>
        <w:ind w:left="-5" w:right="0"/>
      </w:pPr>
      <w:r>
        <w:t>5 Swallowing of saliva can also potentially lead to the loss of dissolved or suspended drug and ultimately the involuntary removal of the dosage form</w:t>
      </w:r>
      <w:r>
        <w:rPr>
          <w:sz w:val="28"/>
        </w:rPr>
        <w:t xml:space="preserve">. </w:t>
      </w:r>
    </w:p>
    <w:p w14:paraId="6E6A3B60" w14:textId="77777777" w:rsidR="00C825A2" w:rsidRDefault="008904C8">
      <w:pPr>
        <w:pStyle w:val="Heading1"/>
        <w:spacing w:after="328"/>
        <w:ind w:left="-5" w:right="0"/>
      </w:pPr>
      <w:r>
        <w:t xml:space="preserve">LITERATURE REVIEW </w:t>
      </w:r>
    </w:p>
    <w:p w14:paraId="7C74C350" w14:textId="77777777" w:rsidR="00C825A2" w:rsidRDefault="008904C8">
      <w:pPr>
        <w:numPr>
          <w:ilvl w:val="0"/>
          <w:numId w:val="3"/>
        </w:numPr>
        <w:ind w:right="0" w:hanging="720"/>
      </w:pPr>
      <w:r>
        <w:rPr>
          <w:b/>
        </w:rPr>
        <w:t>R. Jagadeeshwar Reddy et. al.2013</w:t>
      </w:r>
      <w:r>
        <w:rPr>
          <w:b/>
          <w:sz w:val="28"/>
        </w:rPr>
        <w:t>:</w:t>
      </w:r>
      <w:r>
        <w:rPr>
          <w:rFonts w:ascii="Calibri" w:eastAsia="Calibri" w:hAnsi="Calibri" w:cs="Calibri"/>
          <w:sz w:val="22"/>
        </w:rPr>
        <w:t xml:space="preserve"> </w:t>
      </w:r>
      <w:r>
        <w:t>Bioadhesion can be defined as a phenomenon of interfacial molecular attractive forces in the midst of the surfaces of biological substrate and the natural or synthetic polymers, which allows the polymer to adhere to biological surface for an extended period of time. Within the oral mucosal cavity, the buccal region offers an adorable route of administration for systemic drug delivery.[17]</w:t>
      </w:r>
      <w:r>
        <w:rPr>
          <w:b/>
          <w:sz w:val="28"/>
        </w:rPr>
        <w:t xml:space="preserve"> </w:t>
      </w:r>
    </w:p>
    <w:p w14:paraId="2675D46B" w14:textId="77777777" w:rsidR="00C825A2" w:rsidRDefault="008904C8">
      <w:pPr>
        <w:numPr>
          <w:ilvl w:val="0"/>
          <w:numId w:val="3"/>
        </w:numPr>
        <w:spacing w:after="0"/>
        <w:ind w:right="0" w:hanging="720"/>
      </w:pPr>
      <w:r>
        <w:rPr>
          <w:b/>
        </w:rPr>
        <w:t>Surender Verma et. al.2011:</w:t>
      </w:r>
      <w:r>
        <w:rPr>
          <w:rFonts w:ascii="Calibri" w:eastAsia="Calibri" w:hAnsi="Calibri" w:cs="Calibri"/>
        </w:rPr>
        <w:t xml:space="preserve"> </w:t>
      </w:r>
      <w:r>
        <w:t xml:space="preserve">Buccal drug delivery has gained significant attention and momentum since it offers remarkable advantages. Over past few decades, buccal route for systemic drug delivery using mucoadhesive polymers to significantly improve the performance of many drugs has been of profound interest. This review article is an overview of buccal drug delivery systems encompassing a review of oral mucosa, formulation considerations for buccal drug delivery system, theories and mechanism of mucoadhesion, different mucoadhesive </w:t>
      </w:r>
      <w:r>
        <w:t>formulations for buccal drug delivery and active ingredients delivered via the buccal route.[18]</w:t>
      </w:r>
      <w:r>
        <w:rPr>
          <w:b/>
          <w:sz w:val="28"/>
        </w:rPr>
        <w:t xml:space="preserve"> </w:t>
      </w:r>
    </w:p>
    <w:p w14:paraId="1162C632" w14:textId="77777777" w:rsidR="00C825A2" w:rsidRDefault="008904C8">
      <w:pPr>
        <w:numPr>
          <w:ilvl w:val="0"/>
          <w:numId w:val="3"/>
        </w:numPr>
        <w:spacing w:after="2"/>
        <w:ind w:right="0" w:hanging="720"/>
      </w:pPr>
      <w:r>
        <w:rPr>
          <w:b/>
        </w:rPr>
        <w:t xml:space="preserve">Reena Sheoran, 2018: </w:t>
      </w:r>
      <w:r>
        <w:t xml:space="preserve">Buccal drug delivery systems interact with the mucus layer covering the mucosal epithelial surface, and mucin molecules and increase the residence time of the dosage form at the site of absorption. The drugs which have local action or those which have maximum absorption in gastrointestinal tract (GIT) require increased duration of stay in GIT[19] </w:t>
      </w:r>
    </w:p>
    <w:p w14:paraId="155A1DEB" w14:textId="77777777" w:rsidR="00C825A2" w:rsidRDefault="008904C8">
      <w:pPr>
        <w:numPr>
          <w:ilvl w:val="0"/>
          <w:numId w:val="3"/>
        </w:numPr>
        <w:spacing w:after="2"/>
        <w:ind w:right="0" w:hanging="720"/>
      </w:pPr>
      <w:r>
        <w:rPr>
          <w:b/>
        </w:rPr>
        <w:t>Srivastava Namita et. al. 2015:</w:t>
      </w:r>
      <w:r>
        <w:rPr>
          <w:rFonts w:ascii="Calibri" w:eastAsia="Calibri" w:hAnsi="Calibri" w:cs="Calibri"/>
          <w:sz w:val="22"/>
        </w:rPr>
        <w:t xml:space="preserve"> </w:t>
      </w:r>
      <w:r>
        <w:t xml:space="preserve">Buccal mucosa is the preferred site for both systemic and local drug action. The mucosa has a rich blood supply and it relatively </w:t>
      </w:r>
      <w:r>
        <w:lastRenderedPageBreak/>
        <w:t>permeable. The buccal region of the oral cavity is an attractive target for administration of the drug of choice, particularly in overcoming deficiencies associated with the latter mode of administration. Problems such as first-pass metabolism and drug degradation in the gastrointestinal environment can be circumvented by administering the drug via the buccal route. Moreover, ra</w:t>
      </w:r>
      <w:r>
        <w:t xml:space="preserve">pid onset of action can be achieved relative to the oral route and the formulation can be removed if therapy is required to be discontinued. It is also possible to administer drugs to patients who unconscious and less co-operative.[20] </w:t>
      </w:r>
    </w:p>
    <w:p w14:paraId="3D3A8B3A" w14:textId="77777777" w:rsidR="00C825A2" w:rsidRDefault="008904C8">
      <w:pPr>
        <w:numPr>
          <w:ilvl w:val="0"/>
          <w:numId w:val="3"/>
        </w:numPr>
        <w:spacing w:after="0"/>
        <w:ind w:right="0" w:hanging="720"/>
      </w:pPr>
      <w:r>
        <w:rPr>
          <w:b/>
        </w:rPr>
        <w:t>Krishna Reddy et. al. 2003</w:t>
      </w:r>
      <w:r>
        <w:t xml:space="preserve">: Three unknown impurities and a byproduct in repaglinide bulk drug at levels below 0.1% (ranging from 0.05 to 0.1%) were detected by a simple isocratic reversed-phase high performance liquid chromatography (HPLC) method. These impurities were isolated from crude sample of repaglinide using reversed-phase preparative high performance liquid chromatography. Based on the spectroscopic data (IR, NMR and MS) the structures of these impurities (I, II and IV) and byproduct (III) were characterised </w:t>
      </w:r>
    </w:p>
    <w:p w14:paraId="09FBF528" w14:textId="77777777" w:rsidR="00C825A2" w:rsidRDefault="008904C8">
      <w:pPr>
        <w:spacing w:after="39"/>
        <w:ind w:left="1090" w:right="0"/>
      </w:pPr>
      <w:r>
        <w:t xml:space="preserve">as 4 carboxymethyl-2-ethoxy-benzoic acid (I), 4cyclohexylaminocarbamoylmethyl-2 ethoxy-benzoic acid (II), 1-cyclohexyl-3-[3methyl-1-(2-piperidin-1-yl-phenyl) butyl]-urea (IV) and 1,3-dicyclohexyl urea (III), respectively. Their synthesis and formation is discussed.[21] </w:t>
      </w:r>
    </w:p>
    <w:p w14:paraId="21F8C524" w14:textId="77777777" w:rsidR="00C825A2" w:rsidRDefault="008904C8">
      <w:pPr>
        <w:spacing w:after="131" w:line="259" w:lineRule="auto"/>
        <w:ind w:left="1080" w:right="0" w:firstLine="0"/>
        <w:jc w:val="left"/>
      </w:pPr>
      <w:r>
        <w:rPr>
          <w:b/>
          <w:sz w:val="28"/>
        </w:rPr>
        <w:t xml:space="preserve"> </w:t>
      </w:r>
    </w:p>
    <w:p w14:paraId="5FAFC61A" w14:textId="77777777" w:rsidR="00C825A2" w:rsidRDefault="008904C8">
      <w:pPr>
        <w:spacing w:after="131" w:line="259" w:lineRule="auto"/>
        <w:ind w:left="1080" w:right="0" w:firstLine="0"/>
        <w:jc w:val="left"/>
      </w:pPr>
      <w:r>
        <w:rPr>
          <w:b/>
          <w:sz w:val="28"/>
        </w:rPr>
        <w:t xml:space="preserve"> </w:t>
      </w:r>
    </w:p>
    <w:p w14:paraId="754FACFB" w14:textId="77777777" w:rsidR="00C825A2" w:rsidRDefault="008904C8">
      <w:pPr>
        <w:spacing w:after="293" w:line="259" w:lineRule="auto"/>
        <w:ind w:left="1080" w:right="0" w:firstLine="0"/>
        <w:jc w:val="left"/>
      </w:pPr>
      <w:r>
        <w:rPr>
          <w:b/>
          <w:sz w:val="28"/>
        </w:rPr>
        <w:t xml:space="preserve"> </w:t>
      </w:r>
    </w:p>
    <w:p w14:paraId="0CAC1BB6" w14:textId="77777777" w:rsidR="00C825A2" w:rsidRDefault="008904C8">
      <w:pPr>
        <w:pStyle w:val="Heading1"/>
        <w:spacing w:after="0"/>
        <w:ind w:left="-5" w:right="0"/>
      </w:pPr>
      <w:r>
        <w:t>PLAN OF WORK</w:t>
      </w:r>
      <w:r>
        <w:rPr>
          <w:b w:val="0"/>
          <w:sz w:val="24"/>
        </w:rPr>
        <w:t xml:space="preserve"> </w:t>
      </w:r>
    </w:p>
    <w:p w14:paraId="41AFD8A1" w14:textId="77777777" w:rsidR="00C825A2" w:rsidRDefault="008904C8">
      <w:pPr>
        <w:spacing w:after="90" w:line="259" w:lineRule="auto"/>
        <w:ind w:left="0" w:right="0" w:firstLine="0"/>
        <w:jc w:val="left"/>
      </w:pPr>
      <w:r>
        <w:rPr>
          <w:rFonts w:ascii="Calibri" w:eastAsia="Calibri" w:hAnsi="Calibri" w:cs="Calibri"/>
          <w:noProof/>
          <w:sz w:val="22"/>
        </w:rPr>
        <mc:AlternateContent>
          <mc:Choice Requires="wpg">
            <w:drawing>
              <wp:inline distT="0" distB="0" distL="0" distR="0" wp14:anchorId="73182A23" wp14:editId="011571A3">
                <wp:extent cx="5731510" cy="3315970"/>
                <wp:effectExtent l="0" t="0" r="0" b="0"/>
                <wp:docPr id="13571" name="Group 13571"/>
                <wp:cNvGraphicFramePr/>
                <a:graphic xmlns:a="http://schemas.openxmlformats.org/drawingml/2006/main">
                  <a:graphicData uri="http://schemas.microsoft.com/office/word/2010/wordprocessingGroup">
                    <wpg:wgp>
                      <wpg:cNvGrpSpPr/>
                      <wpg:grpSpPr>
                        <a:xfrm>
                          <a:off x="0" y="0"/>
                          <a:ext cx="5731510" cy="3315970"/>
                          <a:chOff x="0" y="0"/>
                          <a:chExt cx="5731510" cy="3315970"/>
                        </a:xfrm>
                      </wpg:grpSpPr>
                      <pic:pic xmlns:pic="http://schemas.openxmlformats.org/drawingml/2006/picture">
                        <pic:nvPicPr>
                          <pic:cNvPr id="1144" name="Picture 1144"/>
                          <pic:cNvPicPr/>
                        </pic:nvPicPr>
                        <pic:blipFill>
                          <a:blip r:embed="rId5"/>
                          <a:stretch>
                            <a:fillRect/>
                          </a:stretch>
                        </pic:blipFill>
                        <pic:spPr>
                          <a:xfrm>
                            <a:off x="0" y="0"/>
                            <a:ext cx="5731510" cy="3315970"/>
                          </a:xfrm>
                          <a:prstGeom prst="rect">
                            <a:avLst/>
                          </a:prstGeom>
                        </pic:spPr>
                      </pic:pic>
                      <wps:wsp>
                        <wps:cNvPr id="1170" name="Rectangle 1170"/>
                        <wps:cNvSpPr/>
                        <wps:spPr>
                          <a:xfrm>
                            <a:off x="305" y="106812"/>
                            <a:ext cx="59287" cy="262525"/>
                          </a:xfrm>
                          <a:prstGeom prst="rect">
                            <a:avLst/>
                          </a:prstGeom>
                          <a:ln>
                            <a:noFill/>
                          </a:ln>
                        </wps:spPr>
                        <wps:txbx>
                          <w:txbxContent>
                            <w:p w14:paraId="7DC7B867"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1" name="Rectangle 1171"/>
                        <wps:cNvSpPr/>
                        <wps:spPr>
                          <a:xfrm>
                            <a:off x="305" y="515625"/>
                            <a:ext cx="59287" cy="262525"/>
                          </a:xfrm>
                          <a:prstGeom prst="rect">
                            <a:avLst/>
                          </a:prstGeom>
                          <a:ln>
                            <a:noFill/>
                          </a:ln>
                        </wps:spPr>
                        <wps:txbx>
                          <w:txbxContent>
                            <w:p w14:paraId="289D7BE4"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2" name="Rectangle 1172"/>
                        <wps:cNvSpPr/>
                        <wps:spPr>
                          <a:xfrm>
                            <a:off x="305" y="924056"/>
                            <a:ext cx="59287" cy="262525"/>
                          </a:xfrm>
                          <a:prstGeom prst="rect">
                            <a:avLst/>
                          </a:prstGeom>
                          <a:ln>
                            <a:noFill/>
                          </a:ln>
                        </wps:spPr>
                        <wps:txbx>
                          <w:txbxContent>
                            <w:p w14:paraId="601F919F"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3" name="Rectangle 1173"/>
                        <wps:cNvSpPr/>
                        <wps:spPr>
                          <a:xfrm>
                            <a:off x="305" y="1332489"/>
                            <a:ext cx="59287" cy="262524"/>
                          </a:xfrm>
                          <a:prstGeom prst="rect">
                            <a:avLst/>
                          </a:prstGeom>
                          <a:ln>
                            <a:noFill/>
                          </a:ln>
                        </wps:spPr>
                        <wps:txbx>
                          <w:txbxContent>
                            <w:p w14:paraId="62812F02"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4" name="Rectangle 1174"/>
                        <wps:cNvSpPr/>
                        <wps:spPr>
                          <a:xfrm>
                            <a:off x="305" y="1740921"/>
                            <a:ext cx="59287" cy="262525"/>
                          </a:xfrm>
                          <a:prstGeom prst="rect">
                            <a:avLst/>
                          </a:prstGeom>
                          <a:ln>
                            <a:noFill/>
                          </a:ln>
                        </wps:spPr>
                        <wps:txbx>
                          <w:txbxContent>
                            <w:p w14:paraId="2C29B047"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5" name="Rectangle 1175"/>
                        <wps:cNvSpPr/>
                        <wps:spPr>
                          <a:xfrm>
                            <a:off x="305" y="2149353"/>
                            <a:ext cx="59287" cy="262525"/>
                          </a:xfrm>
                          <a:prstGeom prst="rect">
                            <a:avLst/>
                          </a:prstGeom>
                          <a:ln>
                            <a:noFill/>
                          </a:ln>
                        </wps:spPr>
                        <wps:txbx>
                          <w:txbxContent>
                            <w:p w14:paraId="31CCFE33"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6" name="Rectangle 1176"/>
                        <wps:cNvSpPr/>
                        <wps:spPr>
                          <a:xfrm>
                            <a:off x="305" y="2557785"/>
                            <a:ext cx="59287" cy="262525"/>
                          </a:xfrm>
                          <a:prstGeom prst="rect">
                            <a:avLst/>
                          </a:prstGeom>
                          <a:ln>
                            <a:noFill/>
                          </a:ln>
                        </wps:spPr>
                        <wps:txbx>
                          <w:txbxContent>
                            <w:p w14:paraId="6CF13BE4"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7" name="Rectangle 1177"/>
                        <wps:cNvSpPr/>
                        <wps:spPr>
                          <a:xfrm>
                            <a:off x="305" y="2966471"/>
                            <a:ext cx="59287" cy="262525"/>
                          </a:xfrm>
                          <a:prstGeom prst="rect">
                            <a:avLst/>
                          </a:prstGeom>
                          <a:ln>
                            <a:noFill/>
                          </a:ln>
                        </wps:spPr>
                        <wps:txbx>
                          <w:txbxContent>
                            <w:p w14:paraId="2066CF3A" w14:textId="77777777" w:rsidR="00C825A2" w:rsidRDefault="008904C8">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571" style="width:451.3pt;height:261.1pt;mso-position-horizontal-relative:char;mso-position-vertical-relative:line" coordsize="57315,33159">
                <v:shape id="Picture 1144" style="position:absolute;width:57315;height:33159;left:0;top:0;" filled="f">
                  <v:imagedata r:id="rId6"/>
                </v:shape>
                <v:rect id="Rectangle 1170" style="position:absolute;width:592;height:2625;left:3;top:10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1" style="position:absolute;width:592;height:2625;left:3;top:515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2" style="position:absolute;width:592;height:2625;left:3;top:9240;"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3" style="position:absolute;width:592;height:2625;left:3;top:133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4" style="position:absolute;width:592;height:2625;left:3;top:17409;"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5" style="position:absolute;width:592;height:2625;left:3;top:21493;"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6" style="position:absolute;width:592;height:2625;left:3;top:2557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1177" style="position:absolute;width:592;height:2625;left:3;top:2966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group>
            </w:pict>
          </mc:Fallback>
        </mc:AlternateContent>
      </w:r>
    </w:p>
    <w:p w14:paraId="12166538" w14:textId="77777777" w:rsidR="00C825A2" w:rsidRDefault="008904C8">
      <w:pPr>
        <w:pStyle w:val="Heading1"/>
        <w:ind w:left="-5" w:right="0"/>
      </w:pPr>
      <w:r>
        <w:lastRenderedPageBreak/>
        <w:t xml:space="preserve">DRUG PROFILE </w:t>
      </w:r>
    </w:p>
    <w:p w14:paraId="0035C8D3" w14:textId="77777777" w:rsidR="00C825A2" w:rsidRDefault="008904C8">
      <w:pPr>
        <w:spacing w:after="199"/>
        <w:ind w:left="-5" w:right="0"/>
      </w:pPr>
      <w:r>
        <w:t>Repaglinide is an oral antihyperglycemic agent used for the treatment of non insulin</w:t>
      </w:r>
      <w:r>
        <w:t>dependent diabetes mellitus (NIDDM). It belongs to the meglitinide class of short-acting insulin secretagogues, which act by binding to β cells of the pancreas to stimulate insulin release. Repaglinide induces an early insulin response to meals decreasing postprandial blood glucose levels. It should only be taken with meals and meal-time doses should be skipped with any skipped meal. Approximately one month of therapy is required before a decrease in fasting blood glucose is seen. Meglitinides may have a ne</w:t>
      </w:r>
      <w:r>
        <w:t>utral effect on weight or cause a slight increase in weight. The average weight gain caused by meglitinides appears to be lower than that caused by sulfonylureas and insulin and appears to occur only in those naïve to oral antidiabetic agents. Due to their mechanism of action, meglitinides may cause hypoglycemia although the risk is thought to be lower than that of sulfonylureas since their action is dependent on the presence of glucose. In addition to reducing postprandial and fasting blood glucose, meglit</w:t>
      </w:r>
      <w:r>
        <w:t xml:space="preserve">inides have been shown to decrease glycosylated haemoglobin (HbA1c) levels, which are reflective of the last 8-10 weeks of glucose control.[22] </w:t>
      </w:r>
    </w:p>
    <w:p w14:paraId="2A65F1F6" w14:textId="77777777" w:rsidR="00C825A2" w:rsidRDefault="008904C8">
      <w:pPr>
        <w:pStyle w:val="Heading1"/>
        <w:ind w:left="-5" w:right="0"/>
      </w:pPr>
      <w:r>
        <w:t xml:space="preserve">EXPERIMENTAL WORK  </w:t>
      </w:r>
    </w:p>
    <w:p w14:paraId="240043C3" w14:textId="77777777" w:rsidR="00C825A2" w:rsidRDefault="008904C8">
      <w:pPr>
        <w:pStyle w:val="Heading2"/>
        <w:ind w:left="-5"/>
      </w:pPr>
      <w:r>
        <w:t xml:space="preserve">Preformulation study </w:t>
      </w:r>
    </w:p>
    <w:p w14:paraId="39344617" w14:textId="77777777" w:rsidR="00C825A2" w:rsidRDefault="008904C8">
      <w:pPr>
        <w:ind w:left="-5" w:right="0"/>
      </w:pPr>
      <w:r>
        <w:t xml:space="preserve">Preformulation studies are needed to ensure the development of a stable as well as effective and safe dosage form. It is a stage of development during which the pharmacist characterizes the physic-chemical properties of the drug substances and its interaction with various formulation components. Goals of Preformulation study:  </w:t>
      </w:r>
    </w:p>
    <w:p w14:paraId="2571A751" w14:textId="77777777" w:rsidR="00C825A2" w:rsidRDefault="008904C8">
      <w:pPr>
        <w:numPr>
          <w:ilvl w:val="0"/>
          <w:numId w:val="4"/>
        </w:numPr>
        <w:spacing w:after="259" w:line="259" w:lineRule="auto"/>
        <w:ind w:right="0" w:hanging="166"/>
      </w:pPr>
      <w:r>
        <w:t xml:space="preserve">To determine the necessary physicochemical parameter of a new drug substance.  </w:t>
      </w:r>
    </w:p>
    <w:p w14:paraId="142C826E" w14:textId="77777777" w:rsidR="00C825A2" w:rsidRDefault="008904C8">
      <w:pPr>
        <w:numPr>
          <w:ilvl w:val="0"/>
          <w:numId w:val="4"/>
        </w:numPr>
        <w:spacing w:after="237" w:line="259" w:lineRule="auto"/>
        <w:ind w:right="0" w:hanging="166"/>
      </w:pPr>
      <w:r>
        <w:t xml:space="preserve">To establish its incompatibility with excipients of formulation.[23] </w:t>
      </w:r>
    </w:p>
    <w:p w14:paraId="0A946BB0" w14:textId="77777777" w:rsidR="00C825A2" w:rsidRDefault="008904C8">
      <w:pPr>
        <w:pStyle w:val="Heading2"/>
        <w:spacing w:after="311"/>
        <w:ind w:left="-5"/>
      </w:pPr>
      <w:r>
        <w:t xml:space="preserve">Formulation Development </w:t>
      </w:r>
    </w:p>
    <w:p w14:paraId="7AF3FB7A" w14:textId="77777777" w:rsidR="00C825A2" w:rsidRDefault="008904C8">
      <w:pPr>
        <w:spacing w:after="194"/>
        <w:ind w:left="-5" w:right="0"/>
      </w:pPr>
      <w:r>
        <w:rPr>
          <w:b/>
        </w:rPr>
        <w:t xml:space="preserve">Angle of repose : </w:t>
      </w:r>
      <w:r>
        <w:t xml:space="preserve">The angle of repose (θ) was determined using the funnel method . A funnel was secured on a stand at a fixed height (h) above a graph paper placed on a horizontal surface. The sample was poured until the apex of the conical pile touched the tip of the funnel. The radius r of the conical pile was measured and the angle of repose calculated as follows: θ = tan -1 (h/ r). </w:t>
      </w:r>
    </w:p>
    <w:p w14:paraId="7D036E87" w14:textId="77777777" w:rsidR="00C825A2" w:rsidRDefault="008904C8">
      <w:pPr>
        <w:ind w:left="-5" w:right="0"/>
      </w:pPr>
      <w:r>
        <w:rPr>
          <w:b/>
        </w:rPr>
        <w:t xml:space="preserve">Tapped density : </w:t>
      </w:r>
      <w:r>
        <w:t xml:space="preserve">The tapped density (ρt) was determined by tapping a graduated glass cylinder containing a known weight of granulates for a fixed time period. The tapped density was obtained by dividing the weight of granulate by the minimum volume of granulate attained after tapping. The mean of three determinations was recorded. </w:t>
      </w:r>
    </w:p>
    <w:p w14:paraId="07B430F3" w14:textId="77777777" w:rsidR="00C825A2" w:rsidRDefault="008904C8">
      <w:pPr>
        <w:spacing w:after="204"/>
        <w:ind w:left="-5" w:right="0"/>
      </w:pPr>
      <w:r>
        <w:rPr>
          <w:b/>
        </w:rPr>
        <w:lastRenderedPageBreak/>
        <w:t xml:space="preserve">Hausner ratio : </w:t>
      </w:r>
      <w:r>
        <w:t xml:space="preserve">The Hausner ratio, which is an index which indirectly expresses the ease of flow of powder or granulates, was calculated as the ratio of the tapped density to the bulk density (ρt/ρb). Hausner ratio values ~ 1.2 portrays low interparticle friction and good granulate flowability while values &gt;1.6 signifies cohesive properties and poor granulate flowability. </w:t>
      </w:r>
    </w:p>
    <w:p w14:paraId="26C69027" w14:textId="77777777" w:rsidR="00C825A2" w:rsidRDefault="008904C8">
      <w:pPr>
        <w:spacing w:after="191"/>
        <w:ind w:left="-5" w:right="0"/>
      </w:pPr>
      <w:r>
        <w:rPr>
          <w:b/>
        </w:rPr>
        <w:t xml:space="preserve">Carr’s index: </w:t>
      </w:r>
      <w:r>
        <w:t>The Carr’s index (C) is used to predict the compressibility and ease of flow of granulate and was calculated as follows: C = (ρt – ρb) / ρt * 100, where ρt is tapped density and ρb is bulk density</w:t>
      </w:r>
      <w:r>
        <w:rPr>
          <w:b/>
        </w:rPr>
        <w:t xml:space="preserve">. </w:t>
      </w:r>
      <w:r>
        <w:t xml:space="preserve">[24-26] </w:t>
      </w:r>
    </w:p>
    <w:p w14:paraId="2A94F2A6" w14:textId="77777777" w:rsidR="00C825A2" w:rsidRDefault="008904C8">
      <w:pPr>
        <w:pStyle w:val="Heading1"/>
        <w:ind w:left="-5" w:right="0"/>
      </w:pPr>
      <w:r>
        <w:t>Tablet Preparation Using Direct Compression</w:t>
      </w:r>
      <w:r>
        <w:rPr>
          <w:b w:val="0"/>
          <w:sz w:val="24"/>
        </w:rPr>
        <w:t xml:space="preserve"> </w:t>
      </w:r>
    </w:p>
    <w:p w14:paraId="2F2D92E9" w14:textId="77777777" w:rsidR="00C825A2" w:rsidRDefault="008904C8">
      <w:pPr>
        <w:spacing w:after="5" w:line="259" w:lineRule="auto"/>
        <w:ind w:left="-5" w:right="0"/>
      </w:pPr>
      <w:r>
        <w:t xml:space="preserve">The superdisintegrants is sodium starch glycolate in varying concentrations (1.5-4.5%) were used to develop the tablets. All ingredients (shown in Table 1) were passed through mesh no 60. All the ingredients were co-ground in a pestle motor for 5 minutes. The mixed blend was compressed into tablets using tablet machine Rimek mini press-1[27] </w:t>
      </w:r>
    </w:p>
    <w:tbl>
      <w:tblPr>
        <w:tblStyle w:val="TableGrid"/>
        <w:tblW w:w="9215" w:type="dxa"/>
        <w:tblInd w:w="77" w:type="dxa"/>
        <w:tblCellMar>
          <w:top w:w="14" w:type="dxa"/>
          <w:left w:w="101" w:type="dxa"/>
          <w:bottom w:w="0" w:type="dxa"/>
          <w:right w:w="60" w:type="dxa"/>
        </w:tblCellMar>
        <w:tblLook w:val="04A0" w:firstRow="1" w:lastRow="0" w:firstColumn="1" w:lastColumn="0" w:noHBand="0" w:noVBand="1"/>
      </w:tblPr>
      <w:tblGrid>
        <w:gridCol w:w="538"/>
        <w:gridCol w:w="1418"/>
        <w:gridCol w:w="1359"/>
        <w:gridCol w:w="1118"/>
        <w:gridCol w:w="1791"/>
        <w:gridCol w:w="943"/>
        <w:gridCol w:w="1333"/>
        <w:gridCol w:w="715"/>
      </w:tblGrid>
      <w:tr w:rsidR="00C825A2" w14:paraId="182489CC" w14:textId="77777777">
        <w:trPr>
          <w:trHeight w:val="1176"/>
        </w:trPr>
        <w:tc>
          <w:tcPr>
            <w:tcW w:w="538" w:type="dxa"/>
            <w:tcBorders>
              <w:top w:val="single" w:sz="4" w:space="0" w:color="000000"/>
              <w:left w:val="single" w:sz="4" w:space="0" w:color="000000"/>
              <w:bottom w:val="single" w:sz="4" w:space="0" w:color="000000"/>
              <w:right w:val="single" w:sz="4" w:space="0" w:color="000000"/>
            </w:tcBorders>
          </w:tcPr>
          <w:p w14:paraId="0269CEDD" w14:textId="77777777" w:rsidR="00C825A2" w:rsidRDefault="008904C8">
            <w:pPr>
              <w:spacing w:after="0" w:line="259" w:lineRule="auto"/>
              <w:ind w:left="5" w:right="0" w:firstLine="34"/>
              <w:jc w:val="left"/>
            </w:pPr>
            <w:r>
              <w:rPr>
                <w:b/>
                <w:sz w:val="22"/>
              </w:rPr>
              <w:t xml:space="preserve">Sr. No. </w:t>
            </w:r>
          </w:p>
        </w:tc>
        <w:tc>
          <w:tcPr>
            <w:tcW w:w="1418" w:type="dxa"/>
            <w:tcBorders>
              <w:top w:val="single" w:sz="4" w:space="0" w:color="000000"/>
              <w:left w:val="single" w:sz="4" w:space="0" w:color="000000"/>
              <w:bottom w:val="single" w:sz="4" w:space="0" w:color="000000"/>
              <w:right w:val="single" w:sz="4" w:space="0" w:color="000000"/>
            </w:tcBorders>
          </w:tcPr>
          <w:p w14:paraId="30319C13" w14:textId="77777777" w:rsidR="00C825A2" w:rsidRDefault="008904C8">
            <w:pPr>
              <w:spacing w:after="0" w:line="259" w:lineRule="auto"/>
              <w:ind w:left="29" w:right="0" w:firstLine="0"/>
              <w:jc w:val="left"/>
            </w:pPr>
            <w:r>
              <w:rPr>
                <w:b/>
                <w:sz w:val="22"/>
              </w:rPr>
              <w:t xml:space="preserve">Formulation </w:t>
            </w:r>
          </w:p>
        </w:tc>
        <w:tc>
          <w:tcPr>
            <w:tcW w:w="1359" w:type="dxa"/>
            <w:tcBorders>
              <w:top w:val="single" w:sz="4" w:space="0" w:color="000000"/>
              <w:left w:val="single" w:sz="4" w:space="0" w:color="000000"/>
              <w:bottom w:val="single" w:sz="4" w:space="0" w:color="000000"/>
              <w:right w:val="single" w:sz="4" w:space="0" w:color="000000"/>
            </w:tcBorders>
          </w:tcPr>
          <w:p w14:paraId="7A3D49B0" w14:textId="77777777" w:rsidR="00C825A2" w:rsidRDefault="008904C8">
            <w:pPr>
              <w:spacing w:after="0" w:line="259" w:lineRule="auto"/>
              <w:ind w:left="29" w:right="0" w:firstLine="0"/>
              <w:jc w:val="left"/>
            </w:pPr>
            <w:r>
              <w:rPr>
                <w:b/>
                <w:sz w:val="22"/>
              </w:rPr>
              <w:t xml:space="preserve">Repaglinide </w:t>
            </w:r>
          </w:p>
        </w:tc>
        <w:tc>
          <w:tcPr>
            <w:tcW w:w="1118" w:type="dxa"/>
            <w:tcBorders>
              <w:top w:val="single" w:sz="4" w:space="0" w:color="000000"/>
              <w:left w:val="single" w:sz="4" w:space="0" w:color="000000"/>
              <w:bottom w:val="single" w:sz="4" w:space="0" w:color="000000"/>
              <w:right w:val="single" w:sz="4" w:space="0" w:color="000000"/>
            </w:tcBorders>
          </w:tcPr>
          <w:p w14:paraId="1C40CC0B" w14:textId="77777777" w:rsidR="00C825A2" w:rsidRDefault="008904C8">
            <w:pPr>
              <w:spacing w:after="115" w:line="259" w:lineRule="auto"/>
              <w:ind w:left="89" w:right="0" w:firstLine="0"/>
              <w:jc w:val="left"/>
            </w:pPr>
            <w:r>
              <w:rPr>
                <w:b/>
                <w:sz w:val="22"/>
              </w:rPr>
              <w:t xml:space="preserve">Sodium </w:t>
            </w:r>
          </w:p>
          <w:p w14:paraId="7CE07312" w14:textId="77777777" w:rsidR="00C825A2" w:rsidRDefault="008904C8">
            <w:pPr>
              <w:spacing w:after="115" w:line="259" w:lineRule="auto"/>
              <w:ind w:left="0" w:right="60" w:firstLine="0"/>
              <w:jc w:val="center"/>
            </w:pPr>
            <w:r>
              <w:rPr>
                <w:b/>
                <w:sz w:val="22"/>
              </w:rPr>
              <w:t xml:space="preserve">Starch </w:t>
            </w:r>
          </w:p>
          <w:p w14:paraId="49AB78C4" w14:textId="77777777" w:rsidR="00C825A2" w:rsidRDefault="008904C8">
            <w:pPr>
              <w:spacing w:after="0" w:line="259" w:lineRule="auto"/>
              <w:ind w:left="2" w:right="0" w:firstLine="0"/>
              <w:jc w:val="left"/>
            </w:pPr>
            <w:r>
              <w:rPr>
                <w:b/>
                <w:sz w:val="22"/>
              </w:rPr>
              <w:t xml:space="preserve">Glycolate </w:t>
            </w:r>
          </w:p>
        </w:tc>
        <w:tc>
          <w:tcPr>
            <w:tcW w:w="1791" w:type="dxa"/>
            <w:tcBorders>
              <w:top w:val="single" w:sz="4" w:space="0" w:color="000000"/>
              <w:left w:val="single" w:sz="4" w:space="0" w:color="000000"/>
              <w:bottom w:val="single" w:sz="4" w:space="0" w:color="000000"/>
              <w:right w:val="single" w:sz="4" w:space="0" w:color="000000"/>
            </w:tcBorders>
          </w:tcPr>
          <w:p w14:paraId="5244E160" w14:textId="77777777" w:rsidR="00C825A2" w:rsidRDefault="008904C8">
            <w:pPr>
              <w:spacing w:after="115" w:line="259" w:lineRule="auto"/>
              <w:ind w:left="0" w:right="0" w:firstLine="0"/>
              <w:jc w:val="left"/>
            </w:pPr>
            <w:r>
              <w:rPr>
                <w:b/>
                <w:sz w:val="22"/>
              </w:rPr>
              <w:t xml:space="preserve">Microcrystalline </w:t>
            </w:r>
          </w:p>
          <w:p w14:paraId="3787087A" w14:textId="77777777" w:rsidR="00C825A2" w:rsidRDefault="008904C8">
            <w:pPr>
              <w:spacing w:after="0" w:line="259" w:lineRule="auto"/>
              <w:ind w:left="0" w:right="72" w:firstLine="0"/>
              <w:jc w:val="center"/>
            </w:pPr>
            <w:r>
              <w:rPr>
                <w:b/>
                <w:sz w:val="22"/>
              </w:rPr>
              <w:t xml:space="preserve">Cellulose </w:t>
            </w:r>
          </w:p>
        </w:tc>
        <w:tc>
          <w:tcPr>
            <w:tcW w:w="943" w:type="dxa"/>
            <w:tcBorders>
              <w:top w:val="single" w:sz="4" w:space="0" w:color="000000"/>
              <w:left w:val="single" w:sz="4" w:space="0" w:color="000000"/>
              <w:bottom w:val="single" w:sz="4" w:space="0" w:color="000000"/>
              <w:right w:val="single" w:sz="4" w:space="0" w:color="000000"/>
            </w:tcBorders>
          </w:tcPr>
          <w:p w14:paraId="525CF9AD" w14:textId="77777777" w:rsidR="00C825A2" w:rsidRDefault="008904C8">
            <w:pPr>
              <w:spacing w:after="0" w:line="259" w:lineRule="auto"/>
              <w:ind w:left="19" w:right="0" w:firstLine="0"/>
              <w:jc w:val="left"/>
            </w:pPr>
            <w:r>
              <w:rPr>
                <w:b/>
                <w:sz w:val="22"/>
              </w:rPr>
              <w:t xml:space="preserve">Lactose </w:t>
            </w:r>
          </w:p>
        </w:tc>
        <w:tc>
          <w:tcPr>
            <w:tcW w:w="1333" w:type="dxa"/>
            <w:tcBorders>
              <w:top w:val="single" w:sz="4" w:space="0" w:color="000000"/>
              <w:left w:val="single" w:sz="4" w:space="0" w:color="000000"/>
              <w:bottom w:val="single" w:sz="4" w:space="0" w:color="000000"/>
              <w:right w:val="single" w:sz="4" w:space="0" w:color="000000"/>
            </w:tcBorders>
          </w:tcPr>
          <w:p w14:paraId="53E33504" w14:textId="77777777" w:rsidR="00C825A2" w:rsidRDefault="008904C8">
            <w:pPr>
              <w:spacing w:after="0" w:line="259" w:lineRule="auto"/>
              <w:ind w:left="181" w:right="0" w:hanging="180"/>
              <w:jc w:val="left"/>
            </w:pPr>
            <w:r>
              <w:rPr>
                <w:b/>
                <w:sz w:val="22"/>
              </w:rPr>
              <w:t xml:space="preserve">Magnesium stearate </w:t>
            </w:r>
          </w:p>
        </w:tc>
        <w:tc>
          <w:tcPr>
            <w:tcW w:w="715" w:type="dxa"/>
            <w:tcBorders>
              <w:top w:val="single" w:sz="4" w:space="0" w:color="000000"/>
              <w:left w:val="single" w:sz="4" w:space="0" w:color="000000"/>
              <w:bottom w:val="single" w:sz="4" w:space="0" w:color="000000"/>
              <w:right w:val="single" w:sz="4" w:space="0" w:color="000000"/>
            </w:tcBorders>
          </w:tcPr>
          <w:p w14:paraId="4E75CC1E" w14:textId="77777777" w:rsidR="00C825A2" w:rsidRDefault="008904C8">
            <w:pPr>
              <w:spacing w:after="0" w:line="259" w:lineRule="auto"/>
              <w:ind w:left="60" w:right="0" w:firstLine="0"/>
              <w:jc w:val="left"/>
            </w:pPr>
            <w:r>
              <w:rPr>
                <w:b/>
                <w:sz w:val="22"/>
              </w:rPr>
              <w:t xml:space="preserve">Talc </w:t>
            </w:r>
          </w:p>
        </w:tc>
      </w:tr>
      <w:tr w:rsidR="00C825A2" w14:paraId="23AA65C2"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4CC703FE" w14:textId="77777777" w:rsidR="00C825A2" w:rsidRDefault="008904C8">
            <w:pPr>
              <w:spacing w:after="0" w:line="259" w:lineRule="auto"/>
              <w:ind w:left="0" w:right="31" w:firstLine="0"/>
              <w:jc w:val="center"/>
            </w:pPr>
            <w:r>
              <w:rPr>
                <w:sz w:val="22"/>
              </w:rP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09F0F98C" w14:textId="77777777" w:rsidR="00C825A2" w:rsidRDefault="008904C8">
            <w:pPr>
              <w:spacing w:after="0" w:line="259" w:lineRule="auto"/>
              <w:ind w:left="0" w:right="31" w:firstLine="0"/>
              <w:jc w:val="center"/>
            </w:pPr>
            <w:r>
              <w:rPr>
                <w:sz w:val="22"/>
              </w:rPr>
              <w:t xml:space="preserve">F1 </w:t>
            </w:r>
          </w:p>
        </w:tc>
        <w:tc>
          <w:tcPr>
            <w:tcW w:w="1359" w:type="dxa"/>
            <w:tcBorders>
              <w:top w:val="single" w:sz="4" w:space="0" w:color="000000"/>
              <w:left w:val="single" w:sz="4" w:space="0" w:color="000000"/>
              <w:bottom w:val="single" w:sz="4" w:space="0" w:color="000000"/>
              <w:right w:val="single" w:sz="4" w:space="0" w:color="000000"/>
            </w:tcBorders>
          </w:tcPr>
          <w:p w14:paraId="7CA23444" w14:textId="77777777" w:rsidR="00C825A2" w:rsidRDefault="008904C8">
            <w:pPr>
              <w:spacing w:after="0" w:line="259" w:lineRule="auto"/>
              <w:ind w:left="0" w:right="31" w:firstLine="0"/>
              <w:jc w:val="center"/>
            </w:pPr>
            <w:r>
              <w:rPr>
                <w:sz w:val="22"/>
              </w:rPr>
              <w:t xml:space="preserve">1mg </w:t>
            </w:r>
          </w:p>
        </w:tc>
        <w:tc>
          <w:tcPr>
            <w:tcW w:w="1118" w:type="dxa"/>
            <w:tcBorders>
              <w:top w:val="single" w:sz="4" w:space="0" w:color="000000"/>
              <w:left w:val="single" w:sz="4" w:space="0" w:color="000000"/>
              <w:bottom w:val="single" w:sz="4" w:space="0" w:color="000000"/>
              <w:right w:val="single" w:sz="4" w:space="0" w:color="000000"/>
            </w:tcBorders>
          </w:tcPr>
          <w:p w14:paraId="75BC0EAF" w14:textId="77777777" w:rsidR="00C825A2" w:rsidRDefault="008904C8">
            <w:pPr>
              <w:spacing w:after="0" w:line="259" w:lineRule="auto"/>
              <w:ind w:left="0" w:right="31" w:firstLine="0"/>
              <w:jc w:val="center"/>
            </w:pPr>
            <w:r>
              <w:rPr>
                <w:sz w:val="22"/>
              </w:rPr>
              <w:t xml:space="preserve">5mg </w:t>
            </w:r>
          </w:p>
        </w:tc>
        <w:tc>
          <w:tcPr>
            <w:tcW w:w="1791" w:type="dxa"/>
            <w:tcBorders>
              <w:top w:val="single" w:sz="4" w:space="0" w:color="000000"/>
              <w:left w:val="single" w:sz="4" w:space="0" w:color="000000"/>
              <w:bottom w:val="single" w:sz="4" w:space="0" w:color="000000"/>
              <w:right w:val="single" w:sz="4" w:space="0" w:color="000000"/>
            </w:tcBorders>
          </w:tcPr>
          <w:p w14:paraId="4A8C44B0" w14:textId="77777777" w:rsidR="00C825A2" w:rsidRDefault="008904C8">
            <w:pPr>
              <w:spacing w:after="0" w:line="259" w:lineRule="auto"/>
              <w:ind w:left="0" w:right="36" w:firstLine="0"/>
              <w:jc w:val="center"/>
            </w:pPr>
            <w:r>
              <w:rPr>
                <w:sz w:val="22"/>
              </w:rPr>
              <w:t xml:space="preserve">50mg </w:t>
            </w:r>
          </w:p>
        </w:tc>
        <w:tc>
          <w:tcPr>
            <w:tcW w:w="943" w:type="dxa"/>
            <w:tcBorders>
              <w:top w:val="single" w:sz="4" w:space="0" w:color="000000"/>
              <w:left w:val="single" w:sz="4" w:space="0" w:color="000000"/>
              <w:bottom w:val="single" w:sz="4" w:space="0" w:color="000000"/>
              <w:right w:val="single" w:sz="4" w:space="0" w:color="000000"/>
            </w:tcBorders>
          </w:tcPr>
          <w:p w14:paraId="0233EA2F" w14:textId="77777777" w:rsidR="00C825A2" w:rsidRDefault="008904C8">
            <w:pPr>
              <w:spacing w:after="0" w:line="259" w:lineRule="auto"/>
              <w:ind w:left="0" w:right="34" w:firstLine="0"/>
              <w:jc w:val="center"/>
            </w:pPr>
            <w:r>
              <w:rPr>
                <w:sz w:val="22"/>
              </w:rPr>
              <w:t xml:space="preserve">29mg </w:t>
            </w:r>
          </w:p>
        </w:tc>
        <w:tc>
          <w:tcPr>
            <w:tcW w:w="1333" w:type="dxa"/>
            <w:tcBorders>
              <w:top w:val="single" w:sz="4" w:space="0" w:color="000000"/>
              <w:left w:val="single" w:sz="4" w:space="0" w:color="000000"/>
              <w:bottom w:val="single" w:sz="4" w:space="0" w:color="000000"/>
              <w:right w:val="single" w:sz="4" w:space="0" w:color="000000"/>
            </w:tcBorders>
          </w:tcPr>
          <w:p w14:paraId="1CABC32D" w14:textId="77777777" w:rsidR="00C825A2" w:rsidRDefault="008904C8">
            <w:pPr>
              <w:spacing w:after="0" w:line="259" w:lineRule="auto"/>
              <w:ind w:left="0" w:right="38" w:firstLine="0"/>
              <w:jc w:val="center"/>
            </w:pPr>
            <w:r>
              <w:rPr>
                <w:sz w:val="22"/>
              </w:rPr>
              <w:t xml:space="preserve">5mg </w:t>
            </w:r>
          </w:p>
        </w:tc>
        <w:tc>
          <w:tcPr>
            <w:tcW w:w="715" w:type="dxa"/>
            <w:tcBorders>
              <w:top w:val="single" w:sz="4" w:space="0" w:color="000000"/>
              <w:left w:val="single" w:sz="4" w:space="0" w:color="000000"/>
              <w:bottom w:val="single" w:sz="4" w:space="0" w:color="000000"/>
              <w:right w:val="single" w:sz="4" w:space="0" w:color="000000"/>
            </w:tcBorders>
          </w:tcPr>
          <w:p w14:paraId="046B4E60" w14:textId="77777777" w:rsidR="00C825A2" w:rsidRDefault="008904C8">
            <w:pPr>
              <w:spacing w:after="0" w:line="259" w:lineRule="auto"/>
              <w:ind w:left="14" w:right="0" w:firstLine="0"/>
              <w:jc w:val="left"/>
            </w:pPr>
            <w:r>
              <w:rPr>
                <w:sz w:val="22"/>
              </w:rPr>
              <w:t xml:space="preserve">10mg </w:t>
            </w:r>
          </w:p>
        </w:tc>
      </w:tr>
      <w:tr w:rsidR="00C825A2" w14:paraId="6A7A62C8" w14:textId="77777777">
        <w:trPr>
          <w:trHeight w:val="401"/>
        </w:trPr>
        <w:tc>
          <w:tcPr>
            <w:tcW w:w="538" w:type="dxa"/>
            <w:tcBorders>
              <w:top w:val="single" w:sz="4" w:space="0" w:color="000000"/>
              <w:left w:val="single" w:sz="4" w:space="0" w:color="000000"/>
              <w:bottom w:val="single" w:sz="4" w:space="0" w:color="000000"/>
              <w:right w:val="single" w:sz="4" w:space="0" w:color="000000"/>
            </w:tcBorders>
          </w:tcPr>
          <w:p w14:paraId="5B0E95BF" w14:textId="77777777" w:rsidR="00C825A2" w:rsidRDefault="008904C8">
            <w:pPr>
              <w:spacing w:after="0" w:line="259" w:lineRule="auto"/>
              <w:ind w:left="0" w:right="31" w:firstLine="0"/>
              <w:jc w:val="center"/>
            </w:pPr>
            <w:r>
              <w:rPr>
                <w:sz w:val="22"/>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5993AB29" w14:textId="77777777" w:rsidR="00C825A2" w:rsidRDefault="008904C8">
            <w:pPr>
              <w:spacing w:after="0" w:line="259" w:lineRule="auto"/>
              <w:ind w:left="0" w:right="31" w:firstLine="0"/>
              <w:jc w:val="center"/>
            </w:pPr>
            <w:r>
              <w:rPr>
                <w:sz w:val="22"/>
              </w:rPr>
              <w:t xml:space="preserve">F2 </w:t>
            </w:r>
          </w:p>
        </w:tc>
        <w:tc>
          <w:tcPr>
            <w:tcW w:w="1359" w:type="dxa"/>
            <w:tcBorders>
              <w:top w:val="single" w:sz="4" w:space="0" w:color="000000"/>
              <w:left w:val="single" w:sz="4" w:space="0" w:color="000000"/>
              <w:bottom w:val="single" w:sz="4" w:space="0" w:color="000000"/>
              <w:right w:val="single" w:sz="4" w:space="0" w:color="000000"/>
            </w:tcBorders>
          </w:tcPr>
          <w:p w14:paraId="111A1785" w14:textId="77777777" w:rsidR="00C825A2" w:rsidRDefault="008904C8">
            <w:pPr>
              <w:spacing w:after="0" w:line="259" w:lineRule="auto"/>
              <w:ind w:left="0" w:right="31" w:firstLine="0"/>
              <w:jc w:val="center"/>
            </w:pPr>
            <w:r>
              <w:rPr>
                <w:sz w:val="22"/>
              </w:rPr>
              <w:t xml:space="preserve">1mg </w:t>
            </w:r>
          </w:p>
        </w:tc>
        <w:tc>
          <w:tcPr>
            <w:tcW w:w="1118" w:type="dxa"/>
            <w:tcBorders>
              <w:top w:val="single" w:sz="4" w:space="0" w:color="000000"/>
              <w:left w:val="single" w:sz="4" w:space="0" w:color="000000"/>
              <w:bottom w:val="single" w:sz="4" w:space="0" w:color="000000"/>
              <w:right w:val="single" w:sz="4" w:space="0" w:color="000000"/>
            </w:tcBorders>
          </w:tcPr>
          <w:p w14:paraId="3104F1B4" w14:textId="77777777" w:rsidR="00C825A2" w:rsidRDefault="008904C8">
            <w:pPr>
              <w:spacing w:after="0" w:line="259" w:lineRule="auto"/>
              <w:ind w:left="0" w:right="31" w:firstLine="0"/>
              <w:jc w:val="center"/>
            </w:pPr>
            <w:r>
              <w:rPr>
                <w:sz w:val="22"/>
              </w:rPr>
              <w:t xml:space="preserve">7mg </w:t>
            </w:r>
          </w:p>
        </w:tc>
        <w:tc>
          <w:tcPr>
            <w:tcW w:w="1791" w:type="dxa"/>
            <w:tcBorders>
              <w:top w:val="single" w:sz="4" w:space="0" w:color="000000"/>
              <w:left w:val="single" w:sz="4" w:space="0" w:color="000000"/>
              <w:bottom w:val="single" w:sz="4" w:space="0" w:color="000000"/>
              <w:right w:val="single" w:sz="4" w:space="0" w:color="000000"/>
            </w:tcBorders>
          </w:tcPr>
          <w:p w14:paraId="25B95C8F" w14:textId="77777777" w:rsidR="00C825A2" w:rsidRDefault="008904C8">
            <w:pPr>
              <w:spacing w:after="0" w:line="259" w:lineRule="auto"/>
              <w:ind w:left="0" w:right="36" w:firstLine="0"/>
              <w:jc w:val="center"/>
            </w:pPr>
            <w:r>
              <w:rPr>
                <w:sz w:val="22"/>
              </w:rPr>
              <w:t xml:space="preserve">50mg </w:t>
            </w:r>
          </w:p>
        </w:tc>
        <w:tc>
          <w:tcPr>
            <w:tcW w:w="943" w:type="dxa"/>
            <w:tcBorders>
              <w:top w:val="single" w:sz="4" w:space="0" w:color="000000"/>
              <w:left w:val="single" w:sz="4" w:space="0" w:color="000000"/>
              <w:bottom w:val="single" w:sz="4" w:space="0" w:color="000000"/>
              <w:right w:val="single" w:sz="4" w:space="0" w:color="000000"/>
            </w:tcBorders>
          </w:tcPr>
          <w:p w14:paraId="5320AF71" w14:textId="77777777" w:rsidR="00C825A2" w:rsidRDefault="008904C8">
            <w:pPr>
              <w:spacing w:after="0" w:line="259" w:lineRule="auto"/>
              <w:ind w:left="0" w:right="34" w:firstLine="0"/>
              <w:jc w:val="center"/>
            </w:pPr>
            <w:r>
              <w:rPr>
                <w:sz w:val="22"/>
              </w:rPr>
              <w:t xml:space="preserve">27mg </w:t>
            </w:r>
          </w:p>
        </w:tc>
        <w:tc>
          <w:tcPr>
            <w:tcW w:w="1333" w:type="dxa"/>
            <w:tcBorders>
              <w:top w:val="single" w:sz="4" w:space="0" w:color="000000"/>
              <w:left w:val="single" w:sz="4" w:space="0" w:color="000000"/>
              <w:bottom w:val="single" w:sz="4" w:space="0" w:color="000000"/>
              <w:right w:val="single" w:sz="4" w:space="0" w:color="000000"/>
            </w:tcBorders>
          </w:tcPr>
          <w:p w14:paraId="27F7658F" w14:textId="77777777" w:rsidR="00C825A2" w:rsidRDefault="008904C8">
            <w:pPr>
              <w:spacing w:after="0" w:line="259" w:lineRule="auto"/>
              <w:ind w:left="0" w:right="38" w:firstLine="0"/>
              <w:jc w:val="center"/>
            </w:pPr>
            <w:r>
              <w:rPr>
                <w:sz w:val="22"/>
              </w:rPr>
              <w:t xml:space="preserve">5mg </w:t>
            </w:r>
          </w:p>
        </w:tc>
        <w:tc>
          <w:tcPr>
            <w:tcW w:w="715" w:type="dxa"/>
            <w:tcBorders>
              <w:top w:val="single" w:sz="4" w:space="0" w:color="000000"/>
              <w:left w:val="single" w:sz="4" w:space="0" w:color="000000"/>
              <w:bottom w:val="single" w:sz="4" w:space="0" w:color="000000"/>
              <w:right w:val="single" w:sz="4" w:space="0" w:color="000000"/>
            </w:tcBorders>
          </w:tcPr>
          <w:p w14:paraId="58FFDAD1" w14:textId="77777777" w:rsidR="00C825A2" w:rsidRDefault="008904C8">
            <w:pPr>
              <w:spacing w:after="0" w:line="259" w:lineRule="auto"/>
              <w:ind w:left="14" w:right="0" w:firstLine="0"/>
              <w:jc w:val="left"/>
            </w:pPr>
            <w:r>
              <w:rPr>
                <w:sz w:val="22"/>
              </w:rPr>
              <w:t xml:space="preserve">10mg </w:t>
            </w:r>
          </w:p>
        </w:tc>
      </w:tr>
      <w:tr w:rsidR="00C825A2" w14:paraId="64F88D68" w14:textId="77777777">
        <w:trPr>
          <w:trHeight w:val="396"/>
        </w:trPr>
        <w:tc>
          <w:tcPr>
            <w:tcW w:w="538" w:type="dxa"/>
            <w:tcBorders>
              <w:top w:val="single" w:sz="4" w:space="0" w:color="000000"/>
              <w:left w:val="single" w:sz="4" w:space="0" w:color="000000"/>
              <w:bottom w:val="single" w:sz="4" w:space="0" w:color="000000"/>
              <w:right w:val="single" w:sz="4" w:space="0" w:color="000000"/>
            </w:tcBorders>
          </w:tcPr>
          <w:p w14:paraId="742C9135" w14:textId="77777777" w:rsidR="00C825A2" w:rsidRDefault="008904C8">
            <w:pPr>
              <w:spacing w:after="0" w:line="259" w:lineRule="auto"/>
              <w:ind w:left="0" w:right="31" w:firstLine="0"/>
              <w:jc w:val="center"/>
            </w:pPr>
            <w:r>
              <w:rPr>
                <w:sz w:val="22"/>
              </w:rPr>
              <w:t xml:space="preserve">3 </w:t>
            </w:r>
          </w:p>
        </w:tc>
        <w:tc>
          <w:tcPr>
            <w:tcW w:w="1418" w:type="dxa"/>
            <w:tcBorders>
              <w:top w:val="single" w:sz="4" w:space="0" w:color="000000"/>
              <w:left w:val="single" w:sz="4" w:space="0" w:color="000000"/>
              <w:bottom w:val="single" w:sz="4" w:space="0" w:color="000000"/>
              <w:right w:val="single" w:sz="4" w:space="0" w:color="000000"/>
            </w:tcBorders>
          </w:tcPr>
          <w:p w14:paraId="6CCB9670" w14:textId="77777777" w:rsidR="00C825A2" w:rsidRDefault="008904C8">
            <w:pPr>
              <w:spacing w:after="0" w:line="259" w:lineRule="auto"/>
              <w:ind w:left="0" w:right="31" w:firstLine="0"/>
              <w:jc w:val="center"/>
            </w:pPr>
            <w:r>
              <w:rPr>
                <w:sz w:val="22"/>
              </w:rPr>
              <w:t xml:space="preserve">F3 </w:t>
            </w:r>
          </w:p>
        </w:tc>
        <w:tc>
          <w:tcPr>
            <w:tcW w:w="1359" w:type="dxa"/>
            <w:tcBorders>
              <w:top w:val="single" w:sz="4" w:space="0" w:color="000000"/>
              <w:left w:val="single" w:sz="4" w:space="0" w:color="000000"/>
              <w:bottom w:val="single" w:sz="4" w:space="0" w:color="000000"/>
              <w:right w:val="single" w:sz="4" w:space="0" w:color="000000"/>
            </w:tcBorders>
          </w:tcPr>
          <w:p w14:paraId="59572E03" w14:textId="77777777" w:rsidR="00C825A2" w:rsidRDefault="008904C8">
            <w:pPr>
              <w:spacing w:after="0" w:line="259" w:lineRule="auto"/>
              <w:ind w:left="0" w:right="31" w:firstLine="0"/>
              <w:jc w:val="center"/>
            </w:pPr>
            <w:r>
              <w:rPr>
                <w:sz w:val="22"/>
              </w:rPr>
              <w:t xml:space="preserve">1mg </w:t>
            </w:r>
          </w:p>
        </w:tc>
        <w:tc>
          <w:tcPr>
            <w:tcW w:w="1118" w:type="dxa"/>
            <w:tcBorders>
              <w:top w:val="single" w:sz="4" w:space="0" w:color="000000"/>
              <w:left w:val="single" w:sz="4" w:space="0" w:color="000000"/>
              <w:bottom w:val="single" w:sz="4" w:space="0" w:color="000000"/>
              <w:right w:val="single" w:sz="4" w:space="0" w:color="000000"/>
            </w:tcBorders>
          </w:tcPr>
          <w:p w14:paraId="008D1584" w14:textId="77777777" w:rsidR="00C825A2" w:rsidRDefault="008904C8">
            <w:pPr>
              <w:spacing w:after="0" w:line="259" w:lineRule="auto"/>
              <w:ind w:left="0" w:right="31" w:firstLine="0"/>
              <w:jc w:val="center"/>
            </w:pPr>
            <w:r>
              <w:rPr>
                <w:sz w:val="22"/>
              </w:rPr>
              <w:t xml:space="preserve">9mg </w:t>
            </w:r>
          </w:p>
        </w:tc>
        <w:tc>
          <w:tcPr>
            <w:tcW w:w="1791" w:type="dxa"/>
            <w:tcBorders>
              <w:top w:val="single" w:sz="4" w:space="0" w:color="000000"/>
              <w:left w:val="single" w:sz="4" w:space="0" w:color="000000"/>
              <w:bottom w:val="single" w:sz="4" w:space="0" w:color="000000"/>
              <w:right w:val="single" w:sz="4" w:space="0" w:color="000000"/>
            </w:tcBorders>
          </w:tcPr>
          <w:p w14:paraId="3F7F160F" w14:textId="77777777" w:rsidR="00C825A2" w:rsidRDefault="008904C8">
            <w:pPr>
              <w:spacing w:after="0" w:line="259" w:lineRule="auto"/>
              <w:ind w:left="0" w:right="36" w:firstLine="0"/>
              <w:jc w:val="center"/>
            </w:pPr>
            <w:r>
              <w:rPr>
                <w:sz w:val="22"/>
              </w:rPr>
              <w:t xml:space="preserve">50mg </w:t>
            </w:r>
          </w:p>
        </w:tc>
        <w:tc>
          <w:tcPr>
            <w:tcW w:w="943" w:type="dxa"/>
            <w:tcBorders>
              <w:top w:val="single" w:sz="4" w:space="0" w:color="000000"/>
              <w:left w:val="single" w:sz="4" w:space="0" w:color="000000"/>
              <w:bottom w:val="single" w:sz="4" w:space="0" w:color="000000"/>
              <w:right w:val="single" w:sz="4" w:space="0" w:color="000000"/>
            </w:tcBorders>
          </w:tcPr>
          <w:p w14:paraId="097E24A1" w14:textId="77777777" w:rsidR="00C825A2" w:rsidRDefault="008904C8">
            <w:pPr>
              <w:spacing w:after="0" w:line="259" w:lineRule="auto"/>
              <w:ind w:left="0" w:right="34" w:firstLine="0"/>
              <w:jc w:val="center"/>
            </w:pPr>
            <w:r>
              <w:rPr>
                <w:sz w:val="22"/>
              </w:rPr>
              <w:t xml:space="preserve">25mg </w:t>
            </w:r>
          </w:p>
        </w:tc>
        <w:tc>
          <w:tcPr>
            <w:tcW w:w="1333" w:type="dxa"/>
            <w:tcBorders>
              <w:top w:val="single" w:sz="4" w:space="0" w:color="000000"/>
              <w:left w:val="single" w:sz="4" w:space="0" w:color="000000"/>
              <w:bottom w:val="single" w:sz="4" w:space="0" w:color="000000"/>
              <w:right w:val="single" w:sz="4" w:space="0" w:color="000000"/>
            </w:tcBorders>
          </w:tcPr>
          <w:p w14:paraId="474FF800" w14:textId="77777777" w:rsidR="00C825A2" w:rsidRDefault="008904C8">
            <w:pPr>
              <w:spacing w:after="0" w:line="259" w:lineRule="auto"/>
              <w:ind w:left="0" w:right="38" w:firstLine="0"/>
              <w:jc w:val="center"/>
            </w:pPr>
            <w:r>
              <w:rPr>
                <w:sz w:val="22"/>
              </w:rPr>
              <w:t xml:space="preserve">5mg </w:t>
            </w:r>
          </w:p>
        </w:tc>
        <w:tc>
          <w:tcPr>
            <w:tcW w:w="715" w:type="dxa"/>
            <w:tcBorders>
              <w:top w:val="single" w:sz="4" w:space="0" w:color="000000"/>
              <w:left w:val="single" w:sz="4" w:space="0" w:color="000000"/>
              <w:bottom w:val="single" w:sz="4" w:space="0" w:color="000000"/>
              <w:right w:val="single" w:sz="4" w:space="0" w:color="000000"/>
            </w:tcBorders>
          </w:tcPr>
          <w:p w14:paraId="61E9E4BA" w14:textId="77777777" w:rsidR="00C825A2" w:rsidRDefault="008904C8">
            <w:pPr>
              <w:spacing w:after="0" w:line="259" w:lineRule="auto"/>
              <w:ind w:left="14" w:right="0" w:firstLine="0"/>
              <w:jc w:val="left"/>
            </w:pPr>
            <w:r>
              <w:rPr>
                <w:sz w:val="22"/>
              </w:rPr>
              <w:t xml:space="preserve">10mg </w:t>
            </w:r>
          </w:p>
        </w:tc>
      </w:tr>
      <w:tr w:rsidR="00C825A2" w14:paraId="19559051"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2E55C6D1" w14:textId="77777777" w:rsidR="00C825A2" w:rsidRDefault="008904C8">
            <w:pPr>
              <w:spacing w:after="0" w:line="259" w:lineRule="auto"/>
              <w:ind w:left="0" w:right="31" w:firstLine="0"/>
              <w:jc w:val="center"/>
            </w:pPr>
            <w:r>
              <w:rPr>
                <w:sz w:val="22"/>
              </w:rP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2BB91951" w14:textId="77777777" w:rsidR="00C825A2" w:rsidRDefault="008904C8">
            <w:pPr>
              <w:spacing w:after="0" w:line="259" w:lineRule="auto"/>
              <w:ind w:left="0" w:right="31" w:firstLine="0"/>
              <w:jc w:val="center"/>
            </w:pPr>
            <w:r>
              <w:rPr>
                <w:sz w:val="22"/>
              </w:rPr>
              <w:t xml:space="preserve">F4 </w:t>
            </w:r>
          </w:p>
        </w:tc>
        <w:tc>
          <w:tcPr>
            <w:tcW w:w="1359" w:type="dxa"/>
            <w:tcBorders>
              <w:top w:val="single" w:sz="4" w:space="0" w:color="000000"/>
              <w:left w:val="single" w:sz="4" w:space="0" w:color="000000"/>
              <w:bottom w:val="single" w:sz="4" w:space="0" w:color="000000"/>
              <w:right w:val="single" w:sz="4" w:space="0" w:color="000000"/>
            </w:tcBorders>
          </w:tcPr>
          <w:p w14:paraId="770D06A6" w14:textId="77777777" w:rsidR="00C825A2" w:rsidRDefault="008904C8">
            <w:pPr>
              <w:spacing w:after="0" w:line="259" w:lineRule="auto"/>
              <w:ind w:left="0" w:right="31" w:firstLine="0"/>
              <w:jc w:val="center"/>
            </w:pPr>
            <w:r>
              <w:rPr>
                <w:sz w:val="22"/>
              </w:rPr>
              <w:t xml:space="preserve">1mg </w:t>
            </w:r>
          </w:p>
        </w:tc>
        <w:tc>
          <w:tcPr>
            <w:tcW w:w="1118" w:type="dxa"/>
            <w:tcBorders>
              <w:top w:val="single" w:sz="4" w:space="0" w:color="000000"/>
              <w:left w:val="single" w:sz="4" w:space="0" w:color="000000"/>
              <w:bottom w:val="single" w:sz="4" w:space="0" w:color="000000"/>
              <w:right w:val="single" w:sz="4" w:space="0" w:color="000000"/>
            </w:tcBorders>
          </w:tcPr>
          <w:p w14:paraId="49C5006C" w14:textId="77777777" w:rsidR="00C825A2" w:rsidRDefault="008904C8">
            <w:pPr>
              <w:spacing w:after="0" w:line="259" w:lineRule="auto"/>
              <w:ind w:left="0" w:right="34" w:firstLine="0"/>
              <w:jc w:val="center"/>
            </w:pPr>
            <w:r>
              <w:rPr>
                <w:sz w:val="22"/>
              </w:rPr>
              <w:t xml:space="preserve">11mg </w:t>
            </w:r>
          </w:p>
        </w:tc>
        <w:tc>
          <w:tcPr>
            <w:tcW w:w="1791" w:type="dxa"/>
            <w:tcBorders>
              <w:top w:val="single" w:sz="4" w:space="0" w:color="000000"/>
              <w:left w:val="single" w:sz="4" w:space="0" w:color="000000"/>
              <w:bottom w:val="single" w:sz="4" w:space="0" w:color="000000"/>
              <w:right w:val="single" w:sz="4" w:space="0" w:color="000000"/>
            </w:tcBorders>
          </w:tcPr>
          <w:p w14:paraId="25ADFB4A" w14:textId="77777777" w:rsidR="00C825A2" w:rsidRDefault="008904C8">
            <w:pPr>
              <w:spacing w:after="0" w:line="259" w:lineRule="auto"/>
              <w:ind w:left="0" w:right="36" w:firstLine="0"/>
              <w:jc w:val="center"/>
            </w:pPr>
            <w:r>
              <w:rPr>
                <w:sz w:val="22"/>
              </w:rPr>
              <w:t xml:space="preserve">50mg </w:t>
            </w:r>
          </w:p>
        </w:tc>
        <w:tc>
          <w:tcPr>
            <w:tcW w:w="943" w:type="dxa"/>
            <w:tcBorders>
              <w:top w:val="single" w:sz="4" w:space="0" w:color="000000"/>
              <w:left w:val="single" w:sz="4" w:space="0" w:color="000000"/>
              <w:bottom w:val="single" w:sz="4" w:space="0" w:color="000000"/>
              <w:right w:val="single" w:sz="4" w:space="0" w:color="000000"/>
            </w:tcBorders>
          </w:tcPr>
          <w:p w14:paraId="1E8E075F" w14:textId="77777777" w:rsidR="00C825A2" w:rsidRDefault="008904C8">
            <w:pPr>
              <w:spacing w:after="0" w:line="259" w:lineRule="auto"/>
              <w:ind w:left="0" w:right="34" w:firstLine="0"/>
              <w:jc w:val="center"/>
            </w:pPr>
            <w:r>
              <w:rPr>
                <w:sz w:val="22"/>
              </w:rPr>
              <w:t xml:space="preserve">23mg </w:t>
            </w:r>
          </w:p>
        </w:tc>
        <w:tc>
          <w:tcPr>
            <w:tcW w:w="1333" w:type="dxa"/>
            <w:tcBorders>
              <w:top w:val="single" w:sz="4" w:space="0" w:color="000000"/>
              <w:left w:val="single" w:sz="4" w:space="0" w:color="000000"/>
              <w:bottom w:val="single" w:sz="4" w:space="0" w:color="000000"/>
              <w:right w:val="single" w:sz="4" w:space="0" w:color="000000"/>
            </w:tcBorders>
          </w:tcPr>
          <w:p w14:paraId="49BD97E9" w14:textId="77777777" w:rsidR="00C825A2" w:rsidRDefault="008904C8">
            <w:pPr>
              <w:spacing w:after="0" w:line="259" w:lineRule="auto"/>
              <w:ind w:left="0" w:right="38" w:firstLine="0"/>
              <w:jc w:val="center"/>
            </w:pPr>
            <w:r>
              <w:rPr>
                <w:sz w:val="22"/>
              </w:rPr>
              <w:t xml:space="preserve">5mg </w:t>
            </w:r>
          </w:p>
        </w:tc>
        <w:tc>
          <w:tcPr>
            <w:tcW w:w="715" w:type="dxa"/>
            <w:tcBorders>
              <w:top w:val="single" w:sz="4" w:space="0" w:color="000000"/>
              <w:left w:val="single" w:sz="4" w:space="0" w:color="000000"/>
              <w:bottom w:val="single" w:sz="4" w:space="0" w:color="000000"/>
              <w:right w:val="single" w:sz="4" w:space="0" w:color="000000"/>
            </w:tcBorders>
          </w:tcPr>
          <w:p w14:paraId="09799BAA" w14:textId="77777777" w:rsidR="00C825A2" w:rsidRDefault="008904C8">
            <w:pPr>
              <w:spacing w:after="0" w:line="259" w:lineRule="auto"/>
              <w:ind w:left="14" w:right="0" w:firstLine="0"/>
              <w:jc w:val="left"/>
            </w:pPr>
            <w:r>
              <w:rPr>
                <w:sz w:val="22"/>
              </w:rPr>
              <w:t xml:space="preserve">10mg </w:t>
            </w:r>
          </w:p>
        </w:tc>
      </w:tr>
      <w:tr w:rsidR="00C825A2" w14:paraId="0AEFE9AA" w14:textId="77777777">
        <w:trPr>
          <w:trHeight w:val="401"/>
        </w:trPr>
        <w:tc>
          <w:tcPr>
            <w:tcW w:w="538" w:type="dxa"/>
            <w:tcBorders>
              <w:top w:val="single" w:sz="4" w:space="0" w:color="000000"/>
              <w:left w:val="single" w:sz="4" w:space="0" w:color="000000"/>
              <w:bottom w:val="single" w:sz="4" w:space="0" w:color="000000"/>
              <w:right w:val="single" w:sz="4" w:space="0" w:color="000000"/>
            </w:tcBorders>
          </w:tcPr>
          <w:p w14:paraId="028E38D0" w14:textId="77777777" w:rsidR="00C825A2" w:rsidRDefault="008904C8">
            <w:pPr>
              <w:spacing w:after="0" w:line="259" w:lineRule="auto"/>
              <w:ind w:left="0" w:right="31" w:firstLine="0"/>
              <w:jc w:val="center"/>
            </w:pPr>
            <w:r>
              <w:rPr>
                <w:sz w:val="22"/>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25263EAF" w14:textId="77777777" w:rsidR="00C825A2" w:rsidRDefault="008904C8">
            <w:pPr>
              <w:spacing w:after="0" w:line="259" w:lineRule="auto"/>
              <w:ind w:left="0" w:right="31" w:firstLine="0"/>
              <w:jc w:val="center"/>
            </w:pPr>
            <w:r>
              <w:rPr>
                <w:sz w:val="22"/>
              </w:rPr>
              <w:t xml:space="preserve">F5 </w:t>
            </w:r>
          </w:p>
        </w:tc>
        <w:tc>
          <w:tcPr>
            <w:tcW w:w="1359" w:type="dxa"/>
            <w:tcBorders>
              <w:top w:val="single" w:sz="4" w:space="0" w:color="000000"/>
              <w:left w:val="single" w:sz="4" w:space="0" w:color="000000"/>
              <w:bottom w:val="single" w:sz="4" w:space="0" w:color="000000"/>
              <w:right w:val="single" w:sz="4" w:space="0" w:color="000000"/>
            </w:tcBorders>
          </w:tcPr>
          <w:p w14:paraId="473F7F1E" w14:textId="77777777" w:rsidR="00C825A2" w:rsidRDefault="008904C8">
            <w:pPr>
              <w:spacing w:after="0" w:line="259" w:lineRule="auto"/>
              <w:ind w:left="0" w:right="31" w:firstLine="0"/>
              <w:jc w:val="center"/>
            </w:pPr>
            <w:r>
              <w:rPr>
                <w:sz w:val="22"/>
              </w:rPr>
              <w:t xml:space="preserve">1mg </w:t>
            </w:r>
          </w:p>
        </w:tc>
        <w:tc>
          <w:tcPr>
            <w:tcW w:w="1118" w:type="dxa"/>
            <w:tcBorders>
              <w:top w:val="single" w:sz="4" w:space="0" w:color="000000"/>
              <w:left w:val="single" w:sz="4" w:space="0" w:color="000000"/>
              <w:bottom w:val="single" w:sz="4" w:space="0" w:color="000000"/>
              <w:right w:val="single" w:sz="4" w:space="0" w:color="000000"/>
            </w:tcBorders>
          </w:tcPr>
          <w:p w14:paraId="69FC6D93" w14:textId="77777777" w:rsidR="00C825A2" w:rsidRDefault="008904C8">
            <w:pPr>
              <w:spacing w:after="0" w:line="259" w:lineRule="auto"/>
              <w:ind w:left="0" w:right="34" w:firstLine="0"/>
              <w:jc w:val="center"/>
            </w:pPr>
            <w:r>
              <w:rPr>
                <w:sz w:val="22"/>
              </w:rPr>
              <w:t xml:space="preserve">13mg </w:t>
            </w:r>
          </w:p>
        </w:tc>
        <w:tc>
          <w:tcPr>
            <w:tcW w:w="1791" w:type="dxa"/>
            <w:tcBorders>
              <w:top w:val="single" w:sz="4" w:space="0" w:color="000000"/>
              <w:left w:val="single" w:sz="4" w:space="0" w:color="000000"/>
              <w:bottom w:val="single" w:sz="4" w:space="0" w:color="000000"/>
              <w:right w:val="single" w:sz="4" w:space="0" w:color="000000"/>
            </w:tcBorders>
          </w:tcPr>
          <w:p w14:paraId="14048BC7" w14:textId="77777777" w:rsidR="00C825A2" w:rsidRDefault="008904C8">
            <w:pPr>
              <w:spacing w:after="0" w:line="259" w:lineRule="auto"/>
              <w:ind w:left="0" w:right="36" w:firstLine="0"/>
              <w:jc w:val="center"/>
            </w:pPr>
            <w:r>
              <w:rPr>
                <w:sz w:val="22"/>
              </w:rPr>
              <w:t xml:space="preserve">50mg </w:t>
            </w:r>
          </w:p>
        </w:tc>
        <w:tc>
          <w:tcPr>
            <w:tcW w:w="943" w:type="dxa"/>
            <w:tcBorders>
              <w:top w:val="single" w:sz="4" w:space="0" w:color="000000"/>
              <w:left w:val="single" w:sz="4" w:space="0" w:color="000000"/>
              <w:bottom w:val="single" w:sz="4" w:space="0" w:color="000000"/>
              <w:right w:val="single" w:sz="4" w:space="0" w:color="000000"/>
            </w:tcBorders>
          </w:tcPr>
          <w:p w14:paraId="0D730FF0" w14:textId="77777777" w:rsidR="00C825A2" w:rsidRDefault="008904C8">
            <w:pPr>
              <w:spacing w:after="0" w:line="259" w:lineRule="auto"/>
              <w:ind w:left="0" w:right="34" w:firstLine="0"/>
              <w:jc w:val="center"/>
            </w:pPr>
            <w:r>
              <w:rPr>
                <w:sz w:val="22"/>
              </w:rPr>
              <w:t xml:space="preserve">21mg </w:t>
            </w:r>
          </w:p>
        </w:tc>
        <w:tc>
          <w:tcPr>
            <w:tcW w:w="1333" w:type="dxa"/>
            <w:tcBorders>
              <w:top w:val="single" w:sz="4" w:space="0" w:color="000000"/>
              <w:left w:val="single" w:sz="4" w:space="0" w:color="000000"/>
              <w:bottom w:val="single" w:sz="4" w:space="0" w:color="000000"/>
              <w:right w:val="single" w:sz="4" w:space="0" w:color="000000"/>
            </w:tcBorders>
          </w:tcPr>
          <w:p w14:paraId="123717F9" w14:textId="77777777" w:rsidR="00C825A2" w:rsidRDefault="008904C8">
            <w:pPr>
              <w:spacing w:after="0" w:line="259" w:lineRule="auto"/>
              <w:ind w:left="0" w:right="38" w:firstLine="0"/>
              <w:jc w:val="center"/>
            </w:pPr>
            <w:r>
              <w:rPr>
                <w:sz w:val="22"/>
              </w:rPr>
              <w:t xml:space="preserve">5mg </w:t>
            </w:r>
          </w:p>
        </w:tc>
        <w:tc>
          <w:tcPr>
            <w:tcW w:w="715" w:type="dxa"/>
            <w:tcBorders>
              <w:top w:val="single" w:sz="4" w:space="0" w:color="000000"/>
              <w:left w:val="single" w:sz="4" w:space="0" w:color="000000"/>
              <w:bottom w:val="single" w:sz="4" w:space="0" w:color="000000"/>
              <w:right w:val="single" w:sz="4" w:space="0" w:color="000000"/>
            </w:tcBorders>
          </w:tcPr>
          <w:p w14:paraId="669F5E42" w14:textId="77777777" w:rsidR="00C825A2" w:rsidRDefault="008904C8">
            <w:pPr>
              <w:spacing w:after="0" w:line="259" w:lineRule="auto"/>
              <w:ind w:left="14" w:right="0" w:firstLine="0"/>
              <w:jc w:val="left"/>
            </w:pPr>
            <w:r>
              <w:rPr>
                <w:sz w:val="22"/>
              </w:rPr>
              <w:t xml:space="preserve">10mg </w:t>
            </w:r>
          </w:p>
        </w:tc>
      </w:tr>
    </w:tbl>
    <w:p w14:paraId="30E3D083" w14:textId="77777777" w:rsidR="00C825A2" w:rsidRDefault="008904C8">
      <w:pPr>
        <w:pStyle w:val="Heading1"/>
        <w:ind w:left="-5" w:right="0"/>
      </w:pPr>
      <w:r>
        <w:t xml:space="preserve">Evaluation of tablets: </w:t>
      </w:r>
      <w:r>
        <w:rPr>
          <w:b w:val="0"/>
        </w:rPr>
        <w:t xml:space="preserve">[28-32] </w:t>
      </w:r>
    </w:p>
    <w:p w14:paraId="2EC2FC72" w14:textId="77777777" w:rsidR="00C825A2" w:rsidRDefault="008904C8">
      <w:pPr>
        <w:ind w:left="-5" w:right="0"/>
      </w:pPr>
      <w:r>
        <w:rPr>
          <w:b/>
        </w:rPr>
        <w:t>Uniformity of weight:</w:t>
      </w:r>
      <w:r>
        <w:rPr>
          <w:rFonts w:ascii="Calibri" w:eastAsia="Calibri" w:hAnsi="Calibri" w:cs="Calibri"/>
        </w:rPr>
        <w:t xml:space="preserve"> </w:t>
      </w:r>
      <w:r>
        <w:t xml:space="preserve">The test was carried out according to the US pharmacopoeia. Twenty tablets, of each formulation were individually weighed and the mean of tablet weights was calculated. Results are presented as mean value± standard deviation (SD). </w:t>
      </w:r>
    </w:p>
    <w:p w14:paraId="095B6680" w14:textId="77777777" w:rsidR="00C825A2" w:rsidRDefault="008904C8">
      <w:pPr>
        <w:spacing w:after="0"/>
        <w:ind w:left="-5" w:right="0"/>
      </w:pPr>
      <w:r>
        <w:rPr>
          <w:b/>
        </w:rPr>
        <w:t xml:space="preserve">Hardness: </w:t>
      </w:r>
      <w:r>
        <w:t xml:space="preserve">The fracture strength, which is defined as the force required breaking a tablet by radial compression was measured with a tablet hardness tester (Monsanto hardness tester)  </w:t>
      </w:r>
    </w:p>
    <w:p w14:paraId="1278021D" w14:textId="77777777" w:rsidR="00C825A2" w:rsidRDefault="008904C8">
      <w:pPr>
        <w:spacing w:after="12" w:line="259" w:lineRule="auto"/>
        <w:ind w:left="2793" w:right="0" w:firstLine="0"/>
        <w:jc w:val="left"/>
      </w:pPr>
      <w:r>
        <w:rPr>
          <w:noProof/>
        </w:rPr>
        <w:drawing>
          <wp:inline distT="0" distB="0" distL="0" distR="0" wp14:anchorId="2EB52380" wp14:editId="761FC28F">
            <wp:extent cx="2026920" cy="1601343"/>
            <wp:effectExtent l="0" t="0" r="0" b="0"/>
            <wp:docPr id="1297" name="Picture 1297"/>
            <wp:cNvGraphicFramePr/>
            <a:graphic xmlns:a="http://schemas.openxmlformats.org/drawingml/2006/main">
              <a:graphicData uri="http://schemas.openxmlformats.org/drawingml/2006/picture">
                <pic:pic xmlns:pic="http://schemas.openxmlformats.org/drawingml/2006/picture">
                  <pic:nvPicPr>
                    <pic:cNvPr id="1297" name="Picture 1297"/>
                    <pic:cNvPicPr/>
                  </pic:nvPicPr>
                  <pic:blipFill>
                    <a:blip r:embed="rId7"/>
                    <a:stretch>
                      <a:fillRect/>
                    </a:stretch>
                  </pic:blipFill>
                  <pic:spPr>
                    <a:xfrm>
                      <a:off x="0" y="0"/>
                      <a:ext cx="2026920" cy="1601343"/>
                    </a:xfrm>
                    <a:prstGeom prst="rect">
                      <a:avLst/>
                    </a:prstGeom>
                  </pic:spPr>
                </pic:pic>
              </a:graphicData>
            </a:graphic>
          </wp:inline>
        </w:drawing>
      </w:r>
    </w:p>
    <w:p w14:paraId="20F5BC33" w14:textId="77777777" w:rsidR="00C825A2" w:rsidRDefault="008904C8">
      <w:pPr>
        <w:pStyle w:val="Heading2"/>
        <w:ind w:left="-5"/>
      </w:pPr>
      <w:r>
        <w:rPr>
          <w:b w:val="0"/>
        </w:rPr>
        <w:t xml:space="preserve">                                                       </w:t>
      </w:r>
      <w:r>
        <w:t xml:space="preserve">Fig. hardness Tester </w:t>
      </w:r>
    </w:p>
    <w:p w14:paraId="0E41A3B5" w14:textId="77777777" w:rsidR="00C825A2" w:rsidRDefault="008904C8">
      <w:pPr>
        <w:spacing w:after="0"/>
        <w:ind w:left="-5" w:right="0"/>
      </w:pPr>
      <w:r>
        <w:rPr>
          <w:b/>
        </w:rPr>
        <w:t>Friability:</w:t>
      </w:r>
      <w:r>
        <w:rPr>
          <w:rFonts w:ascii="Calibri" w:eastAsia="Calibri" w:hAnsi="Calibri" w:cs="Calibri"/>
          <w:sz w:val="22"/>
        </w:rPr>
        <w:t xml:space="preserve"> </w:t>
      </w:r>
      <w:r>
        <w:t xml:space="preserve">The friability of sample of six tablets ware measured using a Roche Friabilator (Electrolab EF 2, USP). Six pre-weighed tablets were rotated at 25 rpm for 4 minutes. The </w:t>
      </w:r>
      <w:r>
        <w:lastRenderedPageBreak/>
        <w:t>tablets were then reweighed after removal of fine’s using 60 mesh screens and the percentage of weight loss was calculated. % Friability = (Loss in weight / Initial weight) × 100</w:t>
      </w:r>
      <w:r>
        <w:rPr>
          <w:b/>
        </w:rPr>
        <w:t xml:space="preserve"> </w:t>
      </w:r>
    </w:p>
    <w:p w14:paraId="07320C8E" w14:textId="77777777" w:rsidR="00C825A2" w:rsidRDefault="008904C8">
      <w:pPr>
        <w:spacing w:after="0" w:line="259" w:lineRule="auto"/>
        <w:ind w:left="1866" w:right="0" w:firstLine="0"/>
        <w:jc w:val="left"/>
      </w:pPr>
      <w:r>
        <w:rPr>
          <w:rFonts w:ascii="Calibri" w:eastAsia="Calibri" w:hAnsi="Calibri" w:cs="Calibri"/>
          <w:noProof/>
          <w:sz w:val="22"/>
        </w:rPr>
        <mc:AlternateContent>
          <mc:Choice Requires="wpg">
            <w:drawing>
              <wp:inline distT="0" distB="0" distL="0" distR="0" wp14:anchorId="3B77E438" wp14:editId="017B0899">
                <wp:extent cx="2652776" cy="1350556"/>
                <wp:effectExtent l="0" t="0" r="0" b="0"/>
                <wp:docPr id="16088" name="Group 16088"/>
                <wp:cNvGraphicFramePr/>
                <a:graphic xmlns:a="http://schemas.openxmlformats.org/drawingml/2006/main">
                  <a:graphicData uri="http://schemas.microsoft.com/office/word/2010/wordprocessingGroup">
                    <wpg:wgp>
                      <wpg:cNvGrpSpPr/>
                      <wpg:grpSpPr>
                        <a:xfrm>
                          <a:off x="0" y="0"/>
                          <a:ext cx="2652776" cy="1350556"/>
                          <a:chOff x="0" y="0"/>
                          <a:chExt cx="2652776" cy="1350556"/>
                        </a:xfrm>
                      </wpg:grpSpPr>
                      <pic:pic xmlns:pic="http://schemas.openxmlformats.org/drawingml/2006/picture">
                        <pic:nvPicPr>
                          <pic:cNvPr id="1295" name="Picture 1295"/>
                          <pic:cNvPicPr/>
                        </pic:nvPicPr>
                        <pic:blipFill>
                          <a:blip r:embed="rId8"/>
                          <a:stretch>
                            <a:fillRect/>
                          </a:stretch>
                        </pic:blipFill>
                        <pic:spPr>
                          <a:xfrm>
                            <a:off x="0" y="13246"/>
                            <a:ext cx="2132076" cy="1337310"/>
                          </a:xfrm>
                          <a:prstGeom prst="rect">
                            <a:avLst/>
                          </a:prstGeom>
                        </pic:spPr>
                      </pic:pic>
                      <pic:pic xmlns:pic="http://schemas.openxmlformats.org/drawingml/2006/picture">
                        <pic:nvPicPr>
                          <pic:cNvPr id="1299" name="Picture 1299"/>
                          <pic:cNvPicPr/>
                        </pic:nvPicPr>
                        <pic:blipFill>
                          <a:blip r:embed="rId8"/>
                          <a:stretch>
                            <a:fillRect/>
                          </a:stretch>
                        </pic:blipFill>
                        <pic:spPr>
                          <a:xfrm>
                            <a:off x="520700" y="0"/>
                            <a:ext cx="2132076" cy="1337310"/>
                          </a:xfrm>
                          <a:prstGeom prst="rect">
                            <a:avLst/>
                          </a:prstGeom>
                        </pic:spPr>
                      </pic:pic>
                      <wps:wsp>
                        <wps:cNvPr id="1645" name="Rectangle 1645"/>
                        <wps:cNvSpPr/>
                        <wps:spPr>
                          <a:xfrm>
                            <a:off x="1304417" y="16573"/>
                            <a:ext cx="50673" cy="224380"/>
                          </a:xfrm>
                          <a:prstGeom prst="rect">
                            <a:avLst/>
                          </a:prstGeom>
                          <a:ln>
                            <a:noFill/>
                          </a:ln>
                        </wps:spPr>
                        <wps:txbx>
                          <w:txbxContent>
                            <w:p w14:paraId="6AA340FD" w14:textId="77777777" w:rsidR="00C825A2" w:rsidRDefault="008904C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88" style="width:208.88pt;height:106.343pt;mso-position-horizontal-relative:char;mso-position-vertical-relative:line" coordsize="26527,13505">
                <v:shape id="Picture 1295" style="position:absolute;width:21320;height:13373;left:0;top:132;" filled="f">
                  <v:imagedata r:id="rId9"/>
                </v:shape>
                <v:shape id="Picture 1299" style="position:absolute;width:21320;height:13373;left:5207;top:0;" filled="f">
                  <v:imagedata r:id="rId9"/>
                </v:shape>
                <v:rect id="Rectangle 1645" style="position:absolute;width:506;height:2243;left:13044;top:165;" filled="f" stroked="f">
                  <v:textbox inset="0,0,0,0">
                    <w:txbxContent>
                      <w:p>
                        <w:pPr>
                          <w:spacing w:before="0" w:after="160" w:line="259" w:lineRule="auto"/>
                          <w:ind w:left="0" w:right="0" w:firstLine="0"/>
                          <w:jc w:val="left"/>
                        </w:pPr>
                        <w:r>
                          <w:rPr/>
                          <w:t xml:space="preserve"> </w:t>
                        </w:r>
                      </w:p>
                    </w:txbxContent>
                  </v:textbox>
                </v:rect>
              </v:group>
            </w:pict>
          </mc:Fallback>
        </mc:AlternateContent>
      </w:r>
    </w:p>
    <w:p w14:paraId="26186719" w14:textId="77777777" w:rsidR="00C825A2" w:rsidRDefault="008904C8">
      <w:pPr>
        <w:spacing w:after="274" w:line="259" w:lineRule="auto"/>
        <w:ind w:left="0" w:right="0" w:firstLine="0"/>
        <w:jc w:val="left"/>
      </w:pPr>
      <w:r>
        <w:rPr>
          <w:b/>
        </w:rPr>
        <w:t xml:space="preserve"> </w:t>
      </w:r>
    </w:p>
    <w:p w14:paraId="1137F6D0" w14:textId="77777777" w:rsidR="00C825A2" w:rsidRDefault="008904C8">
      <w:pPr>
        <w:spacing w:after="273" w:line="259" w:lineRule="auto"/>
        <w:ind w:left="0" w:right="0" w:firstLine="0"/>
        <w:jc w:val="left"/>
      </w:pPr>
      <w:r>
        <w:rPr>
          <w:b/>
        </w:rPr>
        <w:t xml:space="preserve">                                        </w:t>
      </w:r>
    </w:p>
    <w:p w14:paraId="2B043D0A" w14:textId="77777777" w:rsidR="00C825A2" w:rsidRDefault="008904C8">
      <w:pPr>
        <w:spacing w:after="277" w:line="259" w:lineRule="auto"/>
        <w:ind w:left="-5" w:right="0"/>
        <w:jc w:val="left"/>
      </w:pPr>
      <w:r>
        <w:rPr>
          <w:b/>
        </w:rPr>
        <w:t xml:space="preserve">                                                Fig.  Friability Test Apparatus  </w:t>
      </w:r>
    </w:p>
    <w:p w14:paraId="5CA67A4E" w14:textId="77777777" w:rsidR="00C825A2" w:rsidRDefault="008904C8">
      <w:pPr>
        <w:spacing w:after="276" w:line="259" w:lineRule="auto"/>
        <w:ind w:left="0" w:right="0" w:firstLine="0"/>
        <w:jc w:val="left"/>
      </w:pPr>
      <w:r>
        <w:rPr>
          <w:b/>
        </w:rPr>
        <w:t xml:space="preserve"> </w:t>
      </w:r>
    </w:p>
    <w:p w14:paraId="79AEDBB9" w14:textId="77777777" w:rsidR="00C825A2" w:rsidRDefault="008904C8">
      <w:pPr>
        <w:pStyle w:val="Heading2"/>
        <w:ind w:left="-5"/>
      </w:pPr>
      <w:r>
        <w:t xml:space="preserve">                                              Fig.  Friability Test Apparatus  </w:t>
      </w:r>
    </w:p>
    <w:p w14:paraId="44303CCC" w14:textId="77777777" w:rsidR="00C825A2" w:rsidRDefault="008904C8">
      <w:pPr>
        <w:ind w:left="-5" w:right="0"/>
      </w:pPr>
      <w:r>
        <w:rPr>
          <w:b/>
        </w:rPr>
        <w:t xml:space="preserve">Wetting time: </w:t>
      </w:r>
      <w:r>
        <w:t xml:space="preserve">A piece of tissue paper folded twice was placed in a small petri dish containing 6 ml of water. A tablet was put on the paper and the time required for complete wetting was measured. </w:t>
      </w:r>
    </w:p>
    <w:p w14:paraId="099929DE" w14:textId="77777777" w:rsidR="00C825A2" w:rsidRDefault="008904C8">
      <w:pPr>
        <w:tabs>
          <w:tab w:val="center" w:pos="7401"/>
        </w:tabs>
        <w:spacing w:after="277" w:line="259" w:lineRule="auto"/>
        <w:ind w:left="-15" w:right="0" w:firstLine="0"/>
        <w:jc w:val="left"/>
      </w:pPr>
      <w:r>
        <w:rPr>
          <w:b/>
        </w:rPr>
        <w:t xml:space="preserve">RESULT AND DISSCUSSION  </w:t>
      </w:r>
      <w:r>
        <w:rPr>
          <w:b/>
        </w:rPr>
        <w:tab/>
        <w:t xml:space="preserve"> </w:t>
      </w:r>
    </w:p>
    <w:p w14:paraId="53E7CF43" w14:textId="77777777" w:rsidR="00C825A2" w:rsidRDefault="008904C8">
      <w:pPr>
        <w:pStyle w:val="Heading2"/>
        <w:spacing w:after="3"/>
        <w:ind w:left="-5"/>
      </w:pPr>
      <w:r>
        <w:t xml:space="preserve">Preformulation study </w:t>
      </w:r>
    </w:p>
    <w:tbl>
      <w:tblPr>
        <w:tblStyle w:val="TableGrid"/>
        <w:tblW w:w="7799" w:type="dxa"/>
        <w:tblInd w:w="754" w:type="dxa"/>
        <w:tblCellMar>
          <w:top w:w="16" w:type="dxa"/>
          <w:left w:w="115" w:type="dxa"/>
          <w:bottom w:w="0" w:type="dxa"/>
          <w:right w:w="115" w:type="dxa"/>
        </w:tblCellMar>
        <w:tblLook w:val="04A0" w:firstRow="1" w:lastRow="0" w:firstColumn="1" w:lastColumn="0" w:noHBand="0" w:noVBand="1"/>
      </w:tblPr>
      <w:tblGrid>
        <w:gridCol w:w="3920"/>
        <w:gridCol w:w="3879"/>
      </w:tblGrid>
      <w:tr w:rsidR="00C825A2" w14:paraId="7DAF97B6" w14:textId="77777777">
        <w:trPr>
          <w:trHeight w:val="398"/>
        </w:trPr>
        <w:tc>
          <w:tcPr>
            <w:tcW w:w="3920" w:type="dxa"/>
            <w:tcBorders>
              <w:top w:val="single" w:sz="4" w:space="0" w:color="000000"/>
              <w:left w:val="single" w:sz="4" w:space="0" w:color="000000"/>
              <w:bottom w:val="single" w:sz="4" w:space="0" w:color="000000"/>
              <w:right w:val="single" w:sz="4" w:space="0" w:color="000000"/>
            </w:tcBorders>
          </w:tcPr>
          <w:p w14:paraId="7F071E38" w14:textId="77777777" w:rsidR="00C825A2" w:rsidRDefault="008904C8">
            <w:pPr>
              <w:spacing w:after="0" w:line="259" w:lineRule="auto"/>
              <w:ind w:left="4" w:right="0" w:firstLine="0"/>
              <w:jc w:val="center"/>
            </w:pPr>
            <w:r>
              <w:rPr>
                <w:sz w:val="22"/>
              </w:rPr>
              <w:t xml:space="preserve">Colour </w:t>
            </w:r>
          </w:p>
        </w:tc>
        <w:tc>
          <w:tcPr>
            <w:tcW w:w="3879" w:type="dxa"/>
            <w:tcBorders>
              <w:top w:val="single" w:sz="4" w:space="0" w:color="000000"/>
              <w:left w:val="single" w:sz="4" w:space="0" w:color="000000"/>
              <w:bottom w:val="single" w:sz="4" w:space="0" w:color="000000"/>
              <w:right w:val="single" w:sz="4" w:space="0" w:color="000000"/>
            </w:tcBorders>
          </w:tcPr>
          <w:p w14:paraId="4F1F453A" w14:textId="77777777" w:rsidR="00C825A2" w:rsidRDefault="008904C8">
            <w:pPr>
              <w:spacing w:after="0" w:line="259" w:lineRule="auto"/>
              <w:ind w:left="4" w:right="0" w:firstLine="0"/>
              <w:jc w:val="center"/>
            </w:pPr>
            <w:r>
              <w:rPr>
                <w:sz w:val="22"/>
              </w:rPr>
              <w:t xml:space="preserve">White, Crystalline Powder </w:t>
            </w:r>
          </w:p>
        </w:tc>
      </w:tr>
      <w:tr w:rsidR="00C825A2" w14:paraId="30C2C3CC" w14:textId="77777777">
        <w:trPr>
          <w:trHeight w:val="398"/>
        </w:trPr>
        <w:tc>
          <w:tcPr>
            <w:tcW w:w="3920" w:type="dxa"/>
            <w:tcBorders>
              <w:top w:val="single" w:sz="4" w:space="0" w:color="000000"/>
              <w:left w:val="single" w:sz="4" w:space="0" w:color="000000"/>
              <w:bottom w:val="single" w:sz="4" w:space="0" w:color="000000"/>
              <w:right w:val="single" w:sz="4" w:space="0" w:color="000000"/>
            </w:tcBorders>
          </w:tcPr>
          <w:p w14:paraId="545C128F" w14:textId="77777777" w:rsidR="00C825A2" w:rsidRDefault="008904C8">
            <w:pPr>
              <w:spacing w:after="0" w:line="259" w:lineRule="auto"/>
              <w:ind w:left="9" w:right="0" w:firstLine="0"/>
              <w:jc w:val="center"/>
            </w:pPr>
            <w:r>
              <w:rPr>
                <w:sz w:val="22"/>
              </w:rPr>
              <w:t xml:space="preserve">Odour </w:t>
            </w:r>
          </w:p>
        </w:tc>
        <w:tc>
          <w:tcPr>
            <w:tcW w:w="3879" w:type="dxa"/>
            <w:tcBorders>
              <w:top w:val="single" w:sz="4" w:space="0" w:color="000000"/>
              <w:left w:val="single" w:sz="4" w:space="0" w:color="000000"/>
              <w:bottom w:val="single" w:sz="4" w:space="0" w:color="000000"/>
              <w:right w:val="single" w:sz="4" w:space="0" w:color="000000"/>
            </w:tcBorders>
          </w:tcPr>
          <w:p w14:paraId="6B40D1F0" w14:textId="77777777" w:rsidR="00C825A2" w:rsidRDefault="008904C8">
            <w:pPr>
              <w:spacing w:after="0" w:line="259" w:lineRule="auto"/>
              <w:ind w:left="11" w:right="0" w:firstLine="0"/>
              <w:jc w:val="center"/>
            </w:pPr>
            <w:r>
              <w:rPr>
                <w:sz w:val="22"/>
              </w:rPr>
              <w:t xml:space="preserve">Odorless </w:t>
            </w:r>
          </w:p>
        </w:tc>
      </w:tr>
      <w:tr w:rsidR="00C825A2" w14:paraId="60298959" w14:textId="77777777">
        <w:trPr>
          <w:trHeight w:val="398"/>
        </w:trPr>
        <w:tc>
          <w:tcPr>
            <w:tcW w:w="3920" w:type="dxa"/>
            <w:tcBorders>
              <w:top w:val="single" w:sz="4" w:space="0" w:color="000000"/>
              <w:left w:val="single" w:sz="4" w:space="0" w:color="000000"/>
              <w:bottom w:val="single" w:sz="4" w:space="0" w:color="000000"/>
              <w:right w:val="single" w:sz="4" w:space="0" w:color="000000"/>
            </w:tcBorders>
          </w:tcPr>
          <w:p w14:paraId="3ADE3A42" w14:textId="77777777" w:rsidR="00C825A2" w:rsidRDefault="008904C8">
            <w:pPr>
              <w:spacing w:after="0" w:line="259" w:lineRule="auto"/>
              <w:ind w:left="11" w:right="0" w:firstLine="0"/>
              <w:jc w:val="center"/>
            </w:pPr>
            <w:r>
              <w:rPr>
                <w:sz w:val="22"/>
              </w:rPr>
              <w:t xml:space="preserve">Melting Point </w:t>
            </w:r>
          </w:p>
        </w:tc>
        <w:tc>
          <w:tcPr>
            <w:tcW w:w="3879" w:type="dxa"/>
            <w:tcBorders>
              <w:top w:val="single" w:sz="4" w:space="0" w:color="000000"/>
              <w:left w:val="single" w:sz="4" w:space="0" w:color="000000"/>
              <w:bottom w:val="single" w:sz="4" w:space="0" w:color="000000"/>
              <w:right w:val="single" w:sz="4" w:space="0" w:color="000000"/>
            </w:tcBorders>
          </w:tcPr>
          <w:p w14:paraId="7A6DC4F3" w14:textId="77777777" w:rsidR="00C825A2" w:rsidRDefault="008904C8">
            <w:pPr>
              <w:spacing w:after="0" w:line="259" w:lineRule="auto"/>
              <w:ind w:left="13" w:right="0" w:firstLine="0"/>
              <w:jc w:val="center"/>
            </w:pPr>
            <w:r>
              <w:rPr>
                <w:sz w:val="22"/>
              </w:rPr>
              <w:t xml:space="preserve">126-128 </w:t>
            </w:r>
            <w:r>
              <w:rPr>
                <w:sz w:val="22"/>
                <w:vertAlign w:val="superscript"/>
              </w:rPr>
              <w:t>o</w:t>
            </w:r>
            <w:r>
              <w:rPr>
                <w:sz w:val="22"/>
              </w:rPr>
              <w:t xml:space="preserve">C </w:t>
            </w:r>
          </w:p>
        </w:tc>
      </w:tr>
    </w:tbl>
    <w:p w14:paraId="34870AE7" w14:textId="77777777" w:rsidR="00C825A2" w:rsidRDefault="008904C8">
      <w:pPr>
        <w:pStyle w:val="Heading2"/>
        <w:spacing w:after="3"/>
        <w:ind w:left="-5"/>
      </w:pPr>
      <w:r>
        <w:t xml:space="preserve">Evaluation of Pre-Compression Parameters </w:t>
      </w:r>
    </w:p>
    <w:tbl>
      <w:tblPr>
        <w:tblStyle w:val="TableGrid"/>
        <w:tblW w:w="7799" w:type="dxa"/>
        <w:tblInd w:w="754" w:type="dxa"/>
        <w:tblCellMar>
          <w:top w:w="14" w:type="dxa"/>
          <w:left w:w="115" w:type="dxa"/>
          <w:bottom w:w="0" w:type="dxa"/>
          <w:right w:w="115" w:type="dxa"/>
        </w:tblCellMar>
        <w:tblLook w:val="04A0" w:firstRow="1" w:lastRow="0" w:firstColumn="1" w:lastColumn="0" w:noHBand="0" w:noVBand="1"/>
      </w:tblPr>
      <w:tblGrid>
        <w:gridCol w:w="518"/>
        <w:gridCol w:w="4712"/>
        <w:gridCol w:w="2569"/>
      </w:tblGrid>
      <w:tr w:rsidR="00C825A2" w14:paraId="2CDB24A1" w14:textId="77777777">
        <w:trPr>
          <w:trHeight w:val="401"/>
        </w:trPr>
        <w:tc>
          <w:tcPr>
            <w:tcW w:w="518" w:type="dxa"/>
            <w:tcBorders>
              <w:top w:val="single" w:sz="4" w:space="0" w:color="000000"/>
              <w:left w:val="single" w:sz="4" w:space="0" w:color="000000"/>
              <w:bottom w:val="single" w:sz="4" w:space="0" w:color="000000"/>
              <w:right w:val="single" w:sz="4" w:space="0" w:color="000000"/>
            </w:tcBorders>
          </w:tcPr>
          <w:p w14:paraId="3BBA0527" w14:textId="77777777" w:rsidR="00C825A2" w:rsidRDefault="008904C8">
            <w:pPr>
              <w:spacing w:after="0" w:line="259" w:lineRule="auto"/>
              <w:ind w:left="19" w:right="0" w:firstLine="0"/>
              <w:jc w:val="center"/>
            </w:pPr>
            <w:r>
              <w:rPr>
                <w:sz w:val="22"/>
              </w:rPr>
              <w:t xml:space="preserve">1 </w:t>
            </w:r>
          </w:p>
        </w:tc>
        <w:tc>
          <w:tcPr>
            <w:tcW w:w="4712" w:type="dxa"/>
            <w:tcBorders>
              <w:top w:val="single" w:sz="4" w:space="0" w:color="000000"/>
              <w:left w:val="single" w:sz="4" w:space="0" w:color="000000"/>
              <w:bottom w:val="single" w:sz="4" w:space="0" w:color="000000"/>
              <w:right w:val="single" w:sz="4" w:space="0" w:color="000000"/>
            </w:tcBorders>
          </w:tcPr>
          <w:p w14:paraId="6A647CB6" w14:textId="77777777" w:rsidR="00C825A2" w:rsidRDefault="008904C8">
            <w:pPr>
              <w:spacing w:after="0" w:line="259" w:lineRule="auto"/>
              <w:ind w:left="7" w:right="0" w:firstLine="0"/>
              <w:jc w:val="center"/>
            </w:pPr>
            <w:r>
              <w:rPr>
                <w:sz w:val="22"/>
              </w:rPr>
              <w:t xml:space="preserve">Angle of repose </w:t>
            </w:r>
          </w:p>
        </w:tc>
        <w:tc>
          <w:tcPr>
            <w:tcW w:w="2569" w:type="dxa"/>
            <w:tcBorders>
              <w:top w:val="single" w:sz="4" w:space="0" w:color="000000"/>
              <w:left w:val="single" w:sz="4" w:space="0" w:color="000000"/>
              <w:bottom w:val="single" w:sz="4" w:space="0" w:color="000000"/>
              <w:right w:val="single" w:sz="4" w:space="0" w:color="000000"/>
            </w:tcBorders>
          </w:tcPr>
          <w:p w14:paraId="2C114043" w14:textId="77777777" w:rsidR="00C825A2" w:rsidRDefault="008904C8">
            <w:pPr>
              <w:spacing w:after="0" w:line="259" w:lineRule="auto"/>
              <w:ind w:left="7" w:right="0" w:firstLine="0"/>
              <w:jc w:val="center"/>
            </w:pPr>
            <w:r>
              <w:rPr>
                <w:sz w:val="22"/>
              </w:rPr>
              <w:t xml:space="preserve">25.10 </w:t>
            </w:r>
          </w:p>
        </w:tc>
      </w:tr>
      <w:tr w:rsidR="00C825A2" w14:paraId="7F534655" w14:textId="77777777">
        <w:trPr>
          <w:trHeight w:val="394"/>
        </w:trPr>
        <w:tc>
          <w:tcPr>
            <w:tcW w:w="518" w:type="dxa"/>
            <w:tcBorders>
              <w:top w:val="single" w:sz="4" w:space="0" w:color="000000"/>
              <w:left w:val="single" w:sz="4" w:space="0" w:color="000000"/>
              <w:bottom w:val="single" w:sz="4" w:space="0" w:color="000000"/>
              <w:right w:val="single" w:sz="4" w:space="0" w:color="000000"/>
            </w:tcBorders>
          </w:tcPr>
          <w:p w14:paraId="6E19099B" w14:textId="77777777" w:rsidR="00C825A2" w:rsidRDefault="008904C8">
            <w:pPr>
              <w:spacing w:after="0" w:line="259" w:lineRule="auto"/>
              <w:ind w:left="19" w:right="0" w:firstLine="0"/>
              <w:jc w:val="center"/>
            </w:pPr>
            <w:r>
              <w:rPr>
                <w:sz w:val="22"/>
              </w:rPr>
              <w:t xml:space="preserve">2 </w:t>
            </w:r>
          </w:p>
        </w:tc>
        <w:tc>
          <w:tcPr>
            <w:tcW w:w="4712" w:type="dxa"/>
            <w:tcBorders>
              <w:top w:val="single" w:sz="4" w:space="0" w:color="000000"/>
              <w:left w:val="single" w:sz="4" w:space="0" w:color="000000"/>
              <w:bottom w:val="single" w:sz="4" w:space="0" w:color="000000"/>
              <w:right w:val="single" w:sz="4" w:space="0" w:color="000000"/>
            </w:tcBorders>
          </w:tcPr>
          <w:p w14:paraId="51926656" w14:textId="77777777" w:rsidR="00C825A2" w:rsidRDefault="008904C8">
            <w:pPr>
              <w:spacing w:after="0" w:line="259" w:lineRule="auto"/>
              <w:ind w:left="15" w:right="0" w:firstLine="0"/>
              <w:jc w:val="center"/>
            </w:pPr>
            <w:r>
              <w:rPr>
                <w:sz w:val="22"/>
              </w:rPr>
              <w:t xml:space="preserve">Bulk density </w:t>
            </w:r>
          </w:p>
        </w:tc>
        <w:tc>
          <w:tcPr>
            <w:tcW w:w="2569" w:type="dxa"/>
            <w:tcBorders>
              <w:top w:val="single" w:sz="4" w:space="0" w:color="000000"/>
              <w:left w:val="single" w:sz="4" w:space="0" w:color="000000"/>
              <w:bottom w:val="single" w:sz="4" w:space="0" w:color="000000"/>
              <w:right w:val="single" w:sz="4" w:space="0" w:color="000000"/>
            </w:tcBorders>
          </w:tcPr>
          <w:p w14:paraId="786CC1C9" w14:textId="77777777" w:rsidR="00C825A2" w:rsidRDefault="008904C8">
            <w:pPr>
              <w:spacing w:after="0" w:line="259" w:lineRule="auto"/>
              <w:ind w:left="7" w:right="0" w:firstLine="0"/>
              <w:jc w:val="center"/>
            </w:pPr>
            <w:r>
              <w:rPr>
                <w:sz w:val="22"/>
              </w:rPr>
              <w:t xml:space="preserve">0.52 </w:t>
            </w:r>
          </w:p>
        </w:tc>
      </w:tr>
      <w:tr w:rsidR="00C825A2" w14:paraId="793B64EF" w14:textId="77777777">
        <w:trPr>
          <w:trHeight w:val="401"/>
        </w:trPr>
        <w:tc>
          <w:tcPr>
            <w:tcW w:w="518" w:type="dxa"/>
            <w:tcBorders>
              <w:top w:val="single" w:sz="4" w:space="0" w:color="000000"/>
              <w:left w:val="single" w:sz="4" w:space="0" w:color="000000"/>
              <w:bottom w:val="single" w:sz="4" w:space="0" w:color="000000"/>
              <w:right w:val="single" w:sz="4" w:space="0" w:color="000000"/>
            </w:tcBorders>
          </w:tcPr>
          <w:p w14:paraId="38BE36EC" w14:textId="77777777" w:rsidR="00C825A2" w:rsidRDefault="008904C8">
            <w:pPr>
              <w:spacing w:after="0" w:line="259" w:lineRule="auto"/>
              <w:ind w:left="19" w:right="0" w:firstLine="0"/>
              <w:jc w:val="center"/>
            </w:pPr>
            <w:r>
              <w:rPr>
                <w:sz w:val="22"/>
              </w:rPr>
              <w:t xml:space="preserve">3 </w:t>
            </w:r>
          </w:p>
        </w:tc>
        <w:tc>
          <w:tcPr>
            <w:tcW w:w="4712" w:type="dxa"/>
            <w:tcBorders>
              <w:top w:val="single" w:sz="4" w:space="0" w:color="000000"/>
              <w:left w:val="single" w:sz="4" w:space="0" w:color="000000"/>
              <w:bottom w:val="single" w:sz="4" w:space="0" w:color="000000"/>
              <w:right w:val="single" w:sz="4" w:space="0" w:color="000000"/>
            </w:tcBorders>
          </w:tcPr>
          <w:p w14:paraId="744DC1F0" w14:textId="77777777" w:rsidR="00C825A2" w:rsidRDefault="008904C8">
            <w:pPr>
              <w:spacing w:after="0" w:line="259" w:lineRule="auto"/>
              <w:ind w:left="8" w:right="0" w:firstLine="0"/>
              <w:jc w:val="center"/>
            </w:pPr>
            <w:r>
              <w:rPr>
                <w:sz w:val="22"/>
              </w:rPr>
              <w:t xml:space="preserve">Tapped density </w:t>
            </w:r>
          </w:p>
        </w:tc>
        <w:tc>
          <w:tcPr>
            <w:tcW w:w="2569" w:type="dxa"/>
            <w:tcBorders>
              <w:top w:val="single" w:sz="4" w:space="0" w:color="000000"/>
              <w:left w:val="single" w:sz="4" w:space="0" w:color="000000"/>
              <w:bottom w:val="single" w:sz="4" w:space="0" w:color="000000"/>
              <w:right w:val="single" w:sz="4" w:space="0" w:color="000000"/>
            </w:tcBorders>
          </w:tcPr>
          <w:p w14:paraId="66161BF5" w14:textId="77777777" w:rsidR="00C825A2" w:rsidRDefault="008904C8">
            <w:pPr>
              <w:spacing w:after="0" w:line="259" w:lineRule="auto"/>
              <w:ind w:left="7" w:right="0" w:firstLine="0"/>
              <w:jc w:val="center"/>
            </w:pPr>
            <w:r>
              <w:rPr>
                <w:sz w:val="22"/>
              </w:rPr>
              <w:t xml:space="preserve">00.60 </w:t>
            </w:r>
          </w:p>
        </w:tc>
      </w:tr>
      <w:tr w:rsidR="00C825A2" w14:paraId="67198B00" w14:textId="77777777">
        <w:trPr>
          <w:trHeight w:val="398"/>
        </w:trPr>
        <w:tc>
          <w:tcPr>
            <w:tcW w:w="518" w:type="dxa"/>
            <w:tcBorders>
              <w:top w:val="single" w:sz="4" w:space="0" w:color="000000"/>
              <w:left w:val="single" w:sz="4" w:space="0" w:color="000000"/>
              <w:bottom w:val="single" w:sz="4" w:space="0" w:color="000000"/>
              <w:right w:val="single" w:sz="4" w:space="0" w:color="000000"/>
            </w:tcBorders>
          </w:tcPr>
          <w:p w14:paraId="769C2A58" w14:textId="77777777" w:rsidR="00C825A2" w:rsidRDefault="008904C8">
            <w:pPr>
              <w:spacing w:after="0" w:line="259" w:lineRule="auto"/>
              <w:ind w:left="19" w:right="0" w:firstLine="0"/>
              <w:jc w:val="center"/>
            </w:pPr>
            <w:r>
              <w:rPr>
                <w:sz w:val="22"/>
              </w:rPr>
              <w:t xml:space="preserve">4 </w:t>
            </w:r>
          </w:p>
        </w:tc>
        <w:tc>
          <w:tcPr>
            <w:tcW w:w="4712" w:type="dxa"/>
            <w:tcBorders>
              <w:top w:val="single" w:sz="4" w:space="0" w:color="000000"/>
              <w:left w:val="single" w:sz="4" w:space="0" w:color="000000"/>
              <w:bottom w:val="single" w:sz="4" w:space="0" w:color="000000"/>
              <w:right w:val="single" w:sz="4" w:space="0" w:color="000000"/>
            </w:tcBorders>
          </w:tcPr>
          <w:p w14:paraId="60116608" w14:textId="77777777" w:rsidR="00C825A2" w:rsidRDefault="008904C8">
            <w:pPr>
              <w:spacing w:after="0" w:line="259" w:lineRule="auto"/>
              <w:ind w:left="8" w:right="0" w:firstLine="0"/>
              <w:jc w:val="center"/>
            </w:pPr>
            <w:r>
              <w:rPr>
                <w:sz w:val="22"/>
              </w:rPr>
              <w:t xml:space="preserve">Hausner ratio </w:t>
            </w:r>
          </w:p>
        </w:tc>
        <w:tc>
          <w:tcPr>
            <w:tcW w:w="2569" w:type="dxa"/>
            <w:tcBorders>
              <w:top w:val="single" w:sz="4" w:space="0" w:color="000000"/>
              <w:left w:val="single" w:sz="4" w:space="0" w:color="000000"/>
              <w:bottom w:val="single" w:sz="4" w:space="0" w:color="000000"/>
              <w:right w:val="single" w:sz="4" w:space="0" w:color="000000"/>
            </w:tcBorders>
          </w:tcPr>
          <w:p w14:paraId="168428AF" w14:textId="77777777" w:rsidR="00C825A2" w:rsidRDefault="008904C8">
            <w:pPr>
              <w:spacing w:after="0" w:line="259" w:lineRule="auto"/>
              <w:ind w:left="7" w:right="0" w:firstLine="0"/>
              <w:jc w:val="center"/>
            </w:pPr>
            <w:r>
              <w:rPr>
                <w:sz w:val="22"/>
              </w:rPr>
              <w:t xml:space="preserve">1.15 </w:t>
            </w:r>
          </w:p>
        </w:tc>
      </w:tr>
      <w:tr w:rsidR="00C825A2" w14:paraId="006B986E" w14:textId="77777777">
        <w:trPr>
          <w:trHeight w:val="398"/>
        </w:trPr>
        <w:tc>
          <w:tcPr>
            <w:tcW w:w="518" w:type="dxa"/>
            <w:tcBorders>
              <w:top w:val="single" w:sz="4" w:space="0" w:color="000000"/>
              <w:left w:val="single" w:sz="4" w:space="0" w:color="000000"/>
              <w:bottom w:val="single" w:sz="4" w:space="0" w:color="000000"/>
              <w:right w:val="single" w:sz="4" w:space="0" w:color="000000"/>
            </w:tcBorders>
          </w:tcPr>
          <w:p w14:paraId="59F67F80" w14:textId="77777777" w:rsidR="00C825A2" w:rsidRDefault="008904C8">
            <w:pPr>
              <w:spacing w:after="0" w:line="259" w:lineRule="auto"/>
              <w:ind w:left="19" w:right="0" w:firstLine="0"/>
              <w:jc w:val="center"/>
            </w:pPr>
            <w:r>
              <w:rPr>
                <w:sz w:val="22"/>
              </w:rPr>
              <w:t xml:space="preserve">5 </w:t>
            </w:r>
          </w:p>
        </w:tc>
        <w:tc>
          <w:tcPr>
            <w:tcW w:w="4712" w:type="dxa"/>
            <w:tcBorders>
              <w:top w:val="single" w:sz="4" w:space="0" w:color="000000"/>
              <w:left w:val="single" w:sz="4" w:space="0" w:color="000000"/>
              <w:bottom w:val="single" w:sz="4" w:space="0" w:color="000000"/>
              <w:right w:val="single" w:sz="4" w:space="0" w:color="000000"/>
            </w:tcBorders>
          </w:tcPr>
          <w:p w14:paraId="60863F0B" w14:textId="77777777" w:rsidR="00C825A2" w:rsidRDefault="008904C8">
            <w:pPr>
              <w:spacing w:after="0" w:line="259" w:lineRule="auto"/>
              <w:ind w:right="0" w:firstLine="0"/>
              <w:jc w:val="center"/>
            </w:pPr>
            <w:r>
              <w:rPr>
                <w:sz w:val="22"/>
              </w:rPr>
              <w:t xml:space="preserve">Carr’s Index </w:t>
            </w:r>
          </w:p>
        </w:tc>
        <w:tc>
          <w:tcPr>
            <w:tcW w:w="2569" w:type="dxa"/>
            <w:tcBorders>
              <w:top w:val="single" w:sz="4" w:space="0" w:color="000000"/>
              <w:left w:val="single" w:sz="4" w:space="0" w:color="000000"/>
              <w:bottom w:val="single" w:sz="4" w:space="0" w:color="000000"/>
              <w:right w:val="single" w:sz="4" w:space="0" w:color="000000"/>
            </w:tcBorders>
          </w:tcPr>
          <w:p w14:paraId="192D7844" w14:textId="77777777" w:rsidR="00C825A2" w:rsidRDefault="008904C8">
            <w:pPr>
              <w:spacing w:after="0" w:line="259" w:lineRule="auto"/>
              <w:ind w:left="7" w:right="0" w:firstLine="0"/>
              <w:jc w:val="center"/>
            </w:pPr>
            <w:r>
              <w:rPr>
                <w:sz w:val="22"/>
              </w:rPr>
              <w:t xml:space="preserve">13.33 </w:t>
            </w:r>
          </w:p>
        </w:tc>
      </w:tr>
    </w:tbl>
    <w:p w14:paraId="3AC371A1" w14:textId="77777777" w:rsidR="00C825A2" w:rsidRDefault="008904C8">
      <w:pPr>
        <w:pStyle w:val="Heading1"/>
        <w:spacing w:after="0"/>
        <w:ind w:left="-5" w:right="0"/>
      </w:pPr>
      <w:r>
        <w:t xml:space="preserve">Evaluation of tablets </w:t>
      </w:r>
    </w:p>
    <w:tbl>
      <w:tblPr>
        <w:tblStyle w:val="TableGrid"/>
        <w:tblW w:w="7802" w:type="dxa"/>
        <w:tblInd w:w="754" w:type="dxa"/>
        <w:tblCellMar>
          <w:top w:w="17" w:type="dxa"/>
          <w:left w:w="146" w:type="dxa"/>
          <w:bottom w:w="0" w:type="dxa"/>
          <w:right w:w="108" w:type="dxa"/>
        </w:tblCellMar>
        <w:tblLook w:val="04A0" w:firstRow="1" w:lastRow="0" w:firstColumn="1" w:lastColumn="0" w:noHBand="0" w:noVBand="1"/>
      </w:tblPr>
      <w:tblGrid>
        <w:gridCol w:w="1573"/>
        <w:gridCol w:w="1481"/>
        <w:gridCol w:w="1630"/>
        <w:gridCol w:w="1572"/>
        <w:gridCol w:w="1546"/>
      </w:tblGrid>
      <w:tr w:rsidR="00C825A2" w14:paraId="354016E0" w14:textId="77777777">
        <w:trPr>
          <w:trHeight w:val="1177"/>
        </w:trPr>
        <w:tc>
          <w:tcPr>
            <w:tcW w:w="1573" w:type="dxa"/>
            <w:tcBorders>
              <w:top w:val="single" w:sz="4" w:space="0" w:color="000000"/>
              <w:left w:val="single" w:sz="4" w:space="0" w:color="000000"/>
              <w:bottom w:val="single" w:sz="4" w:space="0" w:color="000000"/>
              <w:right w:val="single" w:sz="4" w:space="0" w:color="000000"/>
            </w:tcBorders>
          </w:tcPr>
          <w:p w14:paraId="76EAF3C5" w14:textId="77777777" w:rsidR="00C825A2" w:rsidRDefault="008904C8">
            <w:pPr>
              <w:spacing w:after="0" w:line="259" w:lineRule="auto"/>
              <w:ind w:left="0" w:right="27" w:firstLine="0"/>
              <w:jc w:val="center"/>
            </w:pPr>
            <w:r>
              <w:rPr>
                <w:sz w:val="22"/>
              </w:rPr>
              <w:t xml:space="preserve">Formulation </w:t>
            </w:r>
          </w:p>
        </w:tc>
        <w:tc>
          <w:tcPr>
            <w:tcW w:w="1481" w:type="dxa"/>
            <w:tcBorders>
              <w:top w:val="single" w:sz="4" w:space="0" w:color="000000"/>
              <w:left w:val="single" w:sz="4" w:space="0" w:color="000000"/>
              <w:bottom w:val="single" w:sz="4" w:space="0" w:color="000000"/>
              <w:right w:val="single" w:sz="4" w:space="0" w:color="000000"/>
            </w:tcBorders>
          </w:tcPr>
          <w:p w14:paraId="2E96C068" w14:textId="77777777" w:rsidR="00C825A2" w:rsidRDefault="008904C8">
            <w:pPr>
              <w:spacing w:after="110" w:line="259" w:lineRule="auto"/>
              <w:ind w:left="0" w:right="30" w:firstLine="0"/>
              <w:jc w:val="center"/>
            </w:pPr>
            <w:r>
              <w:rPr>
                <w:sz w:val="22"/>
              </w:rPr>
              <w:t xml:space="preserve">Weight </w:t>
            </w:r>
          </w:p>
          <w:p w14:paraId="68602893" w14:textId="77777777" w:rsidR="00C825A2" w:rsidRDefault="008904C8">
            <w:pPr>
              <w:spacing w:after="113" w:line="259" w:lineRule="auto"/>
              <w:ind w:left="0" w:right="28" w:firstLine="0"/>
              <w:jc w:val="center"/>
            </w:pPr>
            <w:r>
              <w:rPr>
                <w:sz w:val="22"/>
              </w:rPr>
              <w:t xml:space="preserve">Variation </w:t>
            </w:r>
          </w:p>
          <w:p w14:paraId="4C018497" w14:textId="77777777" w:rsidR="00C825A2" w:rsidRDefault="008904C8">
            <w:pPr>
              <w:spacing w:after="0" w:line="259" w:lineRule="auto"/>
              <w:ind w:left="0" w:right="25" w:firstLine="0"/>
              <w:jc w:val="center"/>
            </w:pPr>
            <w:r>
              <w:rPr>
                <w:sz w:val="22"/>
              </w:rPr>
              <w:t xml:space="preserve">(mg) ± S.D </w:t>
            </w:r>
          </w:p>
        </w:tc>
        <w:tc>
          <w:tcPr>
            <w:tcW w:w="1630" w:type="dxa"/>
            <w:tcBorders>
              <w:top w:val="single" w:sz="4" w:space="0" w:color="000000"/>
              <w:left w:val="single" w:sz="4" w:space="0" w:color="000000"/>
              <w:bottom w:val="single" w:sz="4" w:space="0" w:color="000000"/>
              <w:right w:val="single" w:sz="4" w:space="0" w:color="000000"/>
            </w:tcBorders>
          </w:tcPr>
          <w:p w14:paraId="714871FD" w14:textId="77777777" w:rsidR="00C825A2" w:rsidRDefault="008904C8">
            <w:pPr>
              <w:spacing w:after="110" w:line="259" w:lineRule="auto"/>
              <w:ind w:left="77" w:right="0" w:firstLine="0"/>
              <w:jc w:val="left"/>
            </w:pPr>
            <w:r>
              <w:rPr>
                <w:sz w:val="22"/>
              </w:rPr>
              <w:t xml:space="preserve">HARDNESS </w:t>
            </w:r>
          </w:p>
          <w:p w14:paraId="0349EEA6" w14:textId="77777777" w:rsidR="00C825A2" w:rsidRDefault="008904C8">
            <w:pPr>
              <w:spacing w:after="0" w:line="259" w:lineRule="auto"/>
              <w:ind w:left="24" w:right="0" w:firstLine="0"/>
              <w:jc w:val="left"/>
            </w:pPr>
            <w:r>
              <w:rPr>
                <w:sz w:val="22"/>
              </w:rPr>
              <w:t xml:space="preserve">(kg/cm2)±S.D </w:t>
            </w:r>
          </w:p>
        </w:tc>
        <w:tc>
          <w:tcPr>
            <w:tcW w:w="1572" w:type="dxa"/>
            <w:tcBorders>
              <w:top w:val="single" w:sz="4" w:space="0" w:color="000000"/>
              <w:left w:val="single" w:sz="4" w:space="0" w:color="000000"/>
              <w:bottom w:val="single" w:sz="4" w:space="0" w:color="000000"/>
              <w:right w:val="single" w:sz="4" w:space="0" w:color="000000"/>
            </w:tcBorders>
          </w:tcPr>
          <w:p w14:paraId="465513D2" w14:textId="77777777" w:rsidR="00C825A2" w:rsidRDefault="008904C8">
            <w:pPr>
              <w:spacing w:after="110" w:line="259" w:lineRule="auto"/>
              <w:ind w:left="0" w:right="73" w:firstLine="0"/>
              <w:jc w:val="center"/>
            </w:pPr>
            <w:r>
              <w:rPr>
                <w:sz w:val="22"/>
              </w:rPr>
              <w:t xml:space="preserve">FRIABILIY </w:t>
            </w:r>
          </w:p>
          <w:p w14:paraId="48E63E00" w14:textId="77777777" w:rsidR="00C825A2" w:rsidRDefault="008904C8">
            <w:pPr>
              <w:spacing w:after="0" w:line="259" w:lineRule="auto"/>
              <w:ind w:left="0" w:right="44" w:firstLine="0"/>
              <w:jc w:val="center"/>
            </w:pPr>
            <w:r>
              <w:rPr>
                <w:sz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43E56742" w14:textId="77777777" w:rsidR="00C825A2" w:rsidRDefault="008904C8">
            <w:pPr>
              <w:spacing w:after="110" w:line="259" w:lineRule="auto"/>
              <w:ind w:left="0" w:right="28" w:firstLine="0"/>
              <w:jc w:val="center"/>
            </w:pPr>
            <w:r>
              <w:rPr>
                <w:sz w:val="22"/>
              </w:rPr>
              <w:t xml:space="preserve">WETTING </w:t>
            </w:r>
          </w:p>
          <w:p w14:paraId="52B71FF9" w14:textId="77777777" w:rsidR="00C825A2" w:rsidRDefault="008904C8">
            <w:pPr>
              <w:spacing w:after="113" w:line="259" w:lineRule="auto"/>
              <w:ind w:left="0" w:right="30" w:firstLine="0"/>
              <w:jc w:val="center"/>
            </w:pPr>
            <w:r>
              <w:rPr>
                <w:sz w:val="22"/>
              </w:rPr>
              <w:t xml:space="preserve">TIME (sce)± </w:t>
            </w:r>
          </w:p>
          <w:p w14:paraId="56527ADB" w14:textId="77777777" w:rsidR="00C825A2" w:rsidRDefault="008904C8">
            <w:pPr>
              <w:spacing w:after="0" w:line="259" w:lineRule="auto"/>
              <w:ind w:left="0" w:right="22" w:firstLine="0"/>
              <w:jc w:val="center"/>
            </w:pPr>
            <w:r>
              <w:rPr>
                <w:sz w:val="22"/>
              </w:rPr>
              <w:t xml:space="preserve">S.D </w:t>
            </w:r>
          </w:p>
        </w:tc>
      </w:tr>
      <w:tr w:rsidR="00C825A2" w14:paraId="45CF2BED" w14:textId="77777777">
        <w:trPr>
          <w:trHeight w:val="398"/>
        </w:trPr>
        <w:tc>
          <w:tcPr>
            <w:tcW w:w="1573" w:type="dxa"/>
            <w:tcBorders>
              <w:top w:val="single" w:sz="4" w:space="0" w:color="000000"/>
              <w:left w:val="single" w:sz="4" w:space="0" w:color="000000"/>
              <w:bottom w:val="single" w:sz="4" w:space="0" w:color="000000"/>
              <w:right w:val="single" w:sz="4" w:space="0" w:color="000000"/>
            </w:tcBorders>
          </w:tcPr>
          <w:p w14:paraId="76BA57C1" w14:textId="77777777" w:rsidR="00C825A2" w:rsidRDefault="008904C8">
            <w:pPr>
              <w:spacing w:after="0" w:line="259" w:lineRule="auto"/>
              <w:ind w:left="0" w:right="29" w:firstLine="0"/>
              <w:jc w:val="center"/>
            </w:pPr>
            <w:r>
              <w:rPr>
                <w:sz w:val="22"/>
              </w:rPr>
              <w:t xml:space="preserve">F1 </w:t>
            </w:r>
          </w:p>
        </w:tc>
        <w:tc>
          <w:tcPr>
            <w:tcW w:w="1481" w:type="dxa"/>
            <w:tcBorders>
              <w:top w:val="single" w:sz="4" w:space="0" w:color="000000"/>
              <w:left w:val="single" w:sz="4" w:space="0" w:color="000000"/>
              <w:bottom w:val="single" w:sz="4" w:space="0" w:color="000000"/>
              <w:right w:val="single" w:sz="4" w:space="0" w:color="000000"/>
            </w:tcBorders>
          </w:tcPr>
          <w:p w14:paraId="65C572C9" w14:textId="77777777" w:rsidR="00C825A2" w:rsidRDefault="008904C8">
            <w:pPr>
              <w:spacing w:after="0" w:line="259" w:lineRule="auto"/>
              <w:ind w:left="0" w:right="0" w:firstLine="0"/>
              <w:jc w:val="left"/>
            </w:pPr>
            <w:r>
              <w:rPr>
                <w:sz w:val="22"/>
              </w:rPr>
              <w:t xml:space="preserve">101.10 ±6.14 </w:t>
            </w:r>
          </w:p>
        </w:tc>
        <w:tc>
          <w:tcPr>
            <w:tcW w:w="1630" w:type="dxa"/>
            <w:tcBorders>
              <w:top w:val="single" w:sz="4" w:space="0" w:color="000000"/>
              <w:left w:val="single" w:sz="4" w:space="0" w:color="000000"/>
              <w:bottom w:val="single" w:sz="4" w:space="0" w:color="000000"/>
              <w:right w:val="single" w:sz="4" w:space="0" w:color="000000"/>
            </w:tcBorders>
          </w:tcPr>
          <w:p w14:paraId="62D1639B" w14:textId="77777777" w:rsidR="00C825A2" w:rsidRDefault="008904C8">
            <w:pPr>
              <w:spacing w:after="0" w:line="259" w:lineRule="auto"/>
              <w:ind w:left="0" w:right="32" w:firstLine="0"/>
              <w:jc w:val="center"/>
            </w:pPr>
            <w:r>
              <w:rPr>
                <w:sz w:val="22"/>
              </w:rPr>
              <w:t xml:space="preserve">3.4±0.37 </w:t>
            </w:r>
          </w:p>
        </w:tc>
        <w:tc>
          <w:tcPr>
            <w:tcW w:w="1572" w:type="dxa"/>
            <w:tcBorders>
              <w:top w:val="single" w:sz="4" w:space="0" w:color="000000"/>
              <w:left w:val="single" w:sz="4" w:space="0" w:color="000000"/>
              <w:bottom w:val="single" w:sz="4" w:space="0" w:color="000000"/>
              <w:right w:val="single" w:sz="4" w:space="0" w:color="000000"/>
            </w:tcBorders>
          </w:tcPr>
          <w:p w14:paraId="15E7224E" w14:textId="77777777" w:rsidR="00C825A2" w:rsidRDefault="008904C8">
            <w:pPr>
              <w:spacing w:after="0" w:line="259" w:lineRule="auto"/>
              <w:ind w:left="0" w:right="38" w:firstLine="0"/>
              <w:jc w:val="center"/>
            </w:pPr>
            <w:r>
              <w:rPr>
                <w:sz w:val="22"/>
              </w:rPr>
              <w:t xml:space="preserve">0.722 </w:t>
            </w:r>
          </w:p>
        </w:tc>
        <w:tc>
          <w:tcPr>
            <w:tcW w:w="1546" w:type="dxa"/>
            <w:tcBorders>
              <w:top w:val="single" w:sz="4" w:space="0" w:color="000000"/>
              <w:left w:val="single" w:sz="4" w:space="0" w:color="000000"/>
              <w:bottom w:val="single" w:sz="4" w:space="0" w:color="000000"/>
              <w:right w:val="single" w:sz="4" w:space="0" w:color="000000"/>
            </w:tcBorders>
          </w:tcPr>
          <w:p w14:paraId="5F1BBA83" w14:textId="77777777" w:rsidR="00C825A2" w:rsidRDefault="008904C8">
            <w:pPr>
              <w:spacing w:after="0" w:line="259" w:lineRule="auto"/>
              <w:ind w:left="0" w:right="39" w:firstLine="0"/>
              <w:jc w:val="center"/>
            </w:pPr>
            <w:r>
              <w:rPr>
                <w:sz w:val="22"/>
              </w:rPr>
              <w:t xml:space="preserve">68.31±1.87 </w:t>
            </w:r>
          </w:p>
        </w:tc>
      </w:tr>
      <w:tr w:rsidR="00C825A2" w14:paraId="7661809C" w14:textId="77777777">
        <w:trPr>
          <w:trHeight w:val="398"/>
        </w:trPr>
        <w:tc>
          <w:tcPr>
            <w:tcW w:w="1573" w:type="dxa"/>
            <w:tcBorders>
              <w:top w:val="single" w:sz="4" w:space="0" w:color="000000"/>
              <w:left w:val="single" w:sz="4" w:space="0" w:color="000000"/>
              <w:bottom w:val="single" w:sz="4" w:space="0" w:color="000000"/>
              <w:right w:val="single" w:sz="4" w:space="0" w:color="000000"/>
            </w:tcBorders>
          </w:tcPr>
          <w:p w14:paraId="37D4F1FF" w14:textId="77777777" w:rsidR="00C825A2" w:rsidRDefault="008904C8">
            <w:pPr>
              <w:spacing w:after="0" w:line="259" w:lineRule="auto"/>
              <w:ind w:left="0" w:right="29" w:firstLine="0"/>
              <w:jc w:val="center"/>
            </w:pPr>
            <w:r>
              <w:rPr>
                <w:sz w:val="22"/>
              </w:rPr>
              <w:t xml:space="preserve">F2 </w:t>
            </w:r>
          </w:p>
        </w:tc>
        <w:tc>
          <w:tcPr>
            <w:tcW w:w="1481" w:type="dxa"/>
            <w:tcBorders>
              <w:top w:val="single" w:sz="4" w:space="0" w:color="000000"/>
              <w:left w:val="single" w:sz="4" w:space="0" w:color="000000"/>
              <w:bottom w:val="single" w:sz="4" w:space="0" w:color="000000"/>
              <w:right w:val="single" w:sz="4" w:space="0" w:color="000000"/>
            </w:tcBorders>
          </w:tcPr>
          <w:p w14:paraId="7F54A7BD" w14:textId="77777777" w:rsidR="00C825A2" w:rsidRDefault="008904C8">
            <w:pPr>
              <w:spacing w:after="0" w:line="259" w:lineRule="auto"/>
              <w:ind w:left="0" w:right="0" w:firstLine="0"/>
              <w:jc w:val="left"/>
            </w:pPr>
            <w:r>
              <w:rPr>
                <w:sz w:val="22"/>
              </w:rPr>
              <w:t xml:space="preserve">103.50 ±6.14 </w:t>
            </w:r>
          </w:p>
        </w:tc>
        <w:tc>
          <w:tcPr>
            <w:tcW w:w="1630" w:type="dxa"/>
            <w:tcBorders>
              <w:top w:val="single" w:sz="4" w:space="0" w:color="000000"/>
              <w:left w:val="single" w:sz="4" w:space="0" w:color="000000"/>
              <w:bottom w:val="single" w:sz="4" w:space="0" w:color="000000"/>
              <w:right w:val="single" w:sz="4" w:space="0" w:color="000000"/>
            </w:tcBorders>
          </w:tcPr>
          <w:p w14:paraId="6DB3F146" w14:textId="77777777" w:rsidR="00C825A2" w:rsidRDefault="008904C8">
            <w:pPr>
              <w:spacing w:after="0" w:line="259" w:lineRule="auto"/>
              <w:ind w:left="0" w:right="32" w:firstLine="0"/>
              <w:jc w:val="center"/>
            </w:pPr>
            <w:r>
              <w:rPr>
                <w:sz w:val="22"/>
              </w:rPr>
              <w:t xml:space="preserve">3.1±0.22 </w:t>
            </w:r>
          </w:p>
        </w:tc>
        <w:tc>
          <w:tcPr>
            <w:tcW w:w="1572" w:type="dxa"/>
            <w:tcBorders>
              <w:top w:val="single" w:sz="4" w:space="0" w:color="000000"/>
              <w:left w:val="single" w:sz="4" w:space="0" w:color="000000"/>
              <w:bottom w:val="single" w:sz="4" w:space="0" w:color="000000"/>
              <w:right w:val="single" w:sz="4" w:space="0" w:color="000000"/>
            </w:tcBorders>
          </w:tcPr>
          <w:p w14:paraId="2B3BEEC3" w14:textId="77777777" w:rsidR="00C825A2" w:rsidRDefault="008904C8">
            <w:pPr>
              <w:spacing w:after="0" w:line="259" w:lineRule="auto"/>
              <w:ind w:left="0" w:right="38" w:firstLine="0"/>
              <w:jc w:val="center"/>
            </w:pPr>
            <w:r>
              <w:rPr>
                <w:sz w:val="22"/>
              </w:rPr>
              <w:t xml:space="preserve">0.711 </w:t>
            </w:r>
          </w:p>
        </w:tc>
        <w:tc>
          <w:tcPr>
            <w:tcW w:w="1546" w:type="dxa"/>
            <w:tcBorders>
              <w:top w:val="single" w:sz="4" w:space="0" w:color="000000"/>
              <w:left w:val="single" w:sz="4" w:space="0" w:color="000000"/>
              <w:bottom w:val="single" w:sz="4" w:space="0" w:color="000000"/>
              <w:right w:val="single" w:sz="4" w:space="0" w:color="000000"/>
            </w:tcBorders>
          </w:tcPr>
          <w:p w14:paraId="35436AB5" w14:textId="77777777" w:rsidR="00C825A2" w:rsidRDefault="008904C8">
            <w:pPr>
              <w:spacing w:after="0" w:line="259" w:lineRule="auto"/>
              <w:ind w:left="0" w:right="39" w:firstLine="0"/>
              <w:jc w:val="center"/>
            </w:pPr>
            <w:r>
              <w:rPr>
                <w:sz w:val="22"/>
              </w:rPr>
              <w:t xml:space="preserve">60.54±1.41 </w:t>
            </w:r>
          </w:p>
        </w:tc>
      </w:tr>
      <w:tr w:rsidR="00C825A2" w14:paraId="02CABBD0" w14:textId="77777777">
        <w:trPr>
          <w:trHeight w:val="396"/>
        </w:trPr>
        <w:tc>
          <w:tcPr>
            <w:tcW w:w="1573" w:type="dxa"/>
            <w:tcBorders>
              <w:top w:val="single" w:sz="4" w:space="0" w:color="000000"/>
              <w:left w:val="single" w:sz="4" w:space="0" w:color="000000"/>
              <w:bottom w:val="single" w:sz="4" w:space="0" w:color="000000"/>
              <w:right w:val="single" w:sz="4" w:space="0" w:color="000000"/>
            </w:tcBorders>
          </w:tcPr>
          <w:p w14:paraId="158FDF3B" w14:textId="77777777" w:rsidR="00C825A2" w:rsidRDefault="008904C8">
            <w:pPr>
              <w:spacing w:after="0" w:line="259" w:lineRule="auto"/>
              <w:ind w:left="0" w:right="29" w:firstLine="0"/>
              <w:jc w:val="center"/>
            </w:pPr>
            <w:r>
              <w:rPr>
                <w:sz w:val="22"/>
              </w:rPr>
              <w:t xml:space="preserve">F3 </w:t>
            </w:r>
          </w:p>
        </w:tc>
        <w:tc>
          <w:tcPr>
            <w:tcW w:w="1481" w:type="dxa"/>
            <w:tcBorders>
              <w:top w:val="single" w:sz="4" w:space="0" w:color="000000"/>
              <w:left w:val="single" w:sz="4" w:space="0" w:color="000000"/>
              <w:bottom w:val="single" w:sz="4" w:space="0" w:color="000000"/>
              <w:right w:val="single" w:sz="4" w:space="0" w:color="000000"/>
            </w:tcBorders>
          </w:tcPr>
          <w:p w14:paraId="4B7385F7" w14:textId="77777777" w:rsidR="00C825A2" w:rsidRDefault="008904C8">
            <w:pPr>
              <w:spacing w:after="0" w:line="259" w:lineRule="auto"/>
              <w:ind w:left="0" w:right="60" w:firstLine="0"/>
              <w:jc w:val="center"/>
            </w:pPr>
            <w:r>
              <w:rPr>
                <w:sz w:val="22"/>
              </w:rPr>
              <w:t xml:space="preserve">99.30 ±3.39 </w:t>
            </w:r>
          </w:p>
        </w:tc>
        <w:tc>
          <w:tcPr>
            <w:tcW w:w="1630" w:type="dxa"/>
            <w:tcBorders>
              <w:top w:val="single" w:sz="4" w:space="0" w:color="000000"/>
              <w:left w:val="single" w:sz="4" w:space="0" w:color="000000"/>
              <w:bottom w:val="single" w:sz="4" w:space="0" w:color="000000"/>
              <w:right w:val="single" w:sz="4" w:space="0" w:color="000000"/>
            </w:tcBorders>
          </w:tcPr>
          <w:p w14:paraId="29E74307" w14:textId="77777777" w:rsidR="00C825A2" w:rsidRDefault="008904C8">
            <w:pPr>
              <w:spacing w:after="0" w:line="259" w:lineRule="auto"/>
              <w:ind w:left="0" w:right="32" w:firstLine="0"/>
              <w:jc w:val="center"/>
            </w:pPr>
            <w:r>
              <w:rPr>
                <w:sz w:val="22"/>
              </w:rPr>
              <w:t xml:space="preserve">3.3±0.40 </w:t>
            </w:r>
          </w:p>
        </w:tc>
        <w:tc>
          <w:tcPr>
            <w:tcW w:w="1572" w:type="dxa"/>
            <w:tcBorders>
              <w:top w:val="single" w:sz="4" w:space="0" w:color="000000"/>
              <w:left w:val="single" w:sz="4" w:space="0" w:color="000000"/>
              <w:bottom w:val="single" w:sz="4" w:space="0" w:color="000000"/>
              <w:right w:val="single" w:sz="4" w:space="0" w:color="000000"/>
            </w:tcBorders>
          </w:tcPr>
          <w:p w14:paraId="28032568" w14:textId="77777777" w:rsidR="00C825A2" w:rsidRDefault="008904C8">
            <w:pPr>
              <w:spacing w:after="0" w:line="259" w:lineRule="auto"/>
              <w:ind w:left="0" w:right="38" w:firstLine="0"/>
              <w:jc w:val="center"/>
            </w:pPr>
            <w:r>
              <w:rPr>
                <w:sz w:val="22"/>
              </w:rPr>
              <w:t xml:space="preserve">0.689 </w:t>
            </w:r>
          </w:p>
        </w:tc>
        <w:tc>
          <w:tcPr>
            <w:tcW w:w="1546" w:type="dxa"/>
            <w:tcBorders>
              <w:top w:val="single" w:sz="4" w:space="0" w:color="000000"/>
              <w:left w:val="single" w:sz="4" w:space="0" w:color="000000"/>
              <w:bottom w:val="single" w:sz="4" w:space="0" w:color="000000"/>
              <w:right w:val="single" w:sz="4" w:space="0" w:color="000000"/>
            </w:tcBorders>
          </w:tcPr>
          <w:p w14:paraId="1BBED3A9" w14:textId="77777777" w:rsidR="00C825A2" w:rsidRDefault="008904C8">
            <w:pPr>
              <w:spacing w:after="0" w:line="259" w:lineRule="auto"/>
              <w:ind w:left="0" w:right="39" w:firstLine="0"/>
              <w:jc w:val="center"/>
            </w:pPr>
            <w:r>
              <w:rPr>
                <w:sz w:val="22"/>
              </w:rPr>
              <w:t xml:space="preserve">54.68±1.48 </w:t>
            </w:r>
          </w:p>
        </w:tc>
      </w:tr>
      <w:tr w:rsidR="00C825A2" w14:paraId="0955FE01" w14:textId="77777777">
        <w:trPr>
          <w:trHeight w:val="398"/>
        </w:trPr>
        <w:tc>
          <w:tcPr>
            <w:tcW w:w="1573" w:type="dxa"/>
            <w:tcBorders>
              <w:top w:val="single" w:sz="4" w:space="0" w:color="000000"/>
              <w:left w:val="single" w:sz="4" w:space="0" w:color="000000"/>
              <w:bottom w:val="single" w:sz="4" w:space="0" w:color="000000"/>
              <w:right w:val="single" w:sz="4" w:space="0" w:color="000000"/>
            </w:tcBorders>
          </w:tcPr>
          <w:p w14:paraId="3693BDA1" w14:textId="77777777" w:rsidR="00C825A2" w:rsidRDefault="008904C8">
            <w:pPr>
              <w:spacing w:after="0" w:line="259" w:lineRule="auto"/>
              <w:ind w:left="0" w:right="29" w:firstLine="0"/>
              <w:jc w:val="center"/>
            </w:pPr>
            <w:r>
              <w:rPr>
                <w:sz w:val="22"/>
              </w:rPr>
              <w:lastRenderedPageBreak/>
              <w:t xml:space="preserve">F4 </w:t>
            </w:r>
          </w:p>
        </w:tc>
        <w:tc>
          <w:tcPr>
            <w:tcW w:w="1481" w:type="dxa"/>
            <w:tcBorders>
              <w:top w:val="single" w:sz="4" w:space="0" w:color="000000"/>
              <w:left w:val="single" w:sz="4" w:space="0" w:color="000000"/>
              <w:bottom w:val="single" w:sz="4" w:space="0" w:color="000000"/>
              <w:right w:val="single" w:sz="4" w:space="0" w:color="000000"/>
            </w:tcBorders>
          </w:tcPr>
          <w:p w14:paraId="5CDEA3A1" w14:textId="77777777" w:rsidR="00C825A2" w:rsidRDefault="008904C8">
            <w:pPr>
              <w:spacing w:after="0" w:line="259" w:lineRule="auto"/>
              <w:ind w:left="0" w:right="0" w:firstLine="0"/>
              <w:jc w:val="left"/>
            </w:pPr>
            <w:r>
              <w:rPr>
                <w:sz w:val="22"/>
              </w:rPr>
              <w:t xml:space="preserve">100.01 ±4.10 </w:t>
            </w:r>
          </w:p>
        </w:tc>
        <w:tc>
          <w:tcPr>
            <w:tcW w:w="1630" w:type="dxa"/>
            <w:tcBorders>
              <w:top w:val="single" w:sz="4" w:space="0" w:color="000000"/>
              <w:left w:val="single" w:sz="4" w:space="0" w:color="000000"/>
              <w:bottom w:val="single" w:sz="4" w:space="0" w:color="000000"/>
              <w:right w:val="single" w:sz="4" w:space="0" w:color="000000"/>
            </w:tcBorders>
          </w:tcPr>
          <w:p w14:paraId="643835AC" w14:textId="77777777" w:rsidR="00C825A2" w:rsidRDefault="008904C8">
            <w:pPr>
              <w:spacing w:after="0" w:line="259" w:lineRule="auto"/>
              <w:ind w:left="0" w:right="32" w:firstLine="0"/>
              <w:jc w:val="center"/>
            </w:pPr>
            <w:r>
              <w:rPr>
                <w:sz w:val="22"/>
              </w:rPr>
              <w:t xml:space="preserve">3.2±0.43 </w:t>
            </w:r>
          </w:p>
        </w:tc>
        <w:tc>
          <w:tcPr>
            <w:tcW w:w="1572" w:type="dxa"/>
            <w:tcBorders>
              <w:top w:val="single" w:sz="4" w:space="0" w:color="000000"/>
              <w:left w:val="single" w:sz="4" w:space="0" w:color="000000"/>
              <w:bottom w:val="single" w:sz="4" w:space="0" w:color="000000"/>
              <w:right w:val="single" w:sz="4" w:space="0" w:color="000000"/>
            </w:tcBorders>
          </w:tcPr>
          <w:p w14:paraId="5B6FEDAF" w14:textId="77777777" w:rsidR="00C825A2" w:rsidRDefault="008904C8">
            <w:pPr>
              <w:spacing w:after="0" w:line="259" w:lineRule="auto"/>
              <w:ind w:left="0" w:right="38" w:firstLine="0"/>
              <w:jc w:val="center"/>
            </w:pPr>
            <w:r>
              <w:rPr>
                <w:sz w:val="22"/>
              </w:rPr>
              <w:t xml:space="preserve">0.746 </w:t>
            </w:r>
          </w:p>
        </w:tc>
        <w:tc>
          <w:tcPr>
            <w:tcW w:w="1546" w:type="dxa"/>
            <w:tcBorders>
              <w:top w:val="single" w:sz="4" w:space="0" w:color="000000"/>
              <w:left w:val="single" w:sz="4" w:space="0" w:color="000000"/>
              <w:bottom w:val="single" w:sz="4" w:space="0" w:color="000000"/>
              <w:right w:val="single" w:sz="4" w:space="0" w:color="000000"/>
            </w:tcBorders>
          </w:tcPr>
          <w:p w14:paraId="6FFE497C" w14:textId="77777777" w:rsidR="00C825A2" w:rsidRDefault="008904C8">
            <w:pPr>
              <w:spacing w:after="0" w:line="259" w:lineRule="auto"/>
              <w:ind w:left="0" w:right="39" w:firstLine="0"/>
              <w:jc w:val="center"/>
            </w:pPr>
            <w:r>
              <w:rPr>
                <w:sz w:val="22"/>
              </w:rPr>
              <w:t xml:space="preserve">57.46±1.67 </w:t>
            </w:r>
          </w:p>
        </w:tc>
      </w:tr>
      <w:tr w:rsidR="00C825A2" w14:paraId="6C409E43" w14:textId="77777777">
        <w:trPr>
          <w:trHeight w:val="398"/>
        </w:trPr>
        <w:tc>
          <w:tcPr>
            <w:tcW w:w="1573" w:type="dxa"/>
            <w:tcBorders>
              <w:top w:val="single" w:sz="4" w:space="0" w:color="000000"/>
              <w:left w:val="single" w:sz="4" w:space="0" w:color="000000"/>
              <w:bottom w:val="single" w:sz="4" w:space="0" w:color="000000"/>
              <w:right w:val="single" w:sz="4" w:space="0" w:color="000000"/>
            </w:tcBorders>
          </w:tcPr>
          <w:p w14:paraId="42FE2BAE" w14:textId="77777777" w:rsidR="00C825A2" w:rsidRDefault="008904C8">
            <w:pPr>
              <w:spacing w:after="0" w:line="259" w:lineRule="auto"/>
              <w:ind w:left="0" w:right="29" w:firstLine="0"/>
              <w:jc w:val="center"/>
            </w:pPr>
            <w:r>
              <w:rPr>
                <w:sz w:val="22"/>
              </w:rPr>
              <w:t xml:space="preserve">F5 </w:t>
            </w:r>
          </w:p>
        </w:tc>
        <w:tc>
          <w:tcPr>
            <w:tcW w:w="1481" w:type="dxa"/>
            <w:tcBorders>
              <w:top w:val="single" w:sz="4" w:space="0" w:color="000000"/>
              <w:left w:val="single" w:sz="4" w:space="0" w:color="000000"/>
              <w:bottom w:val="single" w:sz="4" w:space="0" w:color="000000"/>
              <w:right w:val="single" w:sz="4" w:space="0" w:color="000000"/>
            </w:tcBorders>
          </w:tcPr>
          <w:p w14:paraId="2BDE7858" w14:textId="77777777" w:rsidR="00C825A2" w:rsidRDefault="008904C8">
            <w:pPr>
              <w:spacing w:after="0" w:line="259" w:lineRule="auto"/>
              <w:ind w:left="2" w:right="0" w:firstLine="0"/>
              <w:jc w:val="left"/>
            </w:pPr>
            <w:r>
              <w:rPr>
                <w:sz w:val="22"/>
              </w:rPr>
              <w:t xml:space="preserve">102.33 ±2.11 </w:t>
            </w:r>
          </w:p>
        </w:tc>
        <w:tc>
          <w:tcPr>
            <w:tcW w:w="1630" w:type="dxa"/>
            <w:tcBorders>
              <w:top w:val="single" w:sz="4" w:space="0" w:color="000000"/>
              <w:left w:val="single" w:sz="4" w:space="0" w:color="000000"/>
              <w:bottom w:val="single" w:sz="4" w:space="0" w:color="000000"/>
              <w:right w:val="single" w:sz="4" w:space="0" w:color="000000"/>
            </w:tcBorders>
          </w:tcPr>
          <w:p w14:paraId="10BBA269" w14:textId="77777777" w:rsidR="00C825A2" w:rsidRDefault="008904C8">
            <w:pPr>
              <w:spacing w:after="0" w:line="259" w:lineRule="auto"/>
              <w:ind w:left="0" w:right="32" w:firstLine="0"/>
              <w:jc w:val="center"/>
            </w:pPr>
            <w:r>
              <w:rPr>
                <w:sz w:val="22"/>
              </w:rPr>
              <w:t xml:space="preserve">3.6±0.19 </w:t>
            </w:r>
          </w:p>
        </w:tc>
        <w:tc>
          <w:tcPr>
            <w:tcW w:w="1572" w:type="dxa"/>
            <w:tcBorders>
              <w:top w:val="single" w:sz="4" w:space="0" w:color="000000"/>
              <w:left w:val="single" w:sz="4" w:space="0" w:color="000000"/>
              <w:bottom w:val="single" w:sz="4" w:space="0" w:color="000000"/>
              <w:right w:val="single" w:sz="4" w:space="0" w:color="000000"/>
            </w:tcBorders>
          </w:tcPr>
          <w:p w14:paraId="095252D7" w14:textId="77777777" w:rsidR="00C825A2" w:rsidRDefault="008904C8">
            <w:pPr>
              <w:spacing w:after="0" w:line="259" w:lineRule="auto"/>
              <w:ind w:left="0" w:right="38" w:firstLine="0"/>
              <w:jc w:val="center"/>
            </w:pPr>
            <w:r>
              <w:rPr>
                <w:sz w:val="22"/>
              </w:rPr>
              <w:t xml:space="preserve">0.641 </w:t>
            </w:r>
          </w:p>
        </w:tc>
        <w:tc>
          <w:tcPr>
            <w:tcW w:w="1546" w:type="dxa"/>
            <w:tcBorders>
              <w:top w:val="single" w:sz="4" w:space="0" w:color="000000"/>
              <w:left w:val="single" w:sz="4" w:space="0" w:color="000000"/>
              <w:bottom w:val="single" w:sz="4" w:space="0" w:color="000000"/>
              <w:right w:val="single" w:sz="4" w:space="0" w:color="000000"/>
            </w:tcBorders>
          </w:tcPr>
          <w:p w14:paraId="3640BA87" w14:textId="77777777" w:rsidR="00C825A2" w:rsidRDefault="008904C8">
            <w:pPr>
              <w:spacing w:after="0" w:line="259" w:lineRule="auto"/>
              <w:ind w:left="0" w:right="39" w:firstLine="0"/>
              <w:jc w:val="center"/>
            </w:pPr>
            <w:r>
              <w:rPr>
                <w:sz w:val="22"/>
              </w:rPr>
              <w:t xml:space="preserve">50.69±1.49 </w:t>
            </w:r>
          </w:p>
        </w:tc>
      </w:tr>
    </w:tbl>
    <w:p w14:paraId="06046CA6" w14:textId="77777777" w:rsidR="00C825A2" w:rsidRDefault="008904C8">
      <w:pPr>
        <w:spacing w:after="0" w:line="259" w:lineRule="auto"/>
        <w:ind w:left="0" w:right="0" w:firstLine="0"/>
        <w:jc w:val="left"/>
      </w:pPr>
      <w:r>
        <w:rPr>
          <w:b/>
          <w:sz w:val="28"/>
        </w:rPr>
        <w:t xml:space="preserve"> </w:t>
      </w:r>
    </w:p>
    <w:p w14:paraId="72C8DCF7" w14:textId="77777777" w:rsidR="00C825A2" w:rsidRDefault="008904C8">
      <w:pPr>
        <w:spacing w:after="195" w:line="259" w:lineRule="auto"/>
        <w:ind w:left="0" w:right="0" w:firstLine="0"/>
        <w:jc w:val="left"/>
      </w:pPr>
      <w:r>
        <w:rPr>
          <w:b/>
          <w:sz w:val="28"/>
        </w:rPr>
        <w:t xml:space="preserve"> </w:t>
      </w:r>
    </w:p>
    <w:p w14:paraId="1ED1E692" w14:textId="77777777" w:rsidR="00C825A2" w:rsidRDefault="008904C8">
      <w:pPr>
        <w:spacing w:after="0" w:line="259" w:lineRule="auto"/>
        <w:ind w:left="0" w:right="659" w:firstLine="0"/>
        <w:jc w:val="right"/>
      </w:pPr>
      <w:r>
        <w:rPr>
          <w:rFonts w:ascii="Calibri" w:eastAsia="Calibri" w:hAnsi="Calibri" w:cs="Calibri"/>
          <w:noProof/>
          <w:sz w:val="22"/>
        </w:rPr>
        <mc:AlternateContent>
          <mc:Choice Requires="wpg">
            <w:drawing>
              <wp:inline distT="0" distB="0" distL="0" distR="0" wp14:anchorId="6805774C" wp14:editId="34BE94C6">
                <wp:extent cx="5290757" cy="6466206"/>
                <wp:effectExtent l="0" t="0" r="0" b="0"/>
                <wp:docPr id="14476" name="Group 14476"/>
                <wp:cNvGraphicFramePr/>
                <a:graphic xmlns:a="http://schemas.openxmlformats.org/drawingml/2006/main">
                  <a:graphicData uri="http://schemas.microsoft.com/office/word/2010/wordprocessingGroup">
                    <wpg:wgp>
                      <wpg:cNvGrpSpPr/>
                      <wpg:grpSpPr>
                        <a:xfrm>
                          <a:off x="0" y="0"/>
                          <a:ext cx="5290757" cy="6466206"/>
                          <a:chOff x="0" y="0"/>
                          <a:chExt cx="5290757" cy="6466206"/>
                        </a:xfrm>
                      </wpg:grpSpPr>
                      <wps:wsp>
                        <wps:cNvPr id="2118" name="Rectangle 2118"/>
                        <wps:cNvSpPr/>
                        <wps:spPr>
                          <a:xfrm>
                            <a:off x="5216398" y="3000376"/>
                            <a:ext cx="57261" cy="258066"/>
                          </a:xfrm>
                          <a:prstGeom prst="rect">
                            <a:avLst/>
                          </a:prstGeom>
                          <a:ln>
                            <a:noFill/>
                          </a:ln>
                        </wps:spPr>
                        <wps:txbx>
                          <w:txbxContent>
                            <w:p w14:paraId="0B96EDC3" w14:textId="77777777" w:rsidR="00C825A2" w:rsidRDefault="008904C8">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119" name="Rectangle 2119"/>
                        <wps:cNvSpPr/>
                        <wps:spPr>
                          <a:xfrm>
                            <a:off x="5259070" y="3038095"/>
                            <a:ext cx="42143" cy="189937"/>
                          </a:xfrm>
                          <a:prstGeom prst="rect">
                            <a:avLst/>
                          </a:prstGeom>
                          <a:ln>
                            <a:noFill/>
                          </a:ln>
                        </wps:spPr>
                        <wps:txbx>
                          <w:txbxContent>
                            <w:p w14:paraId="0D6CF3BD" w14:textId="77777777" w:rsidR="00C825A2" w:rsidRDefault="008904C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21" name="Picture 2121"/>
                          <pic:cNvPicPr/>
                        </pic:nvPicPr>
                        <pic:blipFill>
                          <a:blip r:embed="rId10"/>
                          <a:stretch>
                            <a:fillRect/>
                          </a:stretch>
                        </pic:blipFill>
                        <pic:spPr>
                          <a:xfrm>
                            <a:off x="71755" y="0"/>
                            <a:ext cx="5140325" cy="3134995"/>
                          </a:xfrm>
                          <a:prstGeom prst="rect">
                            <a:avLst/>
                          </a:prstGeom>
                        </pic:spPr>
                      </pic:pic>
                      <pic:pic xmlns:pic="http://schemas.openxmlformats.org/drawingml/2006/picture">
                        <pic:nvPicPr>
                          <pic:cNvPr id="2123" name="Picture 2123"/>
                          <pic:cNvPicPr/>
                        </pic:nvPicPr>
                        <pic:blipFill>
                          <a:blip r:embed="rId11"/>
                          <a:stretch>
                            <a:fillRect/>
                          </a:stretch>
                        </pic:blipFill>
                        <pic:spPr>
                          <a:xfrm>
                            <a:off x="0" y="3242946"/>
                            <a:ext cx="5281930" cy="3223260"/>
                          </a:xfrm>
                          <a:prstGeom prst="rect">
                            <a:avLst/>
                          </a:prstGeom>
                        </pic:spPr>
                      </pic:pic>
                    </wpg:wgp>
                  </a:graphicData>
                </a:graphic>
              </wp:inline>
            </w:drawing>
          </mc:Choice>
          <mc:Fallback xmlns:a="http://schemas.openxmlformats.org/drawingml/2006/main">
            <w:pict>
              <v:group id="Group 14476" style="width:416.595pt;height:509.15pt;mso-position-horizontal-relative:char;mso-position-vertical-relative:line" coordsize="52907,64662">
                <v:rect id="Rectangle 2118" style="position:absolute;width:572;height:2580;left:52163;top:30003;" filled="f" stroked="f">
                  <v:textbox inset="0,0,0,0">
                    <w:txbxContent>
                      <w:p>
                        <w:pPr>
                          <w:spacing w:before="0" w:after="160" w:line="259" w:lineRule="auto"/>
                          <w:ind w:left="0" w:right="0" w:firstLine="0"/>
                          <w:jc w:val="left"/>
                        </w:pPr>
                        <w:r>
                          <w:rPr>
                            <w:rFonts w:cs="Calibri" w:hAnsi="Calibri" w:eastAsia="Calibri" w:ascii="Calibri"/>
                            <w:sz w:val="30"/>
                          </w:rPr>
                          <w:t xml:space="preserve"> </w:t>
                        </w:r>
                      </w:p>
                    </w:txbxContent>
                  </v:textbox>
                </v:rect>
                <v:rect id="Rectangle 2119" style="position:absolute;width:421;height:1899;left:52590;top:3038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2121" style="position:absolute;width:51403;height:31349;left:717;top:0;" filled="f">
                  <v:imagedata r:id="rId12"/>
                </v:shape>
                <v:shape id="Picture 2123" style="position:absolute;width:52819;height:32232;left:0;top:32429;" filled="f">
                  <v:imagedata r:id="rId13"/>
                </v:shape>
              </v:group>
            </w:pict>
          </mc:Fallback>
        </mc:AlternateContent>
      </w:r>
      <w:r>
        <w:rPr>
          <w:rFonts w:ascii="Calibri" w:eastAsia="Calibri" w:hAnsi="Calibri" w:cs="Calibri"/>
          <w:sz w:val="22"/>
        </w:rPr>
        <w:t xml:space="preserve"> </w:t>
      </w:r>
    </w:p>
    <w:p w14:paraId="758725A9" w14:textId="77777777" w:rsidR="00C825A2" w:rsidRDefault="008904C8">
      <w:pPr>
        <w:spacing w:after="0" w:line="259" w:lineRule="auto"/>
        <w:ind w:left="0" w:right="0" w:firstLine="0"/>
      </w:pPr>
      <w:r>
        <w:rPr>
          <w:rFonts w:ascii="Calibri" w:eastAsia="Calibri" w:hAnsi="Calibri" w:cs="Calibri"/>
          <w:noProof/>
          <w:sz w:val="22"/>
        </w:rPr>
        <w:lastRenderedPageBreak/>
        <mc:AlternateContent>
          <mc:Choice Requires="wpg">
            <w:drawing>
              <wp:inline distT="0" distB="0" distL="0" distR="0" wp14:anchorId="0E5E4008" wp14:editId="50CB2D0D">
                <wp:extent cx="5567045" cy="6312535"/>
                <wp:effectExtent l="0" t="0" r="0" b="0"/>
                <wp:docPr id="14503" name="Group 14503"/>
                <wp:cNvGraphicFramePr/>
                <a:graphic xmlns:a="http://schemas.openxmlformats.org/drawingml/2006/main">
                  <a:graphicData uri="http://schemas.microsoft.com/office/word/2010/wordprocessingGroup">
                    <wpg:wgp>
                      <wpg:cNvGrpSpPr/>
                      <wpg:grpSpPr>
                        <a:xfrm>
                          <a:off x="0" y="0"/>
                          <a:ext cx="5567045" cy="6312535"/>
                          <a:chOff x="0" y="0"/>
                          <a:chExt cx="5567045" cy="6312535"/>
                        </a:xfrm>
                      </wpg:grpSpPr>
                      <wps:wsp>
                        <wps:cNvPr id="2127" name="Rectangle 2127"/>
                        <wps:cNvSpPr/>
                        <wps:spPr>
                          <a:xfrm>
                            <a:off x="5374894" y="2980436"/>
                            <a:ext cx="57261" cy="258066"/>
                          </a:xfrm>
                          <a:prstGeom prst="rect">
                            <a:avLst/>
                          </a:prstGeom>
                          <a:ln>
                            <a:noFill/>
                          </a:ln>
                        </wps:spPr>
                        <wps:txbx>
                          <w:txbxContent>
                            <w:p w14:paraId="55481AF9" w14:textId="77777777" w:rsidR="00C825A2" w:rsidRDefault="008904C8">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128" name="Rectangle 2128"/>
                        <wps:cNvSpPr/>
                        <wps:spPr>
                          <a:xfrm>
                            <a:off x="5417566" y="3018155"/>
                            <a:ext cx="42143" cy="189937"/>
                          </a:xfrm>
                          <a:prstGeom prst="rect">
                            <a:avLst/>
                          </a:prstGeom>
                          <a:ln>
                            <a:noFill/>
                          </a:ln>
                        </wps:spPr>
                        <wps:txbx>
                          <w:txbxContent>
                            <w:p w14:paraId="08CB79B6" w14:textId="77777777" w:rsidR="00C825A2" w:rsidRDefault="008904C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30" name="Picture 2130"/>
                          <pic:cNvPicPr/>
                        </pic:nvPicPr>
                        <pic:blipFill>
                          <a:blip r:embed="rId14"/>
                          <a:stretch>
                            <a:fillRect/>
                          </a:stretch>
                        </pic:blipFill>
                        <pic:spPr>
                          <a:xfrm>
                            <a:off x="0" y="0"/>
                            <a:ext cx="5377815" cy="3116580"/>
                          </a:xfrm>
                          <a:prstGeom prst="rect">
                            <a:avLst/>
                          </a:prstGeom>
                        </pic:spPr>
                      </pic:pic>
                      <pic:pic xmlns:pic="http://schemas.openxmlformats.org/drawingml/2006/picture">
                        <pic:nvPicPr>
                          <pic:cNvPr id="2132" name="Picture 2132"/>
                          <pic:cNvPicPr/>
                        </pic:nvPicPr>
                        <pic:blipFill>
                          <a:blip r:embed="rId15"/>
                          <a:stretch>
                            <a:fillRect/>
                          </a:stretch>
                        </pic:blipFill>
                        <pic:spPr>
                          <a:xfrm>
                            <a:off x="0" y="3226435"/>
                            <a:ext cx="5567045" cy="3086100"/>
                          </a:xfrm>
                          <a:prstGeom prst="rect">
                            <a:avLst/>
                          </a:prstGeom>
                        </pic:spPr>
                      </pic:pic>
                    </wpg:wgp>
                  </a:graphicData>
                </a:graphic>
              </wp:inline>
            </w:drawing>
          </mc:Choice>
          <mc:Fallback xmlns:a="http://schemas.openxmlformats.org/drawingml/2006/main">
            <w:pict>
              <v:group id="Group 14503" style="width:438.35pt;height:497.05pt;mso-position-horizontal-relative:char;mso-position-vertical-relative:line" coordsize="55670,63125">
                <v:rect id="Rectangle 2127" style="position:absolute;width:572;height:2580;left:53748;top:29804;" filled="f" stroked="f">
                  <v:textbox inset="0,0,0,0">
                    <w:txbxContent>
                      <w:p>
                        <w:pPr>
                          <w:spacing w:before="0" w:after="160" w:line="259" w:lineRule="auto"/>
                          <w:ind w:left="0" w:right="0" w:firstLine="0"/>
                          <w:jc w:val="left"/>
                        </w:pPr>
                        <w:r>
                          <w:rPr>
                            <w:rFonts w:cs="Calibri" w:hAnsi="Calibri" w:eastAsia="Calibri" w:ascii="Calibri"/>
                            <w:sz w:val="30"/>
                          </w:rPr>
                          <w:t xml:space="preserve"> </w:t>
                        </w:r>
                      </w:p>
                    </w:txbxContent>
                  </v:textbox>
                </v:rect>
                <v:rect id="Rectangle 2128" style="position:absolute;width:421;height:1899;left:54175;top:30181;"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2130" style="position:absolute;width:53778;height:31165;left:0;top:0;" filled="f">
                  <v:imagedata r:id="rId16"/>
                </v:shape>
                <v:shape id="Picture 2132" style="position:absolute;width:55670;height:30861;left:0;top:32264;" filled="f">
                  <v:imagedata r:id="rId17"/>
                </v:shape>
              </v:group>
            </w:pict>
          </mc:Fallback>
        </mc:AlternateContent>
      </w:r>
      <w:r>
        <w:rPr>
          <w:rFonts w:ascii="Calibri" w:eastAsia="Calibri" w:hAnsi="Calibri" w:cs="Calibri"/>
          <w:sz w:val="22"/>
        </w:rPr>
        <w:t xml:space="preserve"> </w:t>
      </w:r>
    </w:p>
    <w:p w14:paraId="5CBCAE31" w14:textId="77777777" w:rsidR="00C825A2" w:rsidRDefault="008904C8">
      <w:pPr>
        <w:spacing w:after="232" w:line="259" w:lineRule="auto"/>
        <w:ind w:left="0" w:right="276" w:firstLine="0"/>
        <w:jc w:val="right"/>
      </w:pPr>
      <w:r>
        <w:rPr>
          <w:noProof/>
        </w:rPr>
        <w:drawing>
          <wp:inline distT="0" distB="0" distL="0" distR="0" wp14:anchorId="1D8C23C4" wp14:editId="2444DA17">
            <wp:extent cx="5492115" cy="2575560"/>
            <wp:effectExtent l="0" t="0" r="0" b="0"/>
            <wp:docPr id="2169" name="Picture 2169"/>
            <wp:cNvGraphicFramePr/>
            <a:graphic xmlns:a="http://schemas.openxmlformats.org/drawingml/2006/main">
              <a:graphicData uri="http://schemas.openxmlformats.org/drawingml/2006/picture">
                <pic:pic xmlns:pic="http://schemas.openxmlformats.org/drawingml/2006/picture">
                  <pic:nvPicPr>
                    <pic:cNvPr id="2169" name="Picture 2169"/>
                    <pic:cNvPicPr/>
                  </pic:nvPicPr>
                  <pic:blipFill>
                    <a:blip r:embed="rId18"/>
                    <a:stretch>
                      <a:fillRect/>
                    </a:stretch>
                  </pic:blipFill>
                  <pic:spPr>
                    <a:xfrm>
                      <a:off x="0" y="0"/>
                      <a:ext cx="5492115" cy="2575560"/>
                    </a:xfrm>
                    <a:prstGeom prst="rect">
                      <a:avLst/>
                    </a:prstGeom>
                  </pic:spPr>
                </pic:pic>
              </a:graphicData>
            </a:graphic>
          </wp:inline>
        </w:drawing>
      </w:r>
      <w:r>
        <w:rPr>
          <w:b/>
          <w:sz w:val="28"/>
        </w:rPr>
        <w:t xml:space="preserve"> </w:t>
      </w:r>
    </w:p>
    <w:p w14:paraId="4D7379EC" w14:textId="77777777" w:rsidR="00C825A2" w:rsidRDefault="008904C8">
      <w:pPr>
        <w:spacing w:after="319" w:line="259" w:lineRule="auto"/>
        <w:ind w:left="0" w:right="0" w:firstLine="0"/>
        <w:jc w:val="left"/>
      </w:pPr>
      <w:r>
        <w:rPr>
          <w:b/>
          <w:sz w:val="28"/>
        </w:rPr>
        <w:t xml:space="preserve"> </w:t>
      </w:r>
    </w:p>
    <w:p w14:paraId="621930B1" w14:textId="77777777" w:rsidR="00C825A2" w:rsidRDefault="008904C8">
      <w:pPr>
        <w:spacing w:after="195"/>
        <w:ind w:left="-5" w:right="0"/>
      </w:pPr>
      <w:r>
        <w:rPr>
          <w:b/>
          <w:sz w:val="28"/>
        </w:rPr>
        <w:lastRenderedPageBreak/>
        <w:t xml:space="preserve">CONCLUSION : </w:t>
      </w:r>
      <w:r>
        <w:t xml:space="preserve">The present study successfully formulated and evaluated buccal dispersible tablets of Repaglinide using the direct compression method with different superdisintegrants. The optimized formulation exhibited rapid disintegration and enhanced dissolution, ensuring improved bioavailability of Repaglinide by bypassing first-pass metabolism. Among the tested superdisintegrants demonstrated superior performance in terms of disintegration time and drug release profile. Pre-compression parameters confirmed good flow </w:t>
      </w:r>
      <w:r>
        <w:t>properties of the powder blend, while post-compression evaluations showed that the formulated tablets met pharmacopeial standards for hardness, friability, wetting time. Additionally, stability studies indicated that the selected formulation remained stable under accelerated conditions, confirming its suitability for long-term storage. These findings support the potential of buccal dispersible tablets as a promising alternative to conventional oral dosage forms of Repaglinide, enhancing patient compliance a</w:t>
      </w:r>
      <w:r>
        <w:t xml:space="preserve">nd therapeutic efficacy. </w:t>
      </w:r>
    </w:p>
    <w:p w14:paraId="7B6DEDF5" w14:textId="77777777" w:rsidR="00C825A2" w:rsidRDefault="008904C8">
      <w:pPr>
        <w:spacing w:after="292" w:line="259" w:lineRule="auto"/>
        <w:ind w:left="0" w:right="0" w:firstLine="0"/>
        <w:jc w:val="left"/>
      </w:pPr>
      <w:r>
        <w:rPr>
          <w:b/>
          <w:sz w:val="28"/>
        </w:rPr>
        <w:t xml:space="preserve"> </w:t>
      </w:r>
    </w:p>
    <w:p w14:paraId="434ED347" w14:textId="77777777" w:rsidR="00C825A2" w:rsidRDefault="008904C8">
      <w:pPr>
        <w:spacing w:after="292" w:line="259" w:lineRule="auto"/>
        <w:ind w:left="0" w:right="0" w:firstLine="0"/>
        <w:jc w:val="left"/>
      </w:pPr>
      <w:r>
        <w:rPr>
          <w:b/>
          <w:sz w:val="28"/>
        </w:rPr>
        <w:t xml:space="preserve"> </w:t>
      </w:r>
    </w:p>
    <w:p w14:paraId="420C2DA0" w14:textId="77777777" w:rsidR="00C825A2" w:rsidRDefault="008904C8">
      <w:pPr>
        <w:spacing w:after="292" w:line="259" w:lineRule="auto"/>
        <w:ind w:left="0" w:right="0" w:firstLine="0"/>
        <w:jc w:val="left"/>
      </w:pPr>
      <w:r>
        <w:rPr>
          <w:b/>
          <w:sz w:val="28"/>
        </w:rPr>
        <w:t xml:space="preserve"> </w:t>
      </w:r>
    </w:p>
    <w:p w14:paraId="683F1D01" w14:textId="77777777" w:rsidR="00C825A2" w:rsidRDefault="008904C8">
      <w:pPr>
        <w:spacing w:after="289" w:line="259" w:lineRule="auto"/>
        <w:ind w:left="0" w:right="0" w:firstLine="0"/>
        <w:jc w:val="left"/>
      </w:pPr>
      <w:r>
        <w:rPr>
          <w:b/>
          <w:sz w:val="28"/>
        </w:rPr>
        <w:t xml:space="preserve"> </w:t>
      </w:r>
    </w:p>
    <w:p w14:paraId="58488CF3" w14:textId="77777777" w:rsidR="00C825A2" w:rsidRDefault="008904C8">
      <w:pPr>
        <w:spacing w:after="292" w:line="259" w:lineRule="auto"/>
        <w:ind w:left="0" w:right="0" w:firstLine="0"/>
        <w:jc w:val="left"/>
      </w:pPr>
      <w:r>
        <w:rPr>
          <w:b/>
          <w:sz w:val="28"/>
        </w:rPr>
        <w:t xml:space="preserve"> </w:t>
      </w:r>
    </w:p>
    <w:p w14:paraId="72541B18" w14:textId="77777777" w:rsidR="00C825A2" w:rsidRDefault="008904C8">
      <w:pPr>
        <w:spacing w:after="0" w:line="259" w:lineRule="auto"/>
        <w:ind w:left="0" w:right="0" w:firstLine="0"/>
        <w:jc w:val="left"/>
      </w:pPr>
      <w:r>
        <w:rPr>
          <w:b/>
          <w:sz w:val="28"/>
        </w:rPr>
        <w:t xml:space="preserve"> </w:t>
      </w:r>
    </w:p>
    <w:p w14:paraId="1FA0593D" w14:textId="77777777" w:rsidR="00C825A2" w:rsidRDefault="008904C8">
      <w:pPr>
        <w:spacing w:after="289" w:line="259" w:lineRule="auto"/>
        <w:ind w:left="-5" w:right="0"/>
        <w:jc w:val="left"/>
      </w:pPr>
      <w:r>
        <w:rPr>
          <w:b/>
          <w:sz w:val="28"/>
        </w:rPr>
        <w:t xml:space="preserve">REFERENCES: </w:t>
      </w:r>
    </w:p>
    <w:p w14:paraId="658C33D4" w14:textId="77777777" w:rsidR="00C825A2" w:rsidRDefault="008904C8">
      <w:pPr>
        <w:numPr>
          <w:ilvl w:val="0"/>
          <w:numId w:val="5"/>
        </w:numPr>
        <w:spacing w:after="29" w:line="357" w:lineRule="auto"/>
        <w:ind w:right="0" w:hanging="413"/>
      </w:pPr>
      <w:r>
        <w:rPr>
          <w:rFonts w:ascii="Cambria" w:eastAsia="Cambria" w:hAnsi="Cambria" w:cs="Cambria"/>
        </w:rPr>
        <w:t xml:space="preserve">Joseph A. DiMasi et al., The price of innovation: new estimates of drug development costs, Journal of Health Economics 2003; 22: 151-185. </w:t>
      </w:r>
    </w:p>
    <w:p w14:paraId="4EAD2E79" w14:textId="77777777" w:rsidR="00C825A2" w:rsidRDefault="008904C8">
      <w:pPr>
        <w:numPr>
          <w:ilvl w:val="0"/>
          <w:numId w:val="5"/>
        </w:numPr>
        <w:spacing w:after="29" w:line="357" w:lineRule="auto"/>
        <w:ind w:right="0" w:hanging="413"/>
      </w:pPr>
      <w:r>
        <w:rPr>
          <w:rFonts w:ascii="Cambria" w:eastAsia="Cambria" w:hAnsi="Cambria" w:cs="Cambria"/>
        </w:rPr>
        <w:t xml:space="preserve">Mathias N.R. and Hussain A.M, Non-invasive systemic drug delivery: developability considerations for alternate routes of administration, J. Pharm. Sci. 2010; 99:1-20. </w:t>
      </w:r>
    </w:p>
    <w:p w14:paraId="64DCA55B" w14:textId="77777777" w:rsidR="00C825A2" w:rsidRDefault="008904C8">
      <w:pPr>
        <w:numPr>
          <w:ilvl w:val="0"/>
          <w:numId w:val="5"/>
        </w:numPr>
        <w:spacing w:after="29" w:line="357" w:lineRule="auto"/>
        <w:ind w:right="0" w:hanging="413"/>
      </w:pPr>
      <w:r>
        <w:rPr>
          <w:rFonts w:ascii="Cambria" w:eastAsia="Cambria" w:hAnsi="Cambria" w:cs="Cambria"/>
        </w:rPr>
        <w:t xml:space="preserve">Shojaei Amir H, Buccal Mucosa as a route for systemic drug delivery, Journal of Pharmacy and Pharmaceutical Sciences 1998; 1(1):15-30. </w:t>
      </w:r>
    </w:p>
    <w:p w14:paraId="7FC0863F" w14:textId="77777777" w:rsidR="00C825A2" w:rsidRDefault="008904C8">
      <w:pPr>
        <w:numPr>
          <w:ilvl w:val="0"/>
          <w:numId w:val="5"/>
        </w:numPr>
        <w:spacing w:after="29" w:line="357" w:lineRule="auto"/>
        <w:ind w:right="0" w:hanging="413"/>
      </w:pPr>
      <w:r>
        <w:rPr>
          <w:rFonts w:ascii="Cambria" w:eastAsia="Cambria" w:hAnsi="Cambria" w:cs="Cambria"/>
        </w:rPr>
        <w:t xml:space="preserve">Hoogstraate Janet A.J. and Wertz P.W., Drug delivery via the buccal mucosa, Pharm Sci Technolo Today 1998; 1(7): 309-316. </w:t>
      </w:r>
    </w:p>
    <w:p w14:paraId="17EB1833" w14:textId="77777777" w:rsidR="00C825A2" w:rsidRDefault="008904C8">
      <w:pPr>
        <w:numPr>
          <w:ilvl w:val="0"/>
          <w:numId w:val="5"/>
        </w:numPr>
        <w:spacing w:after="29" w:line="357" w:lineRule="auto"/>
        <w:ind w:right="0" w:hanging="413"/>
      </w:pPr>
      <w:r>
        <w:rPr>
          <w:rFonts w:ascii="Cambria" w:eastAsia="Cambria" w:hAnsi="Cambria" w:cs="Cambria"/>
        </w:rPr>
        <w:t xml:space="preserve">Rossi Silvia et al., Buccal drug delivery: A challenge already won?, Drug Discov Today Technol 2005; 2(1): 59-65. </w:t>
      </w:r>
    </w:p>
    <w:p w14:paraId="310C1300" w14:textId="77777777" w:rsidR="00C825A2" w:rsidRDefault="008904C8">
      <w:pPr>
        <w:numPr>
          <w:ilvl w:val="0"/>
          <w:numId w:val="5"/>
        </w:numPr>
        <w:spacing w:after="29" w:line="357" w:lineRule="auto"/>
        <w:ind w:right="0" w:hanging="413"/>
      </w:pPr>
      <w:r>
        <w:rPr>
          <w:rFonts w:ascii="Cambria" w:eastAsia="Cambria" w:hAnsi="Cambria" w:cs="Cambria"/>
        </w:rPr>
        <w:t xml:space="preserve">Smart JD, The basics and underlying mechanisms of mucoadhesion. Adv Drug Deliv Rev 2005; 57: 1556-1568. </w:t>
      </w:r>
    </w:p>
    <w:p w14:paraId="3741C2DD" w14:textId="77777777" w:rsidR="00C825A2" w:rsidRDefault="008904C8">
      <w:pPr>
        <w:numPr>
          <w:ilvl w:val="0"/>
          <w:numId w:val="5"/>
        </w:numPr>
        <w:spacing w:after="29" w:line="357" w:lineRule="auto"/>
        <w:ind w:right="0" w:hanging="413"/>
      </w:pPr>
      <w:r>
        <w:rPr>
          <w:rFonts w:ascii="Cambria" w:eastAsia="Cambria" w:hAnsi="Cambria" w:cs="Cambria"/>
        </w:rPr>
        <w:lastRenderedPageBreak/>
        <w:t xml:space="preserve">Andrews Gavin P. et al., Mucoadhesive polymeric platforms for controlled drug delivery, Eur J Pharm Biopharm 2009; 71:505- 518. </w:t>
      </w:r>
    </w:p>
    <w:p w14:paraId="70DD6648" w14:textId="77777777" w:rsidR="00C825A2" w:rsidRDefault="008904C8">
      <w:pPr>
        <w:numPr>
          <w:ilvl w:val="0"/>
          <w:numId w:val="5"/>
        </w:numPr>
        <w:spacing w:after="29" w:line="357" w:lineRule="auto"/>
        <w:ind w:right="0" w:hanging="413"/>
      </w:pPr>
      <w:r>
        <w:rPr>
          <w:rFonts w:ascii="Cambria" w:eastAsia="Cambria" w:hAnsi="Cambria" w:cs="Cambria"/>
        </w:rPr>
        <w:t xml:space="preserve">Schnürch A. Bernkop, Mucoadhesive polymers: strategies, achievements and future challenges, Adv Drug Deliv Rev 2005; 57:1553-1555. </w:t>
      </w:r>
    </w:p>
    <w:p w14:paraId="78A9DBBA" w14:textId="77777777" w:rsidR="00C825A2" w:rsidRDefault="008904C8">
      <w:pPr>
        <w:numPr>
          <w:ilvl w:val="0"/>
          <w:numId w:val="5"/>
        </w:numPr>
        <w:spacing w:after="29" w:line="357" w:lineRule="auto"/>
        <w:ind w:right="0" w:hanging="413"/>
      </w:pPr>
      <w:r>
        <w:rPr>
          <w:rFonts w:ascii="Cambria" w:eastAsia="Cambria" w:hAnsi="Cambria" w:cs="Cambria"/>
        </w:rPr>
        <w:t>Huang Y et al., Molecular aspects of muco-and bioadhesion: Tethered structures and site-</w:t>
      </w:r>
      <w:r>
        <w:rPr>
          <w:rFonts w:ascii="Cambria" w:eastAsia="Cambria" w:hAnsi="Cambria" w:cs="Cambria"/>
        </w:rPr>
        <w:t xml:space="preserve">specific surfaces, J Control Release 2000; 65: 63-71. </w:t>
      </w:r>
    </w:p>
    <w:p w14:paraId="275F6D47" w14:textId="77777777" w:rsidR="00C825A2" w:rsidRDefault="008904C8">
      <w:pPr>
        <w:numPr>
          <w:ilvl w:val="0"/>
          <w:numId w:val="5"/>
        </w:numPr>
        <w:spacing w:after="29" w:line="357" w:lineRule="auto"/>
        <w:ind w:right="0" w:hanging="413"/>
      </w:pPr>
      <w:r>
        <w:rPr>
          <w:rFonts w:ascii="Cambria" w:eastAsia="Cambria" w:hAnsi="Cambria" w:cs="Cambria"/>
        </w:rPr>
        <w:t xml:space="preserve">Khairnar G.A. and Sayyad F.J., Development of buccal drug delivery system based on mucoadhesive polymer, International Journal of Pharm Tech Research 2010; 2(1): 719 735. </w:t>
      </w:r>
    </w:p>
    <w:p w14:paraId="12EFF644" w14:textId="77777777" w:rsidR="00C825A2" w:rsidRDefault="008904C8">
      <w:pPr>
        <w:numPr>
          <w:ilvl w:val="0"/>
          <w:numId w:val="5"/>
        </w:numPr>
        <w:spacing w:after="29" w:line="357" w:lineRule="auto"/>
        <w:ind w:right="0" w:hanging="413"/>
      </w:pPr>
      <w:r>
        <w:rPr>
          <w:rFonts w:ascii="Cambria" w:eastAsia="Cambria" w:hAnsi="Cambria" w:cs="Cambria"/>
        </w:rPr>
        <w:t xml:space="preserve">Madhav N.V. Satheesh et al., Orotransmucosal drug delivery systems: A review, J Control Release 2009; 140: 2-11. </w:t>
      </w:r>
    </w:p>
    <w:p w14:paraId="1AC74E65" w14:textId="77777777" w:rsidR="00C825A2" w:rsidRDefault="008904C8">
      <w:pPr>
        <w:numPr>
          <w:ilvl w:val="0"/>
          <w:numId w:val="5"/>
        </w:numPr>
        <w:spacing w:after="29" w:line="357" w:lineRule="auto"/>
        <w:ind w:right="0" w:hanging="413"/>
      </w:pPr>
      <w:r>
        <w:rPr>
          <w:rFonts w:ascii="Cambria" w:eastAsia="Cambria" w:hAnsi="Cambria" w:cs="Cambria"/>
        </w:rPr>
        <w:t xml:space="preserve">Vyas S.P. and Khar R.K., Controlled drug delivery-concepts and advances. Vallabh Prakashan, first edition, New Delhi, 2002. </w:t>
      </w:r>
    </w:p>
    <w:p w14:paraId="6B173B4D" w14:textId="77777777" w:rsidR="00C825A2" w:rsidRDefault="008904C8">
      <w:pPr>
        <w:numPr>
          <w:ilvl w:val="0"/>
          <w:numId w:val="5"/>
        </w:numPr>
        <w:spacing w:after="29" w:line="357" w:lineRule="auto"/>
        <w:ind w:right="0" w:hanging="413"/>
      </w:pPr>
      <w:r>
        <w:rPr>
          <w:rFonts w:ascii="Cambria" w:eastAsia="Cambria" w:hAnsi="Cambria" w:cs="Cambria"/>
        </w:rPr>
        <w:t xml:space="preserve">Bhalodia Ravi et al., Buccoadhesive drug delivery Systems: A review, International Journal of Pharma and Bio Sciences 2010; 1(2): 1-32. </w:t>
      </w:r>
    </w:p>
    <w:p w14:paraId="754AE52B" w14:textId="77777777" w:rsidR="00C825A2" w:rsidRDefault="008904C8">
      <w:pPr>
        <w:numPr>
          <w:ilvl w:val="0"/>
          <w:numId w:val="5"/>
        </w:numPr>
        <w:spacing w:after="116" w:line="259" w:lineRule="auto"/>
        <w:ind w:right="0" w:hanging="413"/>
      </w:pPr>
      <w:r>
        <w:rPr>
          <w:rFonts w:ascii="Cambria" w:eastAsia="Cambria" w:hAnsi="Cambria" w:cs="Cambria"/>
        </w:rPr>
        <w:t xml:space="preserve">Obradovic T. and Hidalgo Ismael J., DRUG ABSORPTION Studies Biotechnology: </w:t>
      </w:r>
    </w:p>
    <w:p w14:paraId="5546878C" w14:textId="77777777" w:rsidR="00C825A2" w:rsidRDefault="008904C8">
      <w:pPr>
        <w:spacing w:after="29" w:line="259" w:lineRule="auto"/>
        <w:ind w:left="720" w:right="0" w:firstLine="0"/>
      </w:pPr>
      <w:r>
        <w:rPr>
          <w:rFonts w:ascii="Cambria" w:eastAsia="Cambria" w:hAnsi="Cambria" w:cs="Cambria"/>
        </w:rPr>
        <w:t xml:space="preserve">Pharmaceutical Aspects, AAPS Press, Vol.7 (2), 2008: 167-181. </w:t>
      </w:r>
    </w:p>
    <w:p w14:paraId="0DCAF97A" w14:textId="77777777" w:rsidR="00C825A2" w:rsidRDefault="008904C8">
      <w:pPr>
        <w:numPr>
          <w:ilvl w:val="0"/>
          <w:numId w:val="5"/>
        </w:numPr>
        <w:spacing w:after="29" w:line="357" w:lineRule="auto"/>
        <w:ind w:right="0" w:hanging="413"/>
      </w:pPr>
      <w:r>
        <w:rPr>
          <w:rFonts w:ascii="Cambria" w:eastAsia="Cambria" w:hAnsi="Cambria" w:cs="Cambria"/>
        </w:rPr>
        <w:t xml:space="preserve">Junginger H.E. et al., Recent advances in buccal drug delivery and absorption- in vitro and in vivo studies, J Control Release 1999; 149: 149-159. </w:t>
      </w:r>
    </w:p>
    <w:p w14:paraId="3ED17B36" w14:textId="77777777" w:rsidR="00C825A2" w:rsidRDefault="008904C8">
      <w:pPr>
        <w:numPr>
          <w:ilvl w:val="0"/>
          <w:numId w:val="5"/>
        </w:numPr>
        <w:spacing w:after="29" w:line="357" w:lineRule="auto"/>
        <w:ind w:right="0" w:hanging="413"/>
      </w:pPr>
      <w:r>
        <w:rPr>
          <w:rFonts w:ascii="Cambria" w:eastAsia="Cambria" w:hAnsi="Cambria" w:cs="Cambria"/>
        </w:rPr>
        <w:t xml:space="preserve">Miller N.S. et al., The use of mucoadhesive polymers in buccal drug delivery, Adv Drug Deliv Rev 2005; 57:1666-1691. </w:t>
      </w:r>
    </w:p>
    <w:p w14:paraId="0570A1CF" w14:textId="77777777" w:rsidR="00C825A2" w:rsidRDefault="008904C8">
      <w:pPr>
        <w:numPr>
          <w:ilvl w:val="0"/>
          <w:numId w:val="5"/>
        </w:numPr>
        <w:spacing w:after="29" w:line="357" w:lineRule="auto"/>
        <w:ind w:right="0" w:hanging="413"/>
      </w:pPr>
      <w:r>
        <w:rPr>
          <w:rFonts w:ascii="Cambria" w:eastAsia="Cambria" w:hAnsi="Cambria" w:cs="Cambria"/>
        </w:rPr>
        <w:t xml:space="preserve">Reddy, R. Jagadeeshwar, Maimuna Anjum, and Mohammed Asif Hussain. "A comprehensive review on buccal drug delivery system." Am J Advan Drug Deliv 1 (2013): 300-312. </w:t>
      </w:r>
    </w:p>
    <w:p w14:paraId="4CFC37D9" w14:textId="77777777" w:rsidR="00C825A2" w:rsidRDefault="008904C8">
      <w:pPr>
        <w:numPr>
          <w:ilvl w:val="0"/>
          <w:numId w:val="5"/>
        </w:numPr>
        <w:spacing w:after="29" w:line="357" w:lineRule="auto"/>
        <w:ind w:right="0" w:hanging="413"/>
      </w:pPr>
      <w:r>
        <w:rPr>
          <w:rFonts w:ascii="Cambria" w:eastAsia="Cambria" w:hAnsi="Cambria" w:cs="Cambria"/>
        </w:rPr>
        <w:t xml:space="preserve">Verma, Surender, et al. "An overview on buccal drug delivery system." International journal of pharmaceutical sciences and research 2.6 (2011): 1303. </w:t>
      </w:r>
    </w:p>
    <w:p w14:paraId="02F75BC6" w14:textId="77777777" w:rsidR="00C825A2" w:rsidRDefault="008904C8">
      <w:pPr>
        <w:numPr>
          <w:ilvl w:val="0"/>
          <w:numId w:val="5"/>
        </w:numPr>
        <w:spacing w:after="29" w:line="357" w:lineRule="auto"/>
        <w:ind w:right="0" w:hanging="413"/>
      </w:pPr>
      <w:r>
        <w:rPr>
          <w:rFonts w:ascii="Cambria" w:eastAsia="Cambria" w:hAnsi="Cambria" w:cs="Cambria"/>
        </w:rPr>
        <w:t xml:space="preserve">Sheoran, Reena. "Buccal drug delivery system: A review." Int J Pharm Sci Rev Res 50.1 (2018): 40-46. </w:t>
      </w:r>
    </w:p>
    <w:p w14:paraId="66886988" w14:textId="77777777" w:rsidR="00C825A2" w:rsidRDefault="008904C8">
      <w:pPr>
        <w:numPr>
          <w:ilvl w:val="0"/>
          <w:numId w:val="5"/>
        </w:numPr>
        <w:spacing w:after="29" w:line="357" w:lineRule="auto"/>
        <w:ind w:right="0" w:hanging="413"/>
      </w:pPr>
      <w:r>
        <w:rPr>
          <w:rFonts w:ascii="Cambria" w:eastAsia="Cambria" w:hAnsi="Cambria" w:cs="Cambria"/>
        </w:rPr>
        <w:t xml:space="preserve">Namita, Srivastava, and Monga Munish Garg. "Current status of buccal drug delivery system: a review." Journal of Drug Delivery &amp; Therapeutics 5.1 (2015): 34-40. </w:t>
      </w:r>
    </w:p>
    <w:p w14:paraId="1A4585DD" w14:textId="77777777" w:rsidR="00C825A2" w:rsidRDefault="008904C8">
      <w:pPr>
        <w:numPr>
          <w:ilvl w:val="0"/>
          <w:numId w:val="5"/>
        </w:numPr>
        <w:spacing w:after="29" w:line="357" w:lineRule="auto"/>
        <w:ind w:right="0" w:hanging="413"/>
      </w:pPr>
      <w:r>
        <w:rPr>
          <w:rFonts w:ascii="Cambria" w:eastAsia="Cambria" w:hAnsi="Cambria" w:cs="Cambria"/>
        </w:rPr>
        <w:t xml:space="preserve">Reddy, KVSR Krishna, et al. "Impurity profile study of repaglinide." Journal of pharmaceutical and biomedical analysis 32.3 (2003): 461-467. </w:t>
      </w:r>
    </w:p>
    <w:p w14:paraId="782D38A3" w14:textId="77777777" w:rsidR="00C825A2" w:rsidRDefault="008904C8">
      <w:pPr>
        <w:numPr>
          <w:ilvl w:val="0"/>
          <w:numId w:val="5"/>
        </w:numPr>
        <w:spacing w:after="29" w:line="357" w:lineRule="auto"/>
        <w:ind w:right="0" w:hanging="413"/>
      </w:pPr>
      <w:r>
        <w:rPr>
          <w:rFonts w:ascii="Cambria" w:eastAsia="Cambria" w:hAnsi="Cambria" w:cs="Cambria"/>
        </w:rPr>
        <w:lastRenderedPageBreak/>
        <w:t xml:space="preserve">Mollar-Puchades MA, Martin-Cortes A, Perez-Calvo A, Diaz-Garcia C (January 2007). "Use of repaglinide on a pregnant woman during embryogenesis". Diabetes, Obesity &amp; Metabolism. 9 (1): 146–7. </w:t>
      </w:r>
    </w:p>
    <w:p w14:paraId="79E2BEBF" w14:textId="77777777" w:rsidR="00C825A2" w:rsidRDefault="008904C8">
      <w:pPr>
        <w:numPr>
          <w:ilvl w:val="0"/>
          <w:numId w:val="5"/>
        </w:numPr>
        <w:spacing w:after="29" w:line="357" w:lineRule="auto"/>
        <w:ind w:right="0" w:hanging="413"/>
      </w:pPr>
      <w:r>
        <w:rPr>
          <w:rFonts w:ascii="Cambria" w:eastAsia="Cambria" w:hAnsi="Cambria" w:cs="Cambria"/>
        </w:rPr>
        <w:t xml:space="preserve">Chaurasia, Gita. "A review on pharmaceutical preformulation studies in formulation and development of new drug molecules." Int J Pharm Sci Res 7.6 (2016): 2313-2320. </w:t>
      </w:r>
    </w:p>
    <w:p w14:paraId="0ABC970E" w14:textId="77777777" w:rsidR="00C825A2" w:rsidRDefault="008904C8">
      <w:pPr>
        <w:numPr>
          <w:ilvl w:val="0"/>
          <w:numId w:val="5"/>
        </w:numPr>
        <w:spacing w:after="29" w:line="357" w:lineRule="auto"/>
        <w:ind w:right="0" w:hanging="413"/>
      </w:pPr>
      <w:r>
        <w:rPr>
          <w:rFonts w:ascii="Cambria" w:eastAsia="Cambria" w:hAnsi="Cambria" w:cs="Cambria"/>
        </w:rPr>
        <w:t xml:space="preserve">Odeku OA, Assessment of Albizia zygia gum as a binding agent in tablet formulations, Acta Pharm., 55, 2005, 263 – 276. </w:t>
      </w:r>
    </w:p>
    <w:p w14:paraId="7FFBBCB0" w14:textId="77777777" w:rsidR="00C825A2" w:rsidRDefault="008904C8">
      <w:pPr>
        <w:numPr>
          <w:ilvl w:val="0"/>
          <w:numId w:val="5"/>
        </w:numPr>
        <w:spacing w:after="29" w:line="357" w:lineRule="auto"/>
        <w:ind w:right="0" w:hanging="413"/>
      </w:pPr>
      <w:r>
        <w:rPr>
          <w:rFonts w:ascii="Cambria" w:eastAsia="Cambria" w:hAnsi="Cambria" w:cs="Cambria"/>
        </w:rPr>
        <w:t xml:space="preserve">Alebiowu G, Itiola OA, Effects of starches on the mechanical properties of paracetamol tablet formulations. II. Sorghum and plantain starches as disintegrants, Acta Pharm., 53, 2003, 1 – 8. </w:t>
      </w:r>
    </w:p>
    <w:p w14:paraId="7782AC83" w14:textId="77777777" w:rsidR="00C825A2" w:rsidRDefault="008904C8">
      <w:pPr>
        <w:numPr>
          <w:ilvl w:val="0"/>
          <w:numId w:val="5"/>
        </w:numPr>
        <w:spacing w:after="29" w:line="357" w:lineRule="auto"/>
        <w:ind w:right="0" w:hanging="413"/>
      </w:pPr>
      <w:r>
        <w:rPr>
          <w:rFonts w:ascii="Cambria" w:eastAsia="Cambria" w:hAnsi="Cambria" w:cs="Cambria"/>
        </w:rPr>
        <w:t xml:space="preserve">Alebiowu G, Adeyemi AO, Influence of starch steeping period on dimensionless values of a paracetamol tablet formulation, Acta Poloniae Pharmaceutica – Drug Research, 66 (3), 2009, 311 – 320. </w:t>
      </w:r>
    </w:p>
    <w:p w14:paraId="6B21121A" w14:textId="77777777" w:rsidR="00C825A2" w:rsidRDefault="008904C8">
      <w:pPr>
        <w:numPr>
          <w:ilvl w:val="0"/>
          <w:numId w:val="5"/>
        </w:numPr>
        <w:spacing w:after="29" w:line="357" w:lineRule="auto"/>
        <w:ind w:right="0" w:hanging="413"/>
      </w:pPr>
      <w:r>
        <w:rPr>
          <w:rFonts w:ascii="Cambria" w:eastAsia="Cambria" w:hAnsi="Cambria" w:cs="Cambria"/>
        </w:rPr>
        <w:t xml:space="preserve">Staniforth J, Powder flow, In: Aulton ME. (ed.), Pharmaceutics – the science of dosage form design. 2 nd Ed., C </w:t>
      </w:r>
    </w:p>
    <w:p w14:paraId="6EC05AAA" w14:textId="77777777" w:rsidR="00C825A2" w:rsidRDefault="008904C8">
      <w:pPr>
        <w:numPr>
          <w:ilvl w:val="0"/>
          <w:numId w:val="5"/>
        </w:numPr>
        <w:spacing w:after="29" w:line="357" w:lineRule="auto"/>
        <w:ind w:right="0" w:hanging="413"/>
      </w:pPr>
      <w:r>
        <w:rPr>
          <w:rFonts w:ascii="Cambria" w:eastAsia="Cambria" w:hAnsi="Cambria" w:cs="Cambria"/>
        </w:rPr>
        <w:t xml:space="preserve">Sharma S, Gupta GD: Formulation and characterization of fast dissolving tablets of promethazie theolate. Asian journal of pharmaceutics- January-2008. </w:t>
      </w:r>
    </w:p>
    <w:p w14:paraId="64632943" w14:textId="77777777" w:rsidR="00C825A2" w:rsidRDefault="008904C8">
      <w:pPr>
        <w:numPr>
          <w:ilvl w:val="0"/>
          <w:numId w:val="5"/>
        </w:numPr>
        <w:spacing w:after="29" w:line="357" w:lineRule="auto"/>
        <w:ind w:right="0" w:hanging="413"/>
      </w:pPr>
      <w:r>
        <w:rPr>
          <w:rFonts w:ascii="Cambria" w:eastAsia="Cambria" w:hAnsi="Cambria" w:cs="Cambria"/>
        </w:rPr>
        <w:t xml:space="preserve">Shahi SR, Agrawal GR, Shinde NV, Shaikh SA, Shaik SS, Somani VG, Shamkuvarand PB, Kale MA: Formulation and In Vitro Evaluation of Oro-Dispersible Tablets of Etoricoxib with Emphasis on Comparative Functionality Evaluation of Three Classes Of Superdisintegrants. Rasayan J. Chem 2008; 1(2); 292-300. </w:t>
      </w:r>
    </w:p>
    <w:p w14:paraId="4B32D2C5" w14:textId="77777777" w:rsidR="00C825A2" w:rsidRDefault="008904C8">
      <w:pPr>
        <w:numPr>
          <w:ilvl w:val="0"/>
          <w:numId w:val="5"/>
        </w:numPr>
        <w:spacing w:after="29" w:line="357" w:lineRule="auto"/>
        <w:ind w:right="0" w:hanging="413"/>
      </w:pPr>
      <w:r>
        <w:rPr>
          <w:rFonts w:ascii="Cambria" w:eastAsia="Cambria" w:hAnsi="Cambria" w:cs="Cambria"/>
        </w:rPr>
        <w:t xml:space="preserve">Shoukri RA, Ahmed IS, Rehab N. Shamma RN: In vitro and in vivo evaluation of nimesulide lyophilized orally disintegrating tablets. European Journal of Pharmaceutics and Biopharmaceutics 2009; 73: 162–171. </w:t>
      </w:r>
    </w:p>
    <w:p w14:paraId="77CCAAD3" w14:textId="77777777" w:rsidR="00C825A2" w:rsidRDefault="008904C8">
      <w:pPr>
        <w:numPr>
          <w:ilvl w:val="0"/>
          <w:numId w:val="5"/>
        </w:numPr>
        <w:spacing w:after="29" w:line="357" w:lineRule="auto"/>
        <w:ind w:right="0" w:hanging="413"/>
      </w:pPr>
      <w:r>
        <w:rPr>
          <w:rFonts w:ascii="Cambria" w:eastAsia="Cambria" w:hAnsi="Cambria" w:cs="Cambria"/>
        </w:rPr>
        <w:t xml:space="preserve">Subramanian S, Sankar V, Manakadan AA, Ismailand S, Andhuvan G: Formulation and evaluation of cetirizine dihydrochloride orodispersible tablet. Pak.J.Pharm .Sci April 2010: 239(2).232 235. </w:t>
      </w:r>
    </w:p>
    <w:p w14:paraId="01C26A00" w14:textId="77777777" w:rsidR="00C825A2" w:rsidRDefault="008904C8">
      <w:pPr>
        <w:numPr>
          <w:ilvl w:val="0"/>
          <w:numId w:val="5"/>
        </w:numPr>
        <w:spacing w:after="29" w:line="357" w:lineRule="auto"/>
        <w:ind w:right="0" w:hanging="413"/>
      </w:pPr>
      <w:r>
        <w:rPr>
          <w:rFonts w:ascii="Cambria" w:eastAsia="Cambria" w:hAnsi="Cambria" w:cs="Cambria"/>
        </w:rPr>
        <w:t xml:space="preserve">Kuno Y, Kojima M, Ando S, Nakagami H: Evaluation of rapidly disintegrating tablets manufactured by phase transition of sugar alcohols. Journal of Controlled Release 2005; 105: 16–22. </w:t>
      </w:r>
    </w:p>
    <w:p w14:paraId="1A693388" w14:textId="77777777" w:rsidR="00C825A2" w:rsidRDefault="008904C8">
      <w:pPr>
        <w:numPr>
          <w:ilvl w:val="0"/>
          <w:numId w:val="5"/>
        </w:numPr>
        <w:spacing w:after="190" w:line="357" w:lineRule="auto"/>
        <w:ind w:right="0" w:hanging="413"/>
      </w:pPr>
      <w:r>
        <w:rPr>
          <w:rFonts w:ascii="Cambria" w:eastAsia="Cambria" w:hAnsi="Cambria" w:cs="Cambria"/>
        </w:rPr>
        <w:t xml:space="preserve">Jain CP, Naruka PS: Formulation and evaluation of fast dissolving tablets of valsartan. International Journal of Pharmacy and Pharmaceutical Sciences JulySep.2009; 1(1). </w:t>
      </w:r>
    </w:p>
    <w:p w14:paraId="50EA9E5B" w14:textId="77777777" w:rsidR="00C825A2" w:rsidRDefault="008904C8">
      <w:pPr>
        <w:spacing w:after="0" w:line="259" w:lineRule="auto"/>
        <w:ind w:left="0" w:right="0" w:firstLine="0"/>
        <w:jc w:val="left"/>
      </w:pPr>
      <w:r>
        <w:rPr>
          <w:b/>
          <w:sz w:val="28"/>
        </w:rPr>
        <w:lastRenderedPageBreak/>
        <w:t xml:space="preserve"> </w:t>
      </w:r>
    </w:p>
    <w:sectPr w:rsidR="00C825A2">
      <w:pgSz w:w="11906" w:h="16838"/>
      <w:pgMar w:top="1440" w:right="1430" w:bottom="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F7B"/>
    <w:multiLevelType w:val="hybridMultilevel"/>
    <w:tmpl w:val="FFFFFFFF"/>
    <w:lvl w:ilvl="0" w:tplc="C332CAD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44D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EC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AD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474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05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21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CE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E1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53A47"/>
    <w:multiLevelType w:val="hybridMultilevel"/>
    <w:tmpl w:val="FFFFFFFF"/>
    <w:lvl w:ilvl="0" w:tplc="F6A48EC2">
      <w:start w:val="1"/>
      <w:numFmt w:val="decimal"/>
      <w:lvlText w:val="%1)"/>
      <w:lvlJc w:val="left"/>
      <w:pPr>
        <w:ind w:left="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ACE4EE0">
      <w:start w:val="1"/>
      <w:numFmt w:val="lowerLetter"/>
      <w:lvlText w:val="%2"/>
      <w:lvlJc w:val="left"/>
      <w:pPr>
        <w:ind w:left="1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0FE7EB2">
      <w:start w:val="1"/>
      <w:numFmt w:val="lowerRoman"/>
      <w:lvlText w:val="%3"/>
      <w:lvlJc w:val="left"/>
      <w:pPr>
        <w:ind w:left="20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46BFE8">
      <w:start w:val="1"/>
      <w:numFmt w:val="decimal"/>
      <w:lvlText w:val="%4"/>
      <w:lvlJc w:val="left"/>
      <w:pPr>
        <w:ind w:left="27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F606388">
      <w:start w:val="1"/>
      <w:numFmt w:val="lowerLetter"/>
      <w:lvlText w:val="%5"/>
      <w:lvlJc w:val="left"/>
      <w:pPr>
        <w:ind w:left="34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81A5366">
      <w:start w:val="1"/>
      <w:numFmt w:val="lowerRoman"/>
      <w:lvlText w:val="%6"/>
      <w:lvlJc w:val="left"/>
      <w:pPr>
        <w:ind w:left="41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D16649E">
      <w:start w:val="1"/>
      <w:numFmt w:val="decimal"/>
      <w:lvlText w:val="%7"/>
      <w:lvlJc w:val="left"/>
      <w:pPr>
        <w:ind w:left="48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DC3942">
      <w:start w:val="1"/>
      <w:numFmt w:val="lowerLetter"/>
      <w:lvlText w:val="%8"/>
      <w:lvlJc w:val="left"/>
      <w:pPr>
        <w:ind w:left="56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4E1B70">
      <w:start w:val="1"/>
      <w:numFmt w:val="lowerRoman"/>
      <w:lvlText w:val="%9"/>
      <w:lvlJc w:val="left"/>
      <w:pPr>
        <w:ind w:left="63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CE57D6"/>
    <w:multiLevelType w:val="hybridMultilevel"/>
    <w:tmpl w:val="FFFFFFFF"/>
    <w:lvl w:ilvl="0" w:tplc="E4647E5C">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ADA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0B0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086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236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0AE3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446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90B2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5464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C75CA8"/>
    <w:multiLevelType w:val="hybridMultilevel"/>
    <w:tmpl w:val="FFFFFFFF"/>
    <w:lvl w:ilvl="0" w:tplc="E0D83CBE">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4AA696">
      <w:start w:val="1"/>
      <w:numFmt w:val="lowerLetter"/>
      <w:lvlText w:val="%2"/>
      <w:lvlJc w:val="left"/>
      <w:pPr>
        <w:ind w:left="1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E07348">
      <w:start w:val="1"/>
      <w:numFmt w:val="lowerRoman"/>
      <w:lvlText w:val="%3"/>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B281DC">
      <w:start w:val="1"/>
      <w:numFmt w:val="decimal"/>
      <w:lvlText w:val="%4"/>
      <w:lvlJc w:val="left"/>
      <w:pPr>
        <w:ind w:left="2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007A3A">
      <w:start w:val="1"/>
      <w:numFmt w:val="lowerLetter"/>
      <w:lvlText w:val="%5"/>
      <w:lvlJc w:val="left"/>
      <w:pPr>
        <w:ind w:left="3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8065E">
      <w:start w:val="1"/>
      <w:numFmt w:val="lowerRoman"/>
      <w:lvlText w:val="%6"/>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86296E">
      <w:start w:val="1"/>
      <w:numFmt w:val="decimal"/>
      <w:lvlText w:val="%7"/>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524B74">
      <w:start w:val="1"/>
      <w:numFmt w:val="lowerLetter"/>
      <w:lvlText w:val="%8"/>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0E5896">
      <w:start w:val="1"/>
      <w:numFmt w:val="lowerRoman"/>
      <w:lvlText w:val="%9"/>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E6564E"/>
    <w:multiLevelType w:val="hybridMultilevel"/>
    <w:tmpl w:val="FFFFFFFF"/>
    <w:lvl w:ilvl="0" w:tplc="5D3E6B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43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62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0C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42D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84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0F3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04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8E1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37139649">
    <w:abstractNumId w:val="4"/>
  </w:num>
  <w:num w:numId="2" w16cid:durableId="1775244519">
    <w:abstractNumId w:val="0"/>
  </w:num>
  <w:num w:numId="3" w16cid:durableId="1905338991">
    <w:abstractNumId w:val="3"/>
  </w:num>
  <w:num w:numId="4" w16cid:durableId="1886406077">
    <w:abstractNumId w:val="2"/>
  </w:num>
  <w:num w:numId="5" w16cid:durableId="37231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A2"/>
    <w:rsid w:val="008904C8"/>
    <w:rsid w:val="00B27E7C"/>
    <w:rsid w:val="00C8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88724"/>
  <w15:docId w15:val="{0D404122-C52A-5E47-BD50-4AC27BC3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60" w:lineRule="auto"/>
      <w:ind w:left="10" w:righ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54" w:line="259" w:lineRule="auto"/>
      <w:ind w:left="10" w:right="1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77" w:line="25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image" Target="media/image40.jpg" /><Relationship Id="rId18" Type="http://schemas.openxmlformats.org/officeDocument/2006/relationships/image" Target="media/image8.jpg" /><Relationship Id="rId3" Type="http://schemas.openxmlformats.org/officeDocument/2006/relationships/settings" Target="settings.xml" /><Relationship Id="rId7" Type="http://schemas.openxmlformats.org/officeDocument/2006/relationships/image" Target="media/image2.jpg" /><Relationship Id="rId12" Type="http://schemas.openxmlformats.org/officeDocument/2006/relationships/image" Target="media/image30.jpg" /><Relationship Id="rId17" Type="http://schemas.openxmlformats.org/officeDocument/2006/relationships/image" Target="media/image60.jpg" /><Relationship Id="rId2" Type="http://schemas.openxmlformats.org/officeDocument/2006/relationships/styles" Target="styles.xml" /><Relationship Id="rId16" Type="http://schemas.openxmlformats.org/officeDocument/2006/relationships/image" Target="media/image50.jp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0.jpg" /><Relationship Id="rId11" Type="http://schemas.openxmlformats.org/officeDocument/2006/relationships/image" Target="media/image5.jpg" /><Relationship Id="rId5" Type="http://schemas.openxmlformats.org/officeDocument/2006/relationships/image" Target="media/image1.jpg" /><Relationship Id="rId15" Type="http://schemas.openxmlformats.org/officeDocument/2006/relationships/image" Target="media/image7.jpg" /><Relationship Id="rId10" Type="http://schemas.openxmlformats.org/officeDocument/2006/relationships/image" Target="media/image4.jp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0.jpg" /><Relationship Id="rId14" Type="http://schemas.openxmlformats.org/officeDocument/2006/relationships/image" Target="media/image6.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3538</Words>
  <Characters>20167</Characters>
  <Application>Microsoft Office Word</Application>
  <DocSecurity>0</DocSecurity>
  <Lines>168</Lines>
  <Paragraphs>47</Paragraphs>
  <ScaleCrop>false</ScaleCrop>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Petare</dc:creator>
  <cp:keywords/>
  <cp:lastModifiedBy>truptipetare@gmail.com</cp:lastModifiedBy>
  <cp:revision>2</cp:revision>
  <dcterms:created xsi:type="dcterms:W3CDTF">2025-05-02T08:46:00Z</dcterms:created>
  <dcterms:modified xsi:type="dcterms:W3CDTF">2025-05-02T08:46:00Z</dcterms:modified>
</cp:coreProperties>
</file>